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73" w:rsidRDefault="00405573">
      <w:pPr>
        <w:spacing w:line="600" w:lineRule="exact"/>
        <w:jc w:val="center"/>
        <w:outlineLvl w:val="0"/>
        <w:rPr>
          <w:rFonts w:ascii="方正小标宋简体" w:eastAsia="方正小标宋简体" w:hAnsi="宋体"/>
          <w:color w:val="000000"/>
          <w:sz w:val="72"/>
          <w:szCs w:val="72"/>
        </w:rPr>
      </w:pPr>
      <w:bookmarkStart w:id="0" w:name="_Toc15306267"/>
    </w:p>
    <w:p w:rsidR="00405573" w:rsidRDefault="00405573">
      <w:pPr>
        <w:spacing w:line="600" w:lineRule="exact"/>
        <w:jc w:val="center"/>
        <w:outlineLvl w:val="0"/>
        <w:rPr>
          <w:rFonts w:ascii="方正小标宋简体" w:eastAsia="方正小标宋简体" w:hAnsi="宋体"/>
          <w:color w:val="000000"/>
          <w:sz w:val="72"/>
          <w:szCs w:val="72"/>
        </w:rPr>
      </w:pPr>
    </w:p>
    <w:p w:rsidR="00405573" w:rsidRDefault="00405573">
      <w:pPr>
        <w:spacing w:line="600" w:lineRule="exact"/>
        <w:jc w:val="center"/>
        <w:outlineLvl w:val="0"/>
        <w:rPr>
          <w:rFonts w:ascii="方正小标宋简体" w:eastAsia="方正小标宋简体" w:hAnsi="宋体"/>
          <w:color w:val="000000"/>
          <w:sz w:val="72"/>
          <w:szCs w:val="72"/>
        </w:rPr>
      </w:pPr>
    </w:p>
    <w:p w:rsidR="00405573" w:rsidRDefault="00405573">
      <w:pPr>
        <w:spacing w:line="600" w:lineRule="exact"/>
        <w:jc w:val="center"/>
        <w:outlineLvl w:val="0"/>
        <w:rPr>
          <w:rFonts w:ascii="方正小标宋简体" w:eastAsia="方正小标宋简体" w:hAnsi="宋体"/>
          <w:color w:val="000000"/>
          <w:sz w:val="72"/>
          <w:szCs w:val="72"/>
        </w:rPr>
      </w:pPr>
    </w:p>
    <w:p w:rsidR="00405573" w:rsidRDefault="005B20D5">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8441"/>
      <w:bookmarkStart w:id="4" w:name="_Toc15377425"/>
      <w:bookmarkStart w:id="5" w:name="_Toc15377193"/>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405573" w:rsidRDefault="005B20D5">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598"/>
      <w:bookmarkStart w:id="7" w:name="_Toc15396476"/>
      <w:bookmarkStart w:id="8" w:name="_Toc15378442"/>
      <w:bookmarkStart w:id="9" w:name="_Toc15377426"/>
      <w:bookmarkStart w:id="10" w:name="_Toc15377194"/>
      <w:r>
        <w:rPr>
          <w:rFonts w:ascii="方正小标宋简体" w:eastAsia="方正小标宋简体" w:hAnsi="宋体" w:hint="eastAsia"/>
          <w:color w:val="000000"/>
          <w:sz w:val="72"/>
          <w:szCs w:val="72"/>
        </w:rPr>
        <w:t>四川省乐山市井研县</w:t>
      </w:r>
      <w:bookmarkStart w:id="11" w:name="_Toc15306268"/>
      <w:bookmarkEnd w:id="0"/>
      <w:r>
        <w:rPr>
          <w:rFonts w:ascii="方正小标宋简体" w:eastAsia="方正小标宋简体" w:hAnsi="宋体" w:hint="eastAsia"/>
          <w:color w:val="000000"/>
          <w:sz w:val="72"/>
          <w:szCs w:val="72"/>
        </w:rPr>
        <w:t>农村能源办公室部门决算</w:t>
      </w:r>
      <w:bookmarkEnd w:id="6"/>
      <w:bookmarkEnd w:id="7"/>
      <w:bookmarkEnd w:id="8"/>
      <w:bookmarkEnd w:id="9"/>
      <w:bookmarkEnd w:id="10"/>
      <w:bookmarkEnd w:id="11"/>
    </w:p>
    <w:p w:rsidR="00405573" w:rsidRDefault="00405573">
      <w:pPr>
        <w:adjustRightInd w:val="0"/>
        <w:snapToGrid w:val="0"/>
        <w:spacing w:line="360" w:lineRule="auto"/>
        <w:outlineLvl w:val="0"/>
        <w:rPr>
          <w:rFonts w:ascii="方正小标宋简体" w:eastAsia="方正小标宋简体" w:hAnsi="宋体"/>
          <w:color w:val="000000"/>
          <w:sz w:val="52"/>
          <w:szCs w:val="52"/>
        </w:rPr>
      </w:pPr>
    </w:p>
    <w:p w:rsidR="00405573" w:rsidRDefault="005B20D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405573" w:rsidRDefault="00D86145">
      <w:pPr>
        <w:widowControl/>
        <w:jc w:val="center"/>
        <w:rPr>
          <w:rFonts w:ascii="黑体" w:eastAsia="黑体" w:hAnsi="黑体" w:cs="黑体"/>
          <w:sz w:val="28"/>
          <w:szCs w:val="28"/>
        </w:rPr>
      </w:pPr>
      <w:r w:rsidRPr="00D86145">
        <w:rPr>
          <w:rFonts w:ascii="黑体" w:eastAsia="黑体" w:hAnsi="黑体"/>
          <w:color w:val="000000"/>
          <w:sz w:val="48"/>
          <w:szCs w:val="48"/>
        </w:rPr>
        <w:fldChar w:fldCharType="begin"/>
      </w:r>
      <w:r w:rsidR="005B20D5">
        <w:rPr>
          <w:rFonts w:ascii="黑体" w:eastAsia="黑体" w:hAnsi="黑体"/>
          <w:color w:val="000000"/>
          <w:sz w:val="48"/>
          <w:szCs w:val="48"/>
        </w:rPr>
        <w:instrText xml:space="preserve"> TOC \o "1-2" \h \z \u </w:instrText>
      </w:r>
      <w:r w:rsidRPr="00D86145">
        <w:rPr>
          <w:rFonts w:ascii="黑体" w:eastAsia="黑体" w:hAnsi="黑体"/>
          <w:color w:val="000000"/>
          <w:sz w:val="48"/>
          <w:szCs w:val="48"/>
        </w:rPr>
        <w:fldChar w:fldCharType="separate"/>
      </w:r>
    </w:p>
    <w:p w:rsidR="00405573" w:rsidRDefault="005B20D5">
      <w:pPr>
        <w:pStyle w:val="10"/>
      </w:pPr>
      <w:r>
        <w:rPr>
          <w:rFonts w:hint="eastAsia"/>
        </w:rPr>
        <w:t>公开时间：2019年9月30日</w:t>
      </w:r>
    </w:p>
    <w:p w:rsidR="00405573" w:rsidRDefault="00405573"/>
    <w:p w:rsidR="00405573" w:rsidRDefault="00D86145">
      <w:pPr>
        <w:pStyle w:val="10"/>
        <w:rPr>
          <w:rFonts w:cs="黑体"/>
        </w:rPr>
      </w:pPr>
      <w:hyperlink w:anchor="_Toc15396599" w:history="1">
        <w:r w:rsidR="005B20D5">
          <w:rPr>
            <w:rStyle w:val="a8"/>
            <w:rFonts w:hint="eastAsia"/>
          </w:rPr>
          <w:t>第一部分部门概况</w:t>
        </w:r>
        <w:r w:rsidR="005B20D5">
          <w:tab/>
        </w:r>
        <w:r w:rsidR="005B20D5">
          <w:rPr>
            <w:rFonts w:hint="eastAsia"/>
          </w:rPr>
          <w:t>4</w:t>
        </w:r>
      </w:hyperlink>
    </w:p>
    <w:p w:rsidR="00405573" w:rsidRDefault="00D86145">
      <w:pPr>
        <w:pStyle w:val="20"/>
        <w:rPr>
          <w:rFonts w:ascii="仿宋" w:eastAsia="仿宋" w:hAnsi="仿宋" w:cs="黑体"/>
          <w:sz w:val="28"/>
          <w:szCs w:val="28"/>
        </w:rPr>
      </w:pPr>
      <w:hyperlink w:anchor="_Toc15396600" w:history="1">
        <w:r w:rsidR="005B20D5">
          <w:rPr>
            <w:rStyle w:val="a8"/>
            <w:rFonts w:ascii="仿宋" w:eastAsia="仿宋" w:hAnsi="仿宋" w:hint="eastAsia"/>
            <w:sz w:val="28"/>
            <w:szCs w:val="28"/>
          </w:rPr>
          <w:t>一、基本职能及主要工作</w:t>
        </w:r>
        <w:r w:rsidR="005B20D5">
          <w:rPr>
            <w:rFonts w:ascii="仿宋" w:eastAsia="仿宋" w:hAnsi="仿宋"/>
            <w:sz w:val="28"/>
            <w:szCs w:val="28"/>
          </w:rPr>
          <w:tab/>
        </w:r>
        <w:r w:rsidR="005B20D5">
          <w:rPr>
            <w:rFonts w:ascii="仿宋" w:eastAsia="仿宋" w:hAnsi="仿宋" w:hint="eastAsia"/>
            <w:sz w:val="28"/>
            <w:szCs w:val="28"/>
          </w:rPr>
          <w:t>4</w:t>
        </w:r>
      </w:hyperlink>
    </w:p>
    <w:p w:rsidR="00405573" w:rsidRDefault="00D86145">
      <w:pPr>
        <w:pStyle w:val="20"/>
        <w:rPr>
          <w:rFonts w:ascii="仿宋" w:eastAsia="仿宋" w:hAnsi="仿宋" w:cs="黑体"/>
          <w:sz w:val="28"/>
          <w:szCs w:val="28"/>
        </w:rPr>
      </w:pPr>
      <w:hyperlink w:anchor="_Toc15396601" w:history="1">
        <w:r w:rsidR="005B20D5">
          <w:rPr>
            <w:rStyle w:val="a8"/>
            <w:rFonts w:ascii="仿宋" w:eastAsia="仿宋" w:hAnsi="仿宋" w:hint="eastAsia"/>
            <w:sz w:val="28"/>
            <w:szCs w:val="28"/>
          </w:rPr>
          <w:t>二、机构设置</w:t>
        </w:r>
        <w:r w:rsidR="005B20D5">
          <w:rPr>
            <w:rFonts w:ascii="仿宋" w:eastAsia="仿宋" w:hAnsi="仿宋"/>
            <w:sz w:val="28"/>
            <w:szCs w:val="28"/>
          </w:rPr>
          <w:tab/>
        </w:r>
        <w:r w:rsidR="00583BA7">
          <w:rPr>
            <w:rFonts w:ascii="仿宋" w:eastAsia="仿宋" w:hAnsi="仿宋" w:hint="eastAsia"/>
            <w:sz w:val="28"/>
            <w:szCs w:val="28"/>
          </w:rPr>
          <w:t>5</w:t>
        </w:r>
      </w:hyperlink>
    </w:p>
    <w:p w:rsidR="00405573" w:rsidRDefault="00D86145">
      <w:pPr>
        <w:pStyle w:val="10"/>
      </w:pPr>
      <w:hyperlink w:anchor="_Toc15396602" w:history="1">
        <w:r w:rsidR="005B20D5">
          <w:rPr>
            <w:rStyle w:val="a8"/>
            <w:rFonts w:hint="eastAsia"/>
          </w:rPr>
          <w:t>第二部分</w:t>
        </w:r>
        <w:r w:rsidR="005B20D5">
          <w:rPr>
            <w:rStyle w:val="a8"/>
          </w:rPr>
          <w:t xml:space="preserve"> 2018</w:t>
        </w:r>
        <w:r w:rsidR="005B20D5">
          <w:rPr>
            <w:rStyle w:val="a8"/>
            <w:rFonts w:hint="eastAsia"/>
          </w:rPr>
          <w:t>年度部门决算情况说明</w:t>
        </w:r>
        <w:r w:rsidR="005B20D5">
          <w:tab/>
        </w:r>
        <w:r w:rsidR="00583BA7">
          <w:rPr>
            <w:rFonts w:hint="eastAsia"/>
          </w:rPr>
          <w:t>6</w:t>
        </w:r>
      </w:hyperlink>
    </w:p>
    <w:p w:rsidR="00405573" w:rsidRDefault="00D86145">
      <w:pPr>
        <w:pStyle w:val="20"/>
        <w:rPr>
          <w:rFonts w:ascii="仿宋" w:eastAsia="仿宋" w:hAnsi="仿宋" w:cs="黑体"/>
          <w:sz w:val="28"/>
          <w:szCs w:val="28"/>
        </w:rPr>
      </w:pPr>
      <w:hyperlink w:anchor="_Toc15396603" w:history="1">
        <w:r w:rsidR="005B20D5">
          <w:rPr>
            <w:rStyle w:val="a8"/>
            <w:rFonts w:ascii="仿宋" w:eastAsia="仿宋" w:hAnsi="仿宋" w:cs="黑体" w:hint="eastAsia"/>
            <w:bCs/>
            <w:sz w:val="28"/>
            <w:szCs w:val="28"/>
          </w:rPr>
          <w:t>一、</w:t>
        </w:r>
        <w:r w:rsidR="005B20D5">
          <w:rPr>
            <w:rStyle w:val="a8"/>
            <w:rFonts w:ascii="仿宋" w:eastAsia="仿宋" w:hAnsi="仿宋" w:hint="eastAsia"/>
            <w:sz w:val="28"/>
            <w:szCs w:val="28"/>
          </w:rPr>
          <w:t>收</w:t>
        </w:r>
        <w:r w:rsidR="005B20D5">
          <w:rPr>
            <w:rStyle w:val="a8"/>
            <w:rFonts w:ascii="仿宋" w:eastAsia="仿宋" w:hAnsi="仿宋" w:cs="黑体" w:hint="eastAsia"/>
            <w:bCs/>
            <w:sz w:val="28"/>
            <w:szCs w:val="28"/>
          </w:rPr>
          <w:t>入支出决算总体情况说明</w:t>
        </w:r>
        <w:r w:rsidR="005B20D5">
          <w:rPr>
            <w:rFonts w:ascii="仿宋" w:eastAsia="仿宋" w:hAnsi="仿宋"/>
            <w:sz w:val="28"/>
            <w:szCs w:val="28"/>
          </w:rPr>
          <w:tab/>
        </w:r>
        <w:r w:rsidR="00583BA7">
          <w:rPr>
            <w:rFonts w:ascii="仿宋" w:eastAsia="仿宋" w:hAnsi="仿宋" w:hint="eastAsia"/>
            <w:sz w:val="28"/>
            <w:szCs w:val="28"/>
          </w:rPr>
          <w:t>6</w:t>
        </w:r>
      </w:hyperlink>
    </w:p>
    <w:p w:rsidR="00405573" w:rsidRDefault="00D86145">
      <w:pPr>
        <w:pStyle w:val="20"/>
        <w:rPr>
          <w:rFonts w:ascii="仿宋" w:eastAsia="仿宋" w:hAnsi="仿宋" w:cs="黑体"/>
          <w:sz w:val="28"/>
          <w:szCs w:val="28"/>
        </w:rPr>
      </w:pPr>
      <w:hyperlink w:anchor="_Toc15396604" w:history="1">
        <w:r w:rsidR="005B20D5">
          <w:rPr>
            <w:rStyle w:val="a8"/>
            <w:rFonts w:ascii="仿宋" w:eastAsia="仿宋" w:hAnsi="仿宋" w:cs="黑体" w:hint="eastAsia"/>
            <w:bCs/>
            <w:sz w:val="28"/>
            <w:szCs w:val="28"/>
          </w:rPr>
          <w:t>二、</w:t>
        </w:r>
        <w:r w:rsidR="005B20D5">
          <w:rPr>
            <w:rStyle w:val="a8"/>
            <w:rFonts w:ascii="仿宋" w:eastAsia="仿宋" w:hAnsi="仿宋" w:hint="eastAsia"/>
            <w:sz w:val="28"/>
            <w:szCs w:val="28"/>
          </w:rPr>
          <w:t>收</w:t>
        </w:r>
        <w:r w:rsidR="005B20D5">
          <w:rPr>
            <w:rStyle w:val="a8"/>
            <w:rFonts w:ascii="仿宋" w:eastAsia="仿宋" w:hAnsi="仿宋" w:cs="黑体" w:hint="eastAsia"/>
            <w:bCs/>
            <w:sz w:val="28"/>
            <w:szCs w:val="28"/>
          </w:rPr>
          <w:t>入决算情况说明</w:t>
        </w:r>
        <w:r w:rsidR="005B20D5">
          <w:rPr>
            <w:rFonts w:ascii="仿宋" w:eastAsia="仿宋" w:hAnsi="仿宋"/>
            <w:sz w:val="28"/>
            <w:szCs w:val="28"/>
          </w:rPr>
          <w:tab/>
        </w:r>
        <w:r w:rsidR="00583BA7">
          <w:rPr>
            <w:rFonts w:ascii="仿宋" w:eastAsia="仿宋" w:hAnsi="仿宋" w:hint="eastAsia"/>
            <w:sz w:val="28"/>
            <w:szCs w:val="28"/>
          </w:rPr>
          <w:t>6</w:t>
        </w:r>
      </w:hyperlink>
    </w:p>
    <w:p w:rsidR="00405573" w:rsidRDefault="00D86145">
      <w:pPr>
        <w:pStyle w:val="20"/>
        <w:rPr>
          <w:rFonts w:ascii="仿宋" w:eastAsia="仿宋" w:hAnsi="仿宋" w:cs="黑体"/>
          <w:sz w:val="28"/>
          <w:szCs w:val="28"/>
        </w:rPr>
      </w:pPr>
      <w:hyperlink w:anchor="_Toc15396605" w:history="1">
        <w:r w:rsidR="005B20D5">
          <w:rPr>
            <w:rStyle w:val="a8"/>
            <w:rFonts w:ascii="仿宋" w:eastAsia="仿宋" w:hAnsi="仿宋" w:cs="黑体" w:hint="eastAsia"/>
            <w:bCs/>
            <w:sz w:val="28"/>
            <w:szCs w:val="28"/>
          </w:rPr>
          <w:t>三、</w:t>
        </w:r>
        <w:r w:rsidR="005B20D5">
          <w:rPr>
            <w:rStyle w:val="a8"/>
            <w:rFonts w:ascii="仿宋" w:eastAsia="仿宋" w:hAnsi="仿宋" w:hint="eastAsia"/>
            <w:sz w:val="28"/>
            <w:szCs w:val="28"/>
          </w:rPr>
          <w:t>支</w:t>
        </w:r>
        <w:r w:rsidR="005B20D5">
          <w:rPr>
            <w:rStyle w:val="a8"/>
            <w:rFonts w:ascii="仿宋" w:eastAsia="仿宋" w:hAnsi="仿宋" w:cs="黑体" w:hint="eastAsia"/>
            <w:bCs/>
            <w:sz w:val="28"/>
            <w:szCs w:val="28"/>
          </w:rPr>
          <w:t>出决算情况说明</w:t>
        </w:r>
        <w:r w:rsidR="005B20D5">
          <w:rPr>
            <w:rFonts w:ascii="仿宋" w:eastAsia="仿宋" w:hAnsi="仿宋"/>
            <w:sz w:val="28"/>
            <w:szCs w:val="28"/>
          </w:rPr>
          <w:tab/>
        </w:r>
        <w:r w:rsidR="00583BA7">
          <w:rPr>
            <w:rFonts w:ascii="仿宋" w:eastAsia="仿宋" w:hAnsi="仿宋" w:hint="eastAsia"/>
            <w:sz w:val="28"/>
            <w:szCs w:val="28"/>
          </w:rPr>
          <w:t>7</w:t>
        </w:r>
      </w:hyperlink>
    </w:p>
    <w:p w:rsidR="00405573" w:rsidRDefault="00D86145">
      <w:pPr>
        <w:pStyle w:val="20"/>
        <w:rPr>
          <w:rFonts w:ascii="仿宋" w:eastAsia="仿宋" w:hAnsi="仿宋" w:cs="黑体"/>
          <w:sz w:val="28"/>
          <w:szCs w:val="28"/>
        </w:rPr>
      </w:pPr>
      <w:hyperlink w:anchor="_Toc15396606" w:history="1">
        <w:r w:rsidR="005B20D5">
          <w:rPr>
            <w:rStyle w:val="a8"/>
            <w:rFonts w:ascii="仿宋" w:eastAsia="仿宋" w:hAnsi="仿宋" w:hint="eastAsia"/>
            <w:sz w:val="28"/>
            <w:szCs w:val="28"/>
          </w:rPr>
          <w:t>四、财</w:t>
        </w:r>
        <w:r w:rsidR="005B20D5">
          <w:rPr>
            <w:rStyle w:val="a8"/>
            <w:rFonts w:ascii="仿宋" w:eastAsia="仿宋" w:hAnsi="仿宋" w:cs="黑体" w:hint="eastAsia"/>
            <w:bCs/>
            <w:sz w:val="28"/>
            <w:szCs w:val="28"/>
          </w:rPr>
          <w:t>政拨款收入支出决算总体情况说明</w:t>
        </w:r>
        <w:r w:rsidR="005B20D5">
          <w:rPr>
            <w:rFonts w:ascii="仿宋" w:eastAsia="仿宋" w:hAnsi="仿宋"/>
            <w:sz w:val="28"/>
            <w:szCs w:val="28"/>
          </w:rPr>
          <w:tab/>
        </w:r>
        <w:r w:rsidR="00583BA7">
          <w:rPr>
            <w:rFonts w:ascii="仿宋" w:eastAsia="仿宋" w:hAnsi="仿宋" w:hint="eastAsia"/>
            <w:sz w:val="28"/>
            <w:szCs w:val="28"/>
          </w:rPr>
          <w:t>8</w:t>
        </w:r>
      </w:hyperlink>
    </w:p>
    <w:p w:rsidR="00405573" w:rsidRDefault="00D86145">
      <w:pPr>
        <w:pStyle w:val="20"/>
        <w:rPr>
          <w:rFonts w:ascii="仿宋" w:eastAsia="仿宋" w:hAnsi="仿宋" w:cs="黑体"/>
          <w:sz w:val="28"/>
          <w:szCs w:val="28"/>
        </w:rPr>
      </w:pPr>
      <w:hyperlink w:anchor="_Toc15396607" w:history="1">
        <w:r w:rsidR="005B20D5">
          <w:rPr>
            <w:rStyle w:val="a8"/>
            <w:rFonts w:ascii="仿宋" w:eastAsia="仿宋" w:hAnsi="仿宋" w:hint="eastAsia"/>
            <w:sz w:val="28"/>
            <w:szCs w:val="28"/>
          </w:rPr>
          <w:t>五、一</w:t>
        </w:r>
        <w:r w:rsidR="005B20D5">
          <w:rPr>
            <w:rStyle w:val="a8"/>
            <w:rFonts w:ascii="仿宋" w:eastAsia="仿宋" w:hAnsi="仿宋" w:cs="黑体" w:hint="eastAsia"/>
            <w:bCs/>
            <w:sz w:val="28"/>
            <w:szCs w:val="28"/>
          </w:rPr>
          <w:t>般公共预算财政拨款支出决算情况说明</w:t>
        </w:r>
        <w:r w:rsidR="005B20D5">
          <w:rPr>
            <w:rFonts w:ascii="仿宋" w:eastAsia="仿宋" w:hAnsi="仿宋"/>
            <w:sz w:val="28"/>
            <w:szCs w:val="28"/>
          </w:rPr>
          <w:tab/>
        </w:r>
        <w:r w:rsidR="00583BA7">
          <w:rPr>
            <w:rFonts w:ascii="仿宋" w:eastAsia="仿宋" w:hAnsi="仿宋" w:hint="eastAsia"/>
            <w:sz w:val="28"/>
            <w:szCs w:val="28"/>
          </w:rPr>
          <w:t>8</w:t>
        </w:r>
      </w:hyperlink>
    </w:p>
    <w:p w:rsidR="00405573" w:rsidRDefault="00D86145">
      <w:pPr>
        <w:pStyle w:val="20"/>
        <w:rPr>
          <w:rFonts w:ascii="仿宋" w:eastAsia="仿宋" w:hAnsi="仿宋" w:cs="黑体"/>
          <w:sz w:val="28"/>
          <w:szCs w:val="28"/>
        </w:rPr>
      </w:pPr>
      <w:hyperlink w:anchor="_Toc15396608" w:history="1">
        <w:r w:rsidR="005B20D5">
          <w:rPr>
            <w:rStyle w:val="a8"/>
            <w:rFonts w:ascii="仿宋" w:eastAsia="仿宋" w:hAnsi="仿宋" w:hint="eastAsia"/>
            <w:sz w:val="28"/>
            <w:szCs w:val="28"/>
          </w:rPr>
          <w:t>六、一</w:t>
        </w:r>
        <w:r w:rsidR="005B20D5">
          <w:rPr>
            <w:rStyle w:val="a8"/>
            <w:rFonts w:ascii="仿宋" w:eastAsia="仿宋" w:hAnsi="仿宋" w:cs="黑体" w:hint="eastAsia"/>
            <w:bCs/>
            <w:sz w:val="28"/>
            <w:szCs w:val="28"/>
          </w:rPr>
          <w:t>般公共预算财政拨款基本支出决算情况说明</w:t>
        </w:r>
        <w:r w:rsidR="005B20D5">
          <w:rPr>
            <w:rFonts w:ascii="仿宋" w:eastAsia="仿宋" w:hAnsi="仿宋"/>
            <w:sz w:val="28"/>
            <w:szCs w:val="28"/>
          </w:rPr>
          <w:tab/>
        </w:r>
        <w:r w:rsidR="00583BA7">
          <w:rPr>
            <w:rFonts w:ascii="仿宋" w:eastAsia="仿宋" w:hAnsi="仿宋" w:hint="eastAsia"/>
            <w:sz w:val="28"/>
            <w:szCs w:val="28"/>
          </w:rPr>
          <w:t>11</w:t>
        </w:r>
      </w:hyperlink>
    </w:p>
    <w:p w:rsidR="00405573" w:rsidRDefault="00D86145">
      <w:pPr>
        <w:pStyle w:val="20"/>
        <w:rPr>
          <w:rFonts w:ascii="仿宋" w:eastAsia="仿宋" w:hAnsi="仿宋" w:cs="黑体"/>
          <w:sz w:val="28"/>
          <w:szCs w:val="28"/>
        </w:rPr>
      </w:pPr>
      <w:hyperlink w:anchor="_Toc15396609" w:history="1">
        <w:r w:rsidR="005B20D5">
          <w:rPr>
            <w:rStyle w:val="a8"/>
            <w:rFonts w:ascii="仿宋" w:eastAsia="仿宋" w:hAnsi="仿宋" w:hint="eastAsia"/>
            <w:sz w:val="28"/>
            <w:szCs w:val="28"/>
          </w:rPr>
          <w:t>七、</w:t>
        </w:r>
        <w:r w:rsidR="005B20D5">
          <w:rPr>
            <w:rStyle w:val="a8"/>
            <w:rFonts w:ascii="仿宋" w:eastAsia="仿宋" w:hAnsi="仿宋"/>
            <w:sz w:val="28"/>
            <w:szCs w:val="28"/>
          </w:rPr>
          <w:t>“</w:t>
        </w:r>
        <w:r w:rsidR="005B20D5">
          <w:rPr>
            <w:rStyle w:val="a8"/>
            <w:rFonts w:ascii="仿宋" w:eastAsia="仿宋" w:hAnsi="仿宋" w:cs="黑体" w:hint="eastAsia"/>
            <w:bCs/>
            <w:sz w:val="28"/>
            <w:szCs w:val="28"/>
          </w:rPr>
          <w:t>三公”经费财政拨款支出决算情况说明</w:t>
        </w:r>
        <w:r w:rsidR="005B20D5">
          <w:rPr>
            <w:rFonts w:ascii="仿宋" w:eastAsia="仿宋" w:hAnsi="仿宋"/>
            <w:sz w:val="28"/>
            <w:szCs w:val="28"/>
          </w:rPr>
          <w:tab/>
        </w:r>
        <w:r w:rsidR="00583BA7">
          <w:rPr>
            <w:rFonts w:ascii="仿宋" w:eastAsia="仿宋" w:hAnsi="仿宋" w:hint="eastAsia"/>
            <w:sz w:val="28"/>
            <w:szCs w:val="28"/>
          </w:rPr>
          <w:t>12</w:t>
        </w:r>
      </w:hyperlink>
    </w:p>
    <w:p w:rsidR="00405573" w:rsidRDefault="00D86145">
      <w:pPr>
        <w:pStyle w:val="20"/>
        <w:rPr>
          <w:rFonts w:ascii="仿宋" w:eastAsia="仿宋" w:hAnsi="仿宋" w:cs="黑体"/>
          <w:sz w:val="28"/>
          <w:szCs w:val="28"/>
        </w:rPr>
      </w:pPr>
      <w:hyperlink w:anchor="_Toc15396610" w:history="1">
        <w:r w:rsidR="005B20D5">
          <w:rPr>
            <w:rStyle w:val="a8"/>
            <w:rFonts w:ascii="仿宋" w:eastAsia="仿宋" w:hAnsi="仿宋" w:hint="eastAsia"/>
            <w:sz w:val="28"/>
            <w:szCs w:val="28"/>
          </w:rPr>
          <w:t>八、</w:t>
        </w:r>
        <w:r w:rsidR="005B20D5">
          <w:rPr>
            <w:rStyle w:val="a8"/>
            <w:rFonts w:ascii="仿宋" w:eastAsia="仿宋" w:hAnsi="仿宋" w:cs="黑体" w:hint="eastAsia"/>
            <w:bCs/>
            <w:sz w:val="28"/>
            <w:szCs w:val="28"/>
          </w:rPr>
          <w:t>政府性基金预算支出决算情况说明</w:t>
        </w:r>
        <w:r w:rsidR="005B20D5">
          <w:rPr>
            <w:rFonts w:ascii="仿宋" w:eastAsia="仿宋" w:hAnsi="仿宋"/>
            <w:sz w:val="28"/>
            <w:szCs w:val="28"/>
          </w:rPr>
          <w:tab/>
        </w:r>
        <w:r w:rsidR="00583BA7">
          <w:rPr>
            <w:rFonts w:ascii="仿宋" w:eastAsia="仿宋" w:hAnsi="仿宋" w:hint="eastAsia"/>
            <w:sz w:val="28"/>
            <w:szCs w:val="28"/>
          </w:rPr>
          <w:t>13</w:t>
        </w:r>
      </w:hyperlink>
    </w:p>
    <w:p w:rsidR="00405573" w:rsidRDefault="00D86145">
      <w:pPr>
        <w:pStyle w:val="20"/>
        <w:rPr>
          <w:rFonts w:hint="eastAsia"/>
        </w:rPr>
      </w:pPr>
      <w:hyperlink w:anchor="_Toc15396611" w:history="1">
        <w:r w:rsidR="005B20D5">
          <w:rPr>
            <w:rStyle w:val="a8"/>
            <w:rFonts w:ascii="仿宋" w:eastAsia="仿宋" w:hAnsi="仿宋" w:cs="黑体" w:hint="eastAsia"/>
            <w:bCs/>
            <w:sz w:val="28"/>
            <w:szCs w:val="28"/>
          </w:rPr>
          <w:t>九、</w:t>
        </w:r>
        <w:r w:rsidR="005B20D5">
          <w:rPr>
            <w:rStyle w:val="a8"/>
            <w:rFonts w:ascii="仿宋" w:eastAsia="仿宋" w:hAnsi="仿宋" w:hint="eastAsia"/>
            <w:sz w:val="28"/>
            <w:szCs w:val="28"/>
          </w:rPr>
          <w:t xml:space="preserve"> 国</w:t>
        </w:r>
        <w:r w:rsidR="005B20D5">
          <w:rPr>
            <w:rStyle w:val="a8"/>
            <w:rFonts w:ascii="仿宋" w:eastAsia="仿宋" w:hAnsi="仿宋" w:cs="黑体" w:hint="eastAsia"/>
            <w:bCs/>
            <w:sz w:val="28"/>
            <w:szCs w:val="28"/>
          </w:rPr>
          <w:t>有资本经营预算支出决算情况说明</w:t>
        </w:r>
        <w:r w:rsidR="005B20D5">
          <w:rPr>
            <w:rFonts w:ascii="仿宋" w:eastAsia="仿宋" w:hAnsi="仿宋"/>
            <w:sz w:val="28"/>
            <w:szCs w:val="28"/>
          </w:rPr>
          <w:tab/>
        </w:r>
        <w:r w:rsidR="00583BA7">
          <w:rPr>
            <w:rFonts w:ascii="仿宋" w:eastAsia="仿宋" w:hAnsi="仿宋" w:hint="eastAsia"/>
            <w:sz w:val="28"/>
            <w:szCs w:val="28"/>
          </w:rPr>
          <w:t>13</w:t>
        </w:r>
      </w:hyperlink>
    </w:p>
    <w:p w:rsidR="00583BA7" w:rsidRPr="00583BA7" w:rsidRDefault="00583BA7" w:rsidP="00583BA7">
      <w:pPr>
        <w:rPr>
          <w:rFonts w:ascii="仿宋" w:eastAsia="仿宋" w:hAnsi="仿宋"/>
          <w:sz w:val="28"/>
          <w:szCs w:val="28"/>
        </w:rPr>
      </w:pPr>
      <w:r>
        <w:rPr>
          <w:rFonts w:hint="eastAsia"/>
        </w:rPr>
        <w:t xml:space="preserve">  </w:t>
      </w:r>
      <w:r w:rsidRPr="00583BA7">
        <w:rPr>
          <w:rFonts w:ascii="仿宋" w:eastAsia="仿宋" w:hAnsi="仿宋" w:hint="eastAsia"/>
          <w:sz w:val="28"/>
          <w:szCs w:val="28"/>
        </w:rPr>
        <w:t xml:space="preserve"> </w:t>
      </w:r>
      <w:r>
        <w:rPr>
          <w:rFonts w:ascii="仿宋" w:eastAsia="仿宋" w:hAnsi="仿宋" w:hint="eastAsia"/>
          <w:sz w:val="28"/>
          <w:szCs w:val="28"/>
        </w:rPr>
        <w:t xml:space="preserve"> </w:t>
      </w:r>
      <w:r w:rsidRPr="00583BA7">
        <w:rPr>
          <w:rFonts w:ascii="仿宋" w:eastAsia="仿宋" w:hAnsi="仿宋" w:hint="eastAsia"/>
          <w:sz w:val="28"/>
          <w:szCs w:val="28"/>
        </w:rPr>
        <w:t>十、预算绩效情况说明</w:t>
      </w:r>
      <w:r w:rsidRPr="00583BA7">
        <w:rPr>
          <w:rFonts w:ascii="仿宋" w:eastAsia="仿宋" w:hAnsi="仿宋"/>
          <w:sz w:val="28"/>
          <w:szCs w:val="28"/>
        </w:rPr>
        <w:t>……………………………………………</w:t>
      </w:r>
      <w:r>
        <w:rPr>
          <w:rFonts w:ascii="仿宋" w:eastAsia="仿宋" w:hAnsi="仿宋" w:hint="eastAsia"/>
          <w:sz w:val="28"/>
          <w:szCs w:val="28"/>
        </w:rPr>
        <w:t>13</w:t>
      </w:r>
    </w:p>
    <w:p w:rsidR="00405573" w:rsidRDefault="00D86145">
      <w:pPr>
        <w:pStyle w:val="20"/>
        <w:rPr>
          <w:rFonts w:ascii="仿宋" w:eastAsia="仿宋" w:hAnsi="仿宋" w:cs="黑体"/>
          <w:sz w:val="28"/>
          <w:szCs w:val="28"/>
        </w:rPr>
      </w:pPr>
      <w:hyperlink w:anchor="_Toc15396612" w:history="1">
        <w:r w:rsidR="005B20D5">
          <w:rPr>
            <w:rStyle w:val="a8"/>
            <w:rFonts w:ascii="仿宋" w:eastAsia="仿宋" w:hAnsi="仿宋" w:hint="eastAsia"/>
            <w:sz w:val="28"/>
            <w:szCs w:val="28"/>
          </w:rPr>
          <w:t>十</w:t>
        </w:r>
        <w:r w:rsidR="005B20D5">
          <w:rPr>
            <w:rStyle w:val="a8"/>
            <w:rFonts w:ascii="仿宋" w:eastAsia="仿宋" w:hAnsi="仿宋" w:cs="黑体" w:hint="eastAsia"/>
            <w:bCs/>
            <w:sz w:val="28"/>
            <w:szCs w:val="28"/>
          </w:rPr>
          <w:t>一、其他重要事项的情况说明</w:t>
        </w:r>
        <w:r w:rsidR="005B20D5">
          <w:rPr>
            <w:rFonts w:ascii="仿宋" w:eastAsia="仿宋" w:hAnsi="仿宋"/>
            <w:sz w:val="28"/>
            <w:szCs w:val="28"/>
          </w:rPr>
          <w:tab/>
        </w:r>
        <w:r>
          <w:rPr>
            <w:rFonts w:ascii="仿宋" w:eastAsia="仿宋" w:hAnsi="仿宋"/>
            <w:sz w:val="28"/>
            <w:szCs w:val="28"/>
          </w:rPr>
          <w:fldChar w:fldCharType="begin"/>
        </w:r>
        <w:r w:rsidR="005B20D5">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5B20D5">
          <w:rPr>
            <w:rFonts w:ascii="仿宋" w:eastAsia="仿宋" w:hAnsi="仿宋"/>
            <w:sz w:val="28"/>
            <w:szCs w:val="28"/>
          </w:rPr>
          <w:t>14</w:t>
        </w:r>
        <w:r>
          <w:rPr>
            <w:rFonts w:ascii="仿宋" w:eastAsia="仿宋" w:hAnsi="仿宋"/>
            <w:sz w:val="28"/>
            <w:szCs w:val="28"/>
          </w:rPr>
          <w:fldChar w:fldCharType="end"/>
        </w:r>
      </w:hyperlink>
    </w:p>
    <w:p w:rsidR="00405573" w:rsidRDefault="00D86145">
      <w:pPr>
        <w:pStyle w:val="10"/>
        <w:rPr>
          <w:rFonts w:cs="黑体"/>
        </w:rPr>
      </w:pPr>
      <w:hyperlink w:anchor="_Toc15396613" w:history="1">
        <w:r w:rsidR="005B20D5">
          <w:rPr>
            <w:rStyle w:val="a8"/>
            <w:rFonts w:hint="eastAsia"/>
            <w:bCs/>
            <w:kern w:val="44"/>
          </w:rPr>
          <w:t>第三部分</w:t>
        </w:r>
        <w:r w:rsidR="005B20D5">
          <w:rPr>
            <w:rStyle w:val="a8"/>
            <w:rFonts w:hint="eastAsia"/>
          </w:rPr>
          <w:t xml:space="preserve"> 名</w:t>
        </w:r>
        <w:r w:rsidR="005B20D5">
          <w:rPr>
            <w:rStyle w:val="a8"/>
            <w:rFonts w:hint="eastAsia"/>
            <w:bCs/>
            <w:kern w:val="44"/>
          </w:rPr>
          <w:t>词解释</w:t>
        </w:r>
        <w:r w:rsidR="005B20D5">
          <w:tab/>
        </w:r>
        <w:r>
          <w:fldChar w:fldCharType="begin"/>
        </w:r>
        <w:r w:rsidR="005B20D5">
          <w:instrText xml:space="preserve"> PAGEREF _Toc15396613 \h </w:instrText>
        </w:r>
        <w:r>
          <w:fldChar w:fldCharType="separate"/>
        </w:r>
        <w:r w:rsidR="005B20D5">
          <w:t>16</w:t>
        </w:r>
        <w:r>
          <w:fldChar w:fldCharType="end"/>
        </w:r>
      </w:hyperlink>
    </w:p>
    <w:p w:rsidR="00405573" w:rsidRDefault="00D86145">
      <w:pPr>
        <w:pStyle w:val="10"/>
        <w:rPr>
          <w:rFonts w:cs="黑体"/>
        </w:rPr>
      </w:pPr>
      <w:hyperlink w:anchor="_Toc15396614" w:history="1">
        <w:r w:rsidR="005B20D5">
          <w:rPr>
            <w:rStyle w:val="a8"/>
            <w:rFonts w:hint="eastAsia"/>
          </w:rPr>
          <w:t>第</w:t>
        </w:r>
        <w:r w:rsidR="005B20D5">
          <w:rPr>
            <w:rStyle w:val="a8"/>
            <w:rFonts w:hint="eastAsia"/>
            <w:bCs/>
            <w:kern w:val="44"/>
          </w:rPr>
          <w:t>四部分附件</w:t>
        </w:r>
        <w:r w:rsidR="005B20D5">
          <w:tab/>
        </w:r>
        <w:r w:rsidR="00583BA7">
          <w:rPr>
            <w:rFonts w:hint="eastAsia"/>
          </w:rPr>
          <w:t>18</w:t>
        </w:r>
      </w:hyperlink>
    </w:p>
    <w:p w:rsidR="00405573" w:rsidRDefault="00D86145">
      <w:pPr>
        <w:pStyle w:val="20"/>
        <w:rPr>
          <w:rFonts w:ascii="仿宋" w:eastAsia="仿宋" w:hAnsi="仿宋" w:cs="黑体"/>
          <w:sz w:val="28"/>
          <w:szCs w:val="28"/>
        </w:rPr>
      </w:pPr>
      <w:hyperlink w:anchor="_Toc15396615" w:history="1">
        <w:r w:rsidR="005B20D5">
          <w:rPr>
            <w:rStyle w:val="a8"/>
            <w:rFonts w:ascii="仿宋" w:eastAsia="仿宋" w:hAnsi="仿宋" w:hint="eastAsia"/>
            <w:kern w:val="44"/>
            <w:sz w:val="28"/>
            <w:szCs w:val="28"/>
          </w:rPr>
          <w:t>附件</w:t>
        </w:r>
        <w:r w:rsidR="005B20D5">
          <w:rPr>
            <w:rStyle w:val="a8"/>
            <w:rFonts w:ascii="仿宋" w:eastAsia="仿宋" w:hAnsi="仿宋"/>
            <w:kern w:val="44"/>
            <w:sz w:val="28"/>
            <w:szCs w:val="28"/>
          </w:rPr>
          <w:t>1</w:t>
        </w:r>
        <w:r w:rsidR="005B20D5">
          <w:rPr>
            <w:rFonts w:ascii="仿宋" w:eastAsia="仿宋" w:hAnsi="仿宋"/>
            <w:sz w:val="28"/>
            <w:szCs w:val="28"/>
          </w:rPr>
          <w:tab/>
        </w:r>
        <w:r>
          <w:rPr>
            <w:rFonts w:ascii="仿宋" w:eastAsia="仿宋" w:hAnsi="仿宋"/>
            <w:sz w:val="28"/>
            <w:szCs w:val="28"/>
          </w:rPr>
          <w:fldChar w:fldCharType="begin"/>
        </w:r>
        <w:r w:rsidR="005B20D5">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5B20D5">
          <w:rPr>
            <w:rFonts w:ascii="仿宋" w:eastAsia="仿宋" w:hAnsi="仿宋"/>
            <w:sz w:val="28"/>
            <w:szCs w:val="28"/>
          </w:rPr>
          <w:t>1</w:t>
        </w:r>
        <w:r w:rsidR="00583BA7">
          <w:rPr>
            <w:rFonts w:ascii="仿宋" w:eastAsia="仿宋" w:hAnsi="仿宋" w:hint="eastAsia"/>
            <w:sz w:val="28"/>
            <w:szCs w:val="28"/>
          </w:rPr>
          <w:t>8</w:t>
        </w:r>
        <w:r>
          <w:rPr>
            <w:rFonts w:ascii="仿宋" w:eastAsia="仿宋" w:hAnsi="仿宋"/>
            <w:sz w:val="28"/>
            <w:szCs w:val="28"/>
          </w:rPr>
          <w:fldChar w:fldCharType="end"/>
        </w:r>
      </w:hyperlink>
    </w:p>
    <w:p w:rsidR="00405573" w:rsidRDefault="00D86145">
      <w:pPr>
        <w:pStyle w:val="10"/>
        <w:rPr>
          <w:rFonts w:cs="黑体"/>
        </w:rPr>
      </w:pPr>
      <w:hyperlink w:anchor="_Toc15396618" w:history="1">
        <w:r w:rsidR="005B20D5">
          <w:rPr>
            <w:rStyle w:val="a8"/>
            <w:rFonts w:hint="eastAsia"/>
          </w:rPr>
          <w:t>第</w:t>
        </w:r>
        <w:r w:rsidR="005B20D5">
          <w:rPr>
            <w:rStyle w:val="a8"/>
            <w:rFonts w:hint="eastAsia"/>
            <w:bCs/>
            <w:kern w:val="44"/>
          </w:rPr>
          <w:t>五部分附表</w:t>
        </w:r>
        <w:r w:rsidR="005B20D5">
          <w:tab/>
        </w:r>
        <w:r>
          <w:fldChar w:fldCharType="begin"/>
        </w:r>
        <w:r w:rsidR="005B20D5">
          <w:instrText xml:space="preserve"> PAGEREF _Toc15396618 \h </w:instrText>
        </w:r>
        <w:r>
          <w:fldChar w:fldCharType="separate"/>
        </w:r>
        <w:r w:rsidR="005B20D5">
          <w:t>2</w:t>
        </w:r>
        <w:r w:rsidR="00583BA7">
          <w:rPr>
            <w:rFonts w:hint="eastAsia"/>
          </w:rPr>
          <w:t>1</w:t>
        </w:r>
        <w:r>
          <w:fldChar w:fldCharType="end"/>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hyperlink>
    </w:p>
    <w:p w:rsidR="00405573" w:rsidRDefault="005B20D5">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hyperlink>
    </w:p>
    <w:p w:rsidR="00405573" w:rsidRDefault="005B20D5">
      <w:pPr>
        <w:pStyle w:val="20"/>
        <w:rPr>
          <w:rFonts w:ascii="仿宋" w:eastAsia="仿宋" w:hAnsi="仿宋" w:cs="黑体"/>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hyperlink>
    </w:p>
    <w:p w:rsidR="00405573" w:rsidRDefault="005B20D5">
      <w:pPr>
        <w:pStyle w:val="20"/>
        <w:rPr>
          <w:rFonts w:hint="eastAsia"/>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hyperlink>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583BA7" w:rsidRDefault="00583BA7" w:rsidP="00583BA7">
      <w:pPr>
        <w:rPr>
          <w:rFonts w:hint="eastAsia"/>
        </w:rPr>
      </w:pPr>
    </w:p>
    <w:p w:rsidR="00405573" w:rsidRDefault="00D86145">
      <w:pPr>
        <w:widowControl/>
        <w:jc w:val="left"/>
        <w:rPr>
          <w:rFonts w:ascii="黑体" w:eastAsia="黑体" w:hAnsi="黑体"/>
          <w:bCs/>
          <w:kern w:val="44"/>
          <w:sz w:val="44"/>
          <w:szCs w:val="44"/>
        </w:rPr>
      </w:pPr>
      <w:r>
        <w:rPr>
          <w:rFonts w:ascii="仿宋" w:eastAsia="仿宋" w:hAnsi="仿宋"/>
          <w:color w:val="000000"/>
          <w:sz w:val="24"/>
        </w:rPr>
        <w:fldChar w:fldCharType="end"/>
      </w:r>
      <w:bookmarkStart w:id="12" w:name="_Toc15377196"/>
      <w:bookmarkStart w:id="13" w:name="_Toc15396599"/>
      <w:r w:rsidR="005B20D5">
        <w:rPr>
          <w:rFonts w:ascii="黑体" w:eastAsia="黑体" w:hAnsi="黑体"/>
          <w:b/>
        </w:rPr>
        <w:br w:type="page"/>
      </w:r>
    </w:p>
    <w:p w:rsidR="00405573" w:rsidRDefault="005B20D5">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405573" w:rsidRDefault="00405573">
      <w:pPr>
        <w:widowControl/>
        <w:jc w:val="left"/>
        <w:rPr>
          <w:rFonts w:ascii="黑体" w:eastAsia="黑体"/>
          <w:color w:val="000000"/>
          <w:sz w:val="32"/>
          <w:szCs w:val="32"/>
        </w:rPr>
      </w:pPr>
    </w:p>
    <w:p w:rsidR="00405573" w:rsidRDefault="005B20D5">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井研县农村能源办公室负责农村能源开发、建设、管理、节约等工作，承担引进、推广新型节能技术，培训专业技术人员和广大用户，制定农村能源开发利用计划（规划）并组织实施和管理全县农村户用沼气池、大中型沼气工程、中小型集中供气工程、太阳能、省柴节煤灶等农村能源建设项目，开展质量监督及后续服务工作。</w:t>
      </w:r>
      <w:bookmarkEnd w:id="16"/>
      <w:bookmarkEnd w:id="17"/>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7199"/>
      <w:bookmarkStart w:id="19"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井研县农村能源办公室今年主要负责全县沼气池的开发、建设、管理。完成了9处集中供气点的后续供气和循环农业建设进行了指导和监督，培训专业技术人员和广大用户350人次。进行了全县范围的安全月大排查。开展质量监督和沼气池的后续服务等工作。</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（1）、推广生态种养循环模式。</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按照“林畜配套、种养结合、立体循环、综合增效”发展思路，大力推行“生态养殖+沼气+绿色种植”循环经济模式，尽可能通过农田渠系、滴灌管网把畜禽排泄物或沼液用</w:t>
      </w:r>
      <w:r>
        <w:rPr>
          <w:rFonts w:ascii="仿宋" w:eastAsia="仿宋" w:hAnsi="仿宋" w:hint="eastAsia"/>
          <w:bCs/>
          <w:color w:val="000000"/>
          <w:sz w:val="32"/>
          <w:szCs w:val="32"/>
        </w:rPr>
        <w:lastRenderedPageBreak/>
        <w:t>于农田，构建种养平衡、农牧互动、生态循环、环境友好的产业发展体系。2018年，对9处沼气集中供气项目后续供气和循环农业建设进行了指导和监督。</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（2）、规模化大型沼气工程</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配合农业局完成井研县2018年畜粪污资源化利用整县推进项目大型沼气工程，2018年已完成各类评审、设计、招投标、广告费用、监理等费用154万元。完成投资4000多万元占总工程量的40%。</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（3）、注重科技创新，抓好技术扶贫。</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组织实施新型农民培训沼气工程、安全管理、维护等技术培训班。2018年，我办培训新型农民 350人次。</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（4）、全力抓好农村沼气安全。</w:t>
      </w:r>
    </w:p>
    <w:p w:rsidR="00405573" w:rsidRDefault="005B20D5">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牢固树立“安全第一，预防为主，综合治理”思想，完善沼气安全应急预案，进一步夯实安全生产责任制，落实一岗双责。积极开展农村沼气建设与使用安全管理宣传，确保了无较重大安全事故发生。2018年8月，开展沼气安全月大排查检查，深入27个乡镇，对沼气用户进行安全检查，并和9处集中供气点签订了沼气安全责任书。</w:t>
      </w:r>
    </w:p>
    <w:p w:rsidR="00405573" w:rsidRDefault="005B20D5">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405573" w:rsidRDefault="005B20D5">
      <w:pPr>
        <w:ind w:firstLineChars="250" w:firstLine="800"/>
        <w:rPr>
          <w:rFonts w:ascii="仿宋" w:eastAsia="仿宋" w:hAnsi="仿宋"/>
          <w:sz w:val="32"/>
          <w:szCs w:val="32"/>
        </w:rPr>
      </w:pPr>
      <w:r>
        <w:rPr>
          <w:rFonts w:ascii="仿宋" w:eastAsia="仿宋" w:hAnsi="仿宋" w:hint="eastAsia"/>
          <w:sz w:val="32"/>
          <w:szCs w:val="32"/>
        </w:rPr>
        <w:t>井研县农村能源办公室属参照（公务员法）管理的事业单位。编制数为8人，实有人员5人。</w:t>
      </w:r>
    </w:p>
    <w:p w:rsidR="00405573" w:rsidRDefault="005B20D5">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Style w:val="1Char"/>
          <w:rFonts w:ascii="黑体" w:eastAsia="黑体" w:hAnsi="黑体" w:hint="eastAsia"/>
        </w:rPr>
        <w:t>2018年度部门决算情况说明</w:t>
      </w:r>
      <w:bookmarkEnd w:id="22"/>
      <w:bookmarkEnd w:id="23"/>
    </w:p>
    <w:p w:rsidR="00405573" w:rsidRDefault="00405573"/>
    <w:p w:rsidR="00405573" w:rsidRDefault="005B20D5">
      <w:pPr>
        <w:pStyle w:val="11"/>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2018年度收、支总计113.74万元。与2017年</w:t>
      </w:r>
      <w:r w:rsidR="005A5347">
        <w:rPr>
          <w:rFonts w:ascii="仿宋" w:eastAsia="仿宋" w:hAnsi="仿宋" w:hint="eastAsia"/>
          <w:color w:val="000000"/>
          <w:sz w:val="32"/>
          <w:szCs w:val="32"/>
        </w:rPr>
        <w:t>度收、支总计273.43万元</w:t>
      </w:r>
      <w:r>
        <w:rPr>
          <w:rFonts w:ascii="仿宋" w:eastAsia="仿宋" w:hAnsi="仿宋" w:hint="eastAsia"/>
          <w:color w:val="000000"/>
          <w:sz w:val="32"/>
          <w:szCs w:val="32"/>
        </w:rPr>
        <w:t>相比，收、支总计减少159.6</w:t>
      </w:r>
      <w:r w:rsidR="00560A77">
        <w:rPr>
          <w:rFonts w:ascii="仿宋" w:eastAsia="仿宋" w:hAnsi="仿宋" w:hint="eastAsia"/>
          <w:color w:val="000000"/>
          <w:sz w:val="32"/>
          <w:szCs w:val="32"/>
        </w:rPr>
        <w:t>9</w:t>
      </w:r>
      <w:r>
        <w:rPr>
          <w:rFonts w:ascii="仿宋" w:eastAsia="仿宋" w:hAnsi="仿宋" w:hint="eastAsia"/>
          <w:color w:val="000000"/>
          <w:sz w:val="32"/>
          <w:szCs w:val="32"/>
        </w:rPr>
        <w:t>万元，下降58.40</w:t>
      </w:r>
      <w:r>
        <w:rPr>
          <w:rFonts w:ascii="仿宋" w:eastAsia="仿宋" w:hAnsi="仿宋"/>
          <w:color w:val="000000"/>
          <w:sz w:val="32"/>
          <w:szCs w:val="32"/>
        </w:rPr>
        <w:t>%</w:t>
      </w:r>
      <w:r>
        <w:rPr>
          <w:rFonts w:ascii="仿宋" w:eastAsia="仿宋" w:hAnsi="仿宋" w:hint="eastAsia"/>
          <w:color w:val="000000"/>
          <w:sz w:val="32"/>
          <w:szCs w:val="32"/>
        </w:rPr>
        <w:t>。主要变动原因是2018年没有沼气建设工程项目资金。</w:t>
      </w:r>
    </w:p>
    <w:p w:rsidR="00BF4B9B" w:rsidRDefault="00E501D1" w:rsidP="00BF4B9B">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572762" cy="2746629"/>
            <wp:effectExtent l="12192" t="6096" r="6096" b="0"/>
            <wp:docPr id="14"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5347" w:rsidRPr="005A5347" w:rsidRDefault="00BF4B9B" w:rsidP="005A534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w:t>
      </w:r>
      <w:r w:rsidR="005B20D5">
        <w:rPr>
          <w:rFonts w:ascii="仿宋" w:eastAsia="仿宋" w:hAnsi="仿宋"/>
          <w:color w:val="000000"/>
          <w:sz w:val="32"/>
          <w:szCs w:val="32"/>
        </w:rPr>
        <w:t>1</w:t>
      </w:r>
      <w:r w:rsidR="005B20D5">
        <w:rPr>
          <w:rFonts w:ascii="仿宋" w:eastAsia="仿宋" w:hAnsi="仿宋" w:hint="eastAsia"/>
          <w:color w:val="000000"/>
          <w:sz w:val="32"/>
          <w:szCs w:val="32"/>
        </w:rPr>
        <w:t>：收、支决算总计变动情况图</w:t>
      </w:r>
    </w:p>
    <w:p w:rsidR="00405573" w:rsidRDefault="005B20D5">
      <w:pPr>
        <w:pStyle w:val="11"/>
        <w:numPr>
          <w:ilvl w:val="0"/>
          <w:numId w:val="1"/>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405573" w:rsidRDefault="005B20D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8年本年收入合计84.42万元，其中：一般公共预算财政拨款收入84.42万元，占100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p>
    <w:p w:rsidR="00BF4B9B" w:rsidRDefault="00E501D1" w:rsidP="00BF4B9B">
      <w:pPr>
        <w:ind w:firstLineChars="200" w:firstLine="640"/>
        <w:outlineLvl w:val="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572762" cy="2746629"/>
            <wp:effectExtent l="12192" t="6096" r="6096" b="0"/>
            <wp:docPr id="13"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573" w:rsidRDefault="00BF4B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图2：收入决算结构图</w:t>
      </w:r>
      <w:r>
        <w:rPr>
          <w:rFonts w:ascii="仿宋" w:eastAsia="仿宋" w:hAnsi="仿宋" w:hint="eastAsia"/>
          <w:color w:val="000000"/>
          <w:sz w:val="32"/>
          <w:szCs w:val="32"/>
        </w:rPr>
        <w:t xml:space="preserve"> </w:t>
      </w:r>
    </w:p>
    <w:p w:rsidR="00405573" w:rsidRDefault="00405573">
      <w:pPr>
        <w:spacing w:line="600" w:lineRule="exact"/>
        <w:ind w:firstLineChars="200" w:firstLine="640"/>
        <w:rPr>
          <w:rFonts w:ascii="仿宋_GB2312" w:eastAsia="仿宋_GB2312"/>
          <w:color w:val="FF0000"/>
          <w:sz w:val="32"/>
          <w:szCs w:val="32"/>
        </w:rPr>
      </w:pPr>
    </w:p>
    <w:p w:rsidR="00405573" w:rsidRDefault="005B20D5">
      <w:pPr>
        <w:pStyle w:val="11"/>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405573" w:rsidRDefault="005B20D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8年本年支出合计81.73万元，其中：基本支出60.22万元，占73.68</w:t>
      </w:r>
      <w:r>
        <w:rPr>
          <w:rFonts w:ascii="仿宋" w:eastAsia="仿宋" w:hAnsi="仿宋"/>
          <w:color w:val="000000"/>
          <w:sz w:val="32"/>
          <w:szCs w:val="32"/>
        </w:rPr>
        <w:t>%</w:t>
      </w:r>
      <w:r>
        <w:rPr>
          <w:rFonts w:ascii="仿宋" w:eastAsia="仿宋" w:hAnsi="仿宋" w:hint="eastAsia"/>
          <w:color w:val="000000"/>
          <w:sz w:val="32"/>
          <w:szCs w:val="32"/>
        </w:rPr>
        <w:t>；项目支出21.51万元，占26.32</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BF4B9B" w:rsidRDefault="00E501D1" w:rsidP="00BF4B9B">
      <w:pPr>
        <w:ind w:firstLine="641"/>
        <w:rPr>
          <w:rFonts w:ascii="仿宋" w:eastAsia="仿宋" w:hAnsi="仿宋"/>
          <w:color w:val="000000"/>
          <w:sz w:val="32"/>
          <w:szCs w:val="32"/>
          <w:shd w:val="pct10" w:color="auto" w:fill="FFFFFF"/>
        </w:rPr>
      </w:pPr>
      <w:r>
        <w:rPr>
          <w:rFonts w:ascii="仿宋" w:eastAsia="仿宋" w:hAnsi="仿宋"/>
          <w:noProof/>
          <w:color w:val="000000"/>
          <w:sz w:val="32"/>
          <w:szCs w:val="32"/>
          <w:shd w:val="pct10" w:color="auto" w:fill="FFFFFF"/>
        </w:rPr>
        <w:drawing>
          <wp:inline distT="0" distB="0" distL="0" distR="0">
            <wp:extent cx="4572762" cy="2746629"/>
            <wp:effectExtent l="12192" t="6096" r="6096" b="0"/>
            <wp:docPr id="12"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573" w:rsidRDefault="00BF4B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图3：支出决算结构图</w:t>
      </w:r>
      <w:r>
        <w:rPr>
          <w:rFonts w:ascii="仿宋" w:eastAsia="仿宋" w:hAnsi="仿宋" w:hint="eastAsia"/>
          <w:color w:val="000000"/>
          <w:sz w:val="32"/>
          <w:szCs w:val="32"/>
        </w:rPr>
        <w:t xml:space="preserve"> </w:t>
      </w:r>
    </w:p>
    <w:p w:rsidR="00405573" w:rsidRDefault="00405573">
      <w:pPr>
        <w:spacing w:line="600" w:lineRule="exact"/>
        <w:ind w:firstLineChars="200" w:firstLine="640"/>
        <w:rPr>
          <w:rFonts w:ascii="仿宋_GB2312" w:eastAsia="仿宋_GB2312"/>
          <w:color w:val="FF0000"/>
          <w:sz w:val="32"/>
          <w:szCs w:val="32"/>
        </w:rPr>
      </w:pPr>
    </w:p>
    <w:p w:rsidR="00405573" w:rsidRDefault="005B20D5">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8年财政拨款收、支总计113.74万元。与</w:t>
      </w:r>
      <w:r>
        <w:rPr>
          <w:rFonts w:ascii="仿宋" w:eastAsia="仿宋" w:hAnsi="仿宋"/>
          <w:color w:val="000000"/>
          <w:sz w:val="32"/>
          <w:szCs w:val="32"/>
        </w:rPr>
        <w:t>201</w:t>
      </w:r>
      <w:r>
        <w:rPr>
          <w:rFonts w:ascii="仿宋" w:eastAsia="仿宋" w:hAnsi="仿宋" w:hint="eastAsia"/>
          <w:color w:val="000000"/>
          <w:sz w:val="32"/>
          <w:szCs w:val="32"/>
        </w:rPr>
        <w:t>7年</w:t>
      </w:r>
      <w:r w:rsidR="005A5347">
        <w:rPr>
          <w:rFonts w:ascii="仿宋" w:eastAsia="仿宋" w:hAnsi="仿宋" w:hint="eastAsia"/>
          <w:color w:val="000000"/>
          <w:sz w:val="32"/>
          <w:szCs w:val="32"/>
        </w:rPr>
        <w:t>度收、支总计273.43万元</w:t>
      </w:r>
      <w:r>
        <w:rPr>
          <w:rFonts w:ascii="仿宋" w:eastAsia="仿宋" w:hAnsi="仿宋" w:hint="eastAsia"/>
          <w:color w:val="000000"/>
          <w:sz w:val="32"/>
          <w:szCs w:val="32"/>
        </w:rPr>
        <w:t>相比，财政拨款收、支总计减少159.6</w:t>
      </w:r>
      <w:r w:rsidR="00560A77">
        <w:rPr>
          <w:rFonts w:ascii="仿宋" w:eastAsia="仿宋" w:hAnsi="仿宋" w:hint="eastAsia"/>
          <w:color w:val="000000"/>
          <w:sz w:val="32"/>
          <w:szCs w:val="32"/>
        </w:rPr>
        <w:t>9</w:t>
      </w:r>
      <w:r>
        <w:rPr>
          <w:rFonts w:ascii="仿宋" w:eastAsia="仿宋" w:hAnsi="仿宋" w:hint="eastAsia"/>
          <w:color w:val="000000"/>
          <w:sz w:val="32"/>
          <w:szCs w:val="32"/>
        </w:rPr>
        <w:t>万元，下降58.40</w:t>
      </w:r>
      <w:r>
        <w:rPr>
          <w:rFonts w:ascii="仿宋" w:eastAsia="仿宋" w:hAnsi="仿宋"/>
          <w:color w:val="000000"/>
          <w:sz w:val="32"/>
          <w:szCs w:val="32"/>
        </w:rPr>
        <w:t>%</w:t>
      </w:r>
      <w:r>
        <w:rPr>
          <w:rFonts w:ascii="仿宋" w:eastAsia="仿宋" w:hAnsi="仿宋" w:hint="eastAsia"/>
          <w:color w:val="000000"/>
          <w:sz w:val="32"/>
          <w:szCs w:val="32"/>
        </w:rPr>
        <w:t>。主要变动原因是2018年没有沼气建设工程项目资金。</w:t>
      </w:r>
    </w:p>
    <w:p w:rsidR="00405573" w:rsidRDefault="00E501D1" w:rsidP="00C02AC6">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572762" cy="2746629"/>
            <wp:effectExtent l="12192" t="6096" r="6096" b="0"/>
            <wp:docPr id="11"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573" w:rsidRDefault="00BF4B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图4：财政拨款收、支决算总计变动情况</w:t>
      </w:r>
      <w:r>
        <w:rPr>
          <w:rFonts w:ascii="仿宋" w:eastAsia="仿宋" w:hAnsi="仿宋" w:hint="eastAsia"/>
          <w:color w:val="000000"/>
          <w:sz w:val="32"/>
          <w:szCs w:val="32"/>
        </w:rPr>
        <w:t xml:space="preserve"> </w:t>
      </w:r>
    </w:p>
    <w:p w:rsidR="00405573" w:rsidRDefault="00405573">
      <w:pPr>
        <w:spacing w:line="600" w:lineRule="exact"/>
        <w:ind w:firstLine="640"/>
        <w:rPr>
          <w:rFonts w:ascii="仿宋" w:eastAsia="仿宋" w:hAnsi="仿宋"/>
          <w:b/>
          <w:color w:val="00B050"/>
          <w:sz w:val="32"/>
          <w:szCs w:val="32"/>
        </w:rPr>
      </w:pPr>
    </w:p>
    <w:p w:rsidR="00405573" w:rsidRDefault="005B20D5">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405573" w:rsidRDefault="005B20D5">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8年一般公共预算财政拨款支出81.73万元，占本年支出合计的100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w:t>
      </w:r>
      <w:r w:rsidR="00560A77">
        <w:rPr>
          <w:rFonts w:ascii="仿宋" w:eastAsia="仿宋" w:hAnsi="仿宋" w:hint="eastAsia"/>
          <w:color w:val="000000"/>
          <w:sz w:val="32"/>
          <w:szCs w:val="32"/>
        </w:rPr>
        <w:t>一般公共预算财政拨款支出244.11万元</w:t>
      </w:r>
      <w:r>
        <w:rPr>
          <w:rFonts w:ascii="仿宋" w:eastAsia="仿宋" w:hAnsi="仿宋" w:hint="eastAsia"/>
          <w:color w:val="000000"/>
          <w:sz w:val="32"/>
          <w:szCs w:val="32"/>
        </w:rPr>
        <w:t>相比，一般公共预算财政拨款减少162.38万元，下降66.52</w:t>
      </w:r>
      <w:r>
        <w:rPr>
          <w:rFonts w:ascii="仿宋" w:eastAsia="仿宋" w:hAnsi="仿宋"/>
          <w:color w:val="000000"/>
          <w:sz w:val="32"/>
          <w:szCs w:val="32"/>
        </w:rPr>
        <w:t>%</w:t>
      </w:r>
      <w:r>
        <w:rPr>
          <w:rFonts w:ascii="仿宋" w:eastAsia="仿宋" w:hAnsi="仿宋" w:hint="eastAsia"/>
          <w:color w:val="000000"/>
          <w:sz w:val="32"/>
          <w:szCs w:val="32"/>
        </w:rPr>
        <w:t>。主要变动原因是2018年没有沼气建设工程项目资金。</w:t>
      </w:r>
    </w:p>
    <w:p w:rsidR="00C02AC6" w:rsidRDefault="00E501D1" w:rsidP="00C02AC6">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572762" cy="2746629"/>
            <wp:effectExtent l="12192" t="6096" r="6096" b="0"/>
            <wp:docPr id="9"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573" w:rsidRDefault="00C02AC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图5：一般公共预算财政拨款支出决算变动情况</w:t>
      </w:r>
    </w:p>
    <w:p w:rsidR="00405573" w:rsidRDefault="005B20D5">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C02AC6" w:rsidRDefault="005B20D5" w:rsidP="00C02AC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8年一般公共预算财政拨款支出81.73万元，主要用于以下方面</w:t>
      </w:r>
      <w:r>
        <w:rPr>
          <w:rFonts w:ascii="仿宋" w:eastAsia="仿宋" w:hAnsi="仿宋"/>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支出6.92万元，占8.47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医疗卫生</w:t>
      </w:r>
      <w:r>
        <w:rPr>
          <w:rFonts w:ascii="仿宋" w:eastAsia="仿宋" w:hAnsi="仿宋" w:hint="eastAsia"/>
          <w:color w:val="000000"/>
          <w:sz w:val="32"/>
          <w:szCs w:val="32"/>
        </w:rPr>
        <w:t>支出1.69万元，占2.07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农林水</w:t>
      </w:r>
      <w:r>
        <w:rPr>
          <w:rFonts w:ascii="仿宋" w:eastAsia="仿宋" w:hAnsi="仿宋" w:hint="eastAsia"/>
          <w:color w:val="000000"/>
          <w:sz w:val="32"/>
          <w:szCs w:val="32"/>
        </w:rPr>
        <w:t>支出 68.68万元</w:t>
      </w:r>
      <w:r>
        <w:rPr>
          <w:rFonts w:ascii="仿宋_GB2312" w:eastAsia="仿宋_GB2312" w:hAnsi="宋体" w:hint="eastAsia"/>
          <w:color w:val="000000"/>
          <w:sz w:val="32"/>
          <w:szCs w:val="32"/>
        </w:rPr>
        <w:t>，</w:t>
      </w:r>
      <w:r>
        <w:rPr>
          <w:rFonts w:ascii="仿宋" w:eastAsia="仿宋" w:hAnsi="仿宋" w:hint="eastAsia"/>
          <w:color w:val="000000"/>
          <w:sz w:val="32"/>
          <w:szCs w:val="32"/>
        </w:rPr>
        <w:t>占84.03%；</w:t>
      </w:r>
      <w:r>
        <w:rPr>
          <w:rFonts w:ascii="仿宋" w:eastAsia="仿宋" w:hAnsi="仿宋" w:hint="eastAsia"/>
          <w:b/>
          <w:color w:val="000000"/>
          <w:sz w:val="32"/>
          <w:szCs w:val="32"/>
        </w:rPr>
        <w:t>住房保障</w:t>
      </w:r>
      <w:r>
        <w:rPr>
          <w:rFonts w:ascii="仿宋" w:eastAsia="仿宋" w:hAnsi="仿宋" w:hint="eastAsia"/>
          <w:color w:val="000000"/>
          <w:sz w:val="32"/>
          <w:szCs w:val="32"/>
        </w:rPr>
        <w:t>支出4.44万元，占5.43</w:t>
      </w:r>
      <w:r>
        <w:rPr>
          <w:rFonts w:ascii="仿宋" w:eastAsia="仿宋" w:hAnsi="仿宋"/>
          <w:color w:val="000000"/>
          <w:sz w:val="32"/>
          <w:szCs w:val="32"/>
        </w:rPr>
        <w:t>%</w:t>
      </w:r>
      <w:r w:rsidR="00C02AC6">
        <w:rPr>
          <w:rFonts w:ascii="仿宋" w:eastAsia="仿宋" w:hAnsi="仿宋" w:hint="eastAsia"/>
          <w:color w:val="000000"/>
          <w:sz w:val="32"/>
          <w:szCs w:val="32"/>
        </w:rPr>
        <w:t>.</w:t>
      </w:r>
    </w:p>
    <w:p w:rsidR="00C02AC6" w:rsidRDefault="00C02AC6" w:rsidP="00C02AC6">
      <w:pPr>
        <w:spacing w:line="600" w:lineRule="exact"/>
        <w:ind w:firstLine="640"/>
        <w:rPr>
          <w:rFonts w:ascii="仿宋" w:eastAsia="仿宋" w:hAnsi="仿宋"/>
          <w:color w:val="000000"/>
          <w:sz w:val="32"/>
          <w:szCs w:val="32"/>
        </w:rPr>
      </w:pPr>
    </w:p>
    <w:p w:rsidR="00C02AC6" w:rsidRDefault="00E501D1" w:rsidP="00C02AC6">
      <w:pPr>
        <w:ind w:firstLine="64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572762" cy="4383405"/>
            <wp:effectExtent l="12192" t="6096" r="6096" b="1524"/>
            <wp:docPr id="10"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5573" w:rsidRDefault="00C02AC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sidR="005B20D5">
        <w:rPr>
          <w:rFonts w:ascii="仿宋" w:eastAsia="仿宋" w:hAnsi="仿宋" w:hint="eastAsia"/>
          <w:color w:val="000000"/>
          <w:sz w:val="32"/>
          <w:szCs w:val="32"/>
        </w:rPr>
        <w:t>图6：一般公共预算财政拨款支出决算结构</w:t>
      </w:r>
    </w:p>
    <w:p w:rsidR="00405573" w:rsidRDefault="005B20D5">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405573" w:rsidRDefault="005B20D5">
      <w:pPr>
        <w:spacing w:line="600" w:lineRule="exact"/>
        <w:ind w:firstLineChars="200" w:firstLine="643"/>
        <w:outlineLvl w:val="2"/>
        <w:rPr>
          <w:rFonts w:ascii="仿宋" w:eastAsia="仿宋" w:hAnsi="仿宋"/>
          <w:color w:val="FF0000"/>
          <w:sz w:val="32"/>
          <w:szCs w:val="32"/>
        </w:rPr>
      </w:pPr>
      <w:bookmarkStart w:id="37" w:name="_Toc15377444"/>
      <w:bookmarkStart w:id="38" w:name="_Toc15377213"/>
      <w:bookmarkStart w:id="39" w:name="_Toc15378460"/>
      <w:r>
        <w:rPr>
          <w:rFonts w:ascii="仿宋" w:eastAsia="仿宋" w:hAnsi="仿宋" w:hint="eastAsia"/>
          <w:b/>
          <w:color w:val="000000"/>
          <w:sz w:val="32"/>
          <w:szCs w:val="32"/>
        </w:rPr>
        <w:t>2018年般公共预算支出决算数为81.73万元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405573" w:rsidRDefault="005B20D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社会保障和就业（类）行政事业单位离退休（款）机关事业单位基本养老保险缴费支出（项）:</w:t>
      </w:r>
      <w:r>
        <w:rPr>
          <w:rStyle w:val="a7"/>
          <w:rFonts w:ascii="仿宋" w:eastAsia="仿宋" w:hAnsi="仿宋" w:hint="eastAsia"/>
          <w:b w:val="0"/>
          <w:bCs/>
          <w:color w:val="000000"/>
          <w:sz w:val="32"/>
          <w:szCs w:val="32"/>
        </w:rPr>
        <w:t>2018年决算数为 6.92万元，完成预算100%。</w:t>
      </w:r>
    </w:p>
    <w:p w:rsidR="00405573" w:rsidRDefault="005B20D5">
      <w:pPr>
        <w:spacing w:line="600" w:lineRule="exact"/>
        <w:ind w:firstLineChars="100" w:firstLine="321"/>
        <w:rPr>
          <w:rFonts w:ascii="仿宋" w:eastAsia="仿宋" w:hAnsi="仿宋"/>
          <w:b/>
          <w:color w:val="000000"/>
          <w:sz w:val="32"/>
          <w:szCs w:val="32"/>
        </w:rPr>
      </w:pPr>
      <w:r>
        <w:rPr>
          <w:rStyle w:val="a7"/>
          <w:rFonts w:ascii="仿宋" w:eastAsia="仿宋" w:hAnsi="仿宋" w:hint="eastAsia"/>
          <w:bCs/>
          <w:color w:val="000000"/>
          <w:sz w:val="32"/>
          <w:szCs w:val="32"/>
        </w:rPr>
        <w:t xml:space="preserve">　2.医疗卫生与计划生育（类）医疗保障（款）行政单位医疗（项）:</w:t>
      </w:r>
      <w:r>
        <w:rPr>
          <w:rStyle w:val="a7"/>
          <w:rFonts w:ascii="仿宋" w:eastAsia="仿宋" w:hAnsi="仿宋" w:hint="eastAsia"/>
          <w:b w:val="0"/>
          <w:bCs/>
          <w:color w:val="000000"/>
          <w:sz w:val="32"/>
          <w:szCs w:val="32"/>
        </w:rPr>
        <w:t>2018年决算数为1.69 万元，完成预算100%</w:t>
      </w:r>
      <w:r>
        <w:rPr>
          <w:rStyle w:val="a7"/>
          <w:rFonts w:ascii="仿宋" w:eastAsia="仿宋" w:hAnsi="仿宋" w:hint="eastAsia"/>
          <w:bCs/>
          <w:color w:val="000000"/>
          <w:sz w:val="32"/>
          <w:szCs w:val="32"/>
        </w:rPr>
        <w:t>。</w:t>
      </w:r>
    </w:p>
    <w:p w:rsidR="00405573" w:rsidRDefault="005B20D5">
      <w:pPr>
        <w:numPr>
          <w:ilvl w:val="0"/>
          <w:numId w:val="2"/>
        </w:numPr>
        <w:spacing w:line="600" w:lineRule="exact"/>
        <w:ind w:firstLineChars="200" w:firstLine="643"/>
        <w:rPr>
          <w:rStyle w:val="a7"/>
          <w:rFonts w:ascii="仿宋" w:eastAsia="仿宋" w:hAnsi="仿宋"/>
          <w:b w:val="0"/>
          <w:bCs/>
          <w:color w:val="000000"/>
          <w:sz w:val="32"/>
          <w:szCs w:val="32"/>
        </w:rPr>
      </w:pPr>
      <w:r>
        <w:rPr>
          <w:rFonts w:ascii="仿宋" w:eastAsia="仿宋" w:hAnsi="仿宋" w:hint="eastAsia"/>
          <w:b/>
          <w:color w:val="000000"/>
          <w:sz w:val="32"/>
          <w:szCs w:val="32"/>
        </w:rPr>
        <w:t>农林水支出（类）农业（款）行政运行（项）</w:t>
      </w:r>
      <w:r>
        <w:rPr>
          <w:rFonts w:ascii="仿宋" w:eastAsia="仿宋" w:hAnsi="仿宋" w:hint="eastAsia"/>
          <w:color w:val="000000"/>
          <w:sz w:val="32"/>
          <w:szCs w:val="32"/>
        </w:rPr>
        <w:t>:2018年决算数为 47.17万元，完成预算100%。</w:t>
      </w:r>
      <w:r>
        <w:rPr>
          <w:rStyle w:val="a7"/>
          <w:rFonts w:ascii="仿宋" w:eastAsia="仿宋" w:hAnsi="仿宋" w:hint="eastAsia"/>
          <w:b w:val="0"/>
          <w:bCs/>
          <w:color w:val="000000"/>
          <w:sz w:val="32"/>
          <w:szCs w:val="32"/>
        </w:rPr>
        <w:t>决算数等</w:t>
      </w:r>
    </w:p>
    <w:p w:rsidR="00405573" w:rsidRDefault="005B20D5">
      <w:pPr>
        <w:spacing w:line="600" w:lineRule="exact"/>
        <w:rPr>
          <w:rFonts w:ascii="仿宋" w:eastAsia="仿宋" w:hAnsi="仿宋"/>
          <w:color w:val="000000"/>
          <w:sz w:val="32"/>
          <w:szCs w:val="32"/>
        </w:rPr>
      </w:pPr>
      <w:r>
        <w:rPr>
          <w:rFonts w:ascii="仿宋" w:eastAsia="仿宋" w:hAnsi="仿宋" w:hint="eastAsia"/>
          <w:b/>
          <w:color w:val="000000"/>
          <w:sz w:val="32"/>
          <w:szCs w:val="32"/>
        </w:rPr>
        <w:lastRenderedPageBreak/>
        <w:t>4. 农林水支出（类）农业（款）农村公益事业（项）</w:t>
      </w:r>
      <w:r>
        <w:rPr>
          <w:rFonts w:ascii="仿宋" w:eastAsia="仿宋" w:hAnsi="仿宋" w:hint="eastAsia"/>
          <w:color w:val="000000"/>
          <w:sz w:val="32"/>
          <w:szCs w:val="32"/>
        </w:rPr>
        <w:t>:2018年决算数为 19.11万元，完成预算100%。</w:t>
      </w:r>
      <w:r>
        <w:rPr>
          <w:rStyle w:val="a7"/>
          <w:rFonts w:ascii="仿宋" w:eastAsia="仿宋" w:hAnsi="仿宋" w:hint="eastAsia"/>
          <w:b w:val="0"/>
          <w:bCs/>
          <w:color w:val="000000"/>
          <w:sz w:val="32"/>
          <w:szCs w:val="32"/>
        </w:rPr>
        <w:t>决算数等于预算数。</w:t>
      </w:r>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b/>
          <w:color w:val="000000"/>
          <w:sz w:val="32"/>
          <w:szCs w:val="32"/>
        </w:rPr>
        <w:t>农林水支出（类）农业（款）其他农业支出（项）</w:t>
      </w:r>
      <w:r>
        <w:rPr>
          <w:rFonts w:ascii="仿宋" w:eastAsia="仿宋" w:hAnsi="仿宋" w:hint="eastAsia"/>
          <w:color w:val="000000"/>
          <w:sz w:val="32"/>
          <w:szCs w:val="32"/>
        </w:rPr>
        <w:t>:2018年决算数为 2.4万元，完成预算100%。</w:t>
      </w:r>
      <w:r>
        <w:rPr>
          <w:rStyle w:val="a7"/>
          <w:rFonts w:ascii="仿宋" w:eastAsia="仿宋" w:hAnsi="仿宋" w:hint="eastAsia"/>
          <w:b w:val="0"/>
          <w:bCs/>
          <w:color w:val="000000"/>
          <w:sz w:val="32"/>
          <w:szCs w:val="32"/>
        </w:rPr>
        <w:t>决算数等于预算数。</w:t>
      </w:r>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b/>
          <w:color w:val="000000"/>
          <w:sz w:val="32"/>
          <w:szCs w:val="32"/>
        </w:rPr>
        <w:t>住房保障支出（类）住房改革支出（款）住房公积金（项）</w:t>
      </w:r>
      <w:r>
        <w:rPr>
          <w:rFonts w:ascii="仿宋" w:eastAsia="仿宋" w:hAnsi="仿宋" w:hint="eastAsia"/>
          <w:color w:val="000000"/>
          <w:sz w:val="32"/>
          <w:szCs w:val="32"/>
        </w:rPr>
        <w:t>:2018年决算数为4.44万元，完成预算100%。</w:t>
      </w:r>
      <w:r>
        <w:rPr>
          <w:rStyle w:val="a7"/>
          <w:rFonts w:ascii="仿宋" w:eastAsia="仿宋" w:hAnsi="仿宋" w:hint="eastAsia"/>
          <w:b w:val="0"/>
          <w:bCs/>
          <w:color w:val="000000"/>
          <w:sz w:val="32"/>
          <w:szCs w:val="32"/>
        </w:rPr>
        <w:t>决算数等于预算数。</w:t>
      </w:r>
    </w:p>
    <w:p w:rsidR="00405573" w:rsidRDefault="005B20D5">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405573" w:rsidRDefault="005B20D5">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8年一般公共预算财政拨款基本支出60.22万元，其中：</w:t>
      </w:r>
    </w:p>
    <w:p w:rsidR="00405573" w:rsidRDefault="005B20D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54.91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5.31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w:t>
      </w:r>
      <w:r>
        <w:rPr>
          <w:rFonts w:ascii="仿宋" w:eastAsia="仿宋" w:hAnsi="仿宋" w:hint="eastAsia"/>
          <w:color w:val="000000"/>
          <w:sz w:val="32"/>
          <w:szCs w:val="32"/>
        </w:rPr>
        <w:lastRenderedPageBreak/>
        <w:t>置、信息网络及软件购置更新、其他资本性支出等。</w:t>
      </w:r>
    </w:p>
    <w:p w:rsidR="00405573" w:rsidRDefault="00405573">
      <w:pPr>
        <w:spacing w:line="600" w:lineRule="exact"/>
        <w:ind w:firstLine="640"/>
        <w:rPr>
          <w:rFonts w:ascii="仿宋" w:eastAsia="仿宋" w:hAnsi="仿宋"/>
          <w:b/>
          <w:color w:val="FF0000"/>
          <w:sz w:val="32"/>
          <w:szCs w:val="32"/>
        </w:rPr>
      </w:pPr>
    </w:p>
    <w:p w:rsidR="00405573" w:rsidRDefault="005B20D5">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405573" w:rsidRDefault="005B20D5">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405573" w:rsidRDefault="005B20D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8年“三公”经费财政拨款支出决算为0.68万元，完成预算27.20</w:t>
      </w:r>
      <w:r>
        <w:rPr>
          <w:rFonts w:ascii="仿宋" w:eastAsia="仿宋" w:hAnsi="仿宋"/>
          <w:color w:val="000000"/>
          <w:sz w:val="32"/>
          <w:szCs w:val="32"/>
        </w:rPr>
        <w:t>%</w:t>
      </w:r>
      <w:r>
        <w:rPr>
          <w:rFonts w:ascii="仿宋" w:eastAsia="仿宋" w:hAnsi="仿宋" w:hint="eastAsia"/>
          <w:color w:val="000000"/>
          <w:sz w:val="32"/>
          <w:szCs w:val="32"/>
        </w:rPr>
        <w:t>，决算数小于预算数主要原因是单位严格按中央、省、市、县的相关规定管理，厉行节约，控制支出。</w:t>
      </w:r>
    </w:p>
    <w:p w:rsidR="00405573" w:rsidRDefault="005B20D5">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405573" w:rsidRDefault="005B20D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；公务用车购置及运行维护费支出决算0.53万元，占77.94</w:t>
      </w:r>
      <w:r>
        <w:rPr>
          <w:rFonts w:ascii="仿宋" w:eastAsia="仿宋" w:hAnsi="仿宋"/>
          <w:color w:val="000000"/>
          <w:sz w:val="32"/>
          <w:szCs w:val="32"/>
        </w:rPr>
        <w:t>%</w:t>
      </w:r>
      <w:r>
        <w:rPr>
          <w:rFonts w:ascii="仿宋" w:eastAsia="仿宋" w:hAnsi="仿宋" w:hint="eastAsia"/>
          <w:color w:val="000000"/>
          <w:sz w:val="32"/>
          <w:szCs w:val="32"/>
        </w:rPr>
        <w:t>；公务接待费支出决算0.15万元，占22.06</w:t>
      </w:r>
      <w:r>
        <w:rPr>
          <w:rFonts w:ascii="仿宋" w:eastAsia="仿宋" w:hAnsi="仿宋"/>
          <w:color w:val="000000"/>
          <w:sz w:val="32"/>
          <w:szCs w:val="32"/>
        </w:rPr>
        <w:t>%</w:t>
      </w:r>
      <w:r>
        <w:rPr>
          <w:rFonts w:ascii="仿宋" w:eastAsia="仿宋" w:hAnsi="仿宋" w:hint="eastAsia"/>
          <w:color w:val="000000"/>
          <w:sz w:val="32"/>
          <w:szCs w:val="32"/>
        </w:rPr>
        <w:t>。具体情况如下：</w:t>
      </w:r>
    </w:p>
    <w:p w:rsidR="00405573" w:rsidRDefault="005B20D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rsidR="00405573" w:rsidRDefault="005B20D5">
      <w:pPr>
        <w:spacing w:line="600" w:lineRule="exact"/>
        <w:ind w:firstLine="640"/>
        <w:rPr>
          <w:rFonts w:ascii="仿宋_GB2312" w:eastAsia="仿宋_GB2312"/>
          <w:b/>
          <w:color w:val="000000"/>
          <w:sz w:val="32"/>
          <w:szCs w:val="32"/>
        </w:rPr>
      </w:pPr>
      <w:r>
        <w:rPr>
          <w:rFonts w:ascii="仿宋" w:eastAsia="仿宋" w:hAnsi="仿宋"/>
          <w:b/>
          <w:color w:val="000000"/>
          <w:sz w:val="32"/>
          <w:szCs w:val="32"/>
        </w:rPr>
        <w:t>1.</w:t>
      </w:r>
      <w:r>
        <w:rPr>
          <w:rFonts w:ascii="仿宋" w:eastAsia="仿宋" w:hAnsi="仿宋" w:hint="eastAsia"/>
          <w:b/>
          <w:color w:val="000000"/>
          <w:sz w:val="32"/>
          <w:szCs w:val="32"/>
        </w:rPr>
        <w:t>因公出国（境）经费支出</w:t>
      </w:r>
      <w:r>
        <w:rPr>
          <w:rFonts w:ascii="仿宋" w:eastAsia="仿宋" w:hAnsi="仿宋" w:hint="eastAsia"/>
          <w:color w:val="000000"/>
          <w:sz w:val="32"/>
          <w:szCs w:val="32"/>
        </w:rPr>
        <w:t>0万元</w:t>
      </w:r>
      <w:r>
        <w:rPr>
          <w:rFonts w:ascii="仿宋_GB2312" w:eastAsia="仿宋_GB2312" w:hint="eastAsia"/>
          <w:color w:val="000000"/>
          <w:sz w:val="32"/>
          <w:szCs w:val="32"/>
        </w:rPr>
        <w:t>，</w:t>
      </w:r>
      <w:r>
        <w:rPr>
          <w:rFonts w:ascii="仿宋" w:eastAsia="仿宋" w:hAnsi="仿宋" w:hint="eastAsia"/>
          <w:color w:val="000000"/>
          <w:sz w:val="32"/>
          <w:szCs w:val="32"/>
        </w:rPr>
        <w:t>无年初预算</w:t>
      </w:r>
      <w:r>
        <w:rPr>
          <w:rStyle w:val="a7"/>
          <w:rFonts w:ascii="仿宋" w:eastAsia="仿宋" w:hAnsi="仿宋" w:hint="eastAsia"/>
          <w:b w:val="0"/>
          <w:bCs/>
          <w:color w:val="000000"/>
          <w:sz w:val="32"/>
          <w:szCs w:val="32"/>
        </w:rPr>
        <w:t>。</w:t>
      </w:r>
    </w:p>
    <w:p w:rsidR="00405573" w:rsidRDefault="005B20D5">
      <w:pPr>
        <w:spacing w:line="600" w:lineRule="exact"/>
        <w:ind w:firstLine="640"/>
        <w:rPr>
          <w:rFonts w:ascii="仿宋" w:eastAsia="仿宋" w:hAnsi="仿宋"/>
          <w:b/>
          <w:color w:val="000000"/>
          <w:sz w:val="32"/>
          <w:szCs w:val="32"/>
        </w:rPr>
      </w:pPr>
      <w:r>
        <w:rPr>
          <w:rFonts w:ascii="仿宋" w:eastAsia="仿宋" w:hAnsi="仿宋"/>
          <w:b/>
          <w:color w:val="000000"/>
          <w:sz w:val="32"/>
          <w:szCs w:val="32"/>
        </w:rPr>
        <w:t>2.</w:t>
      </w:r>
      <w:r>
        <w:rPr>
          <w:rFonts w:ascii="仿宋" w:eastAsia="仿宋" w:hAnsi="仿宋" w:hint="eastAsia"/>
          <w:b/>
          <w:color w:val="000000"/>
          <w:sz w:val="32"/>
          <w:szCs w:val="32"/>
        </w:rPr>
        <w:t>公务用车购置及运行维护费支出</w:t>
      </w:r>
      <w:r>
        <w:rPr>
          <w:rFonts w:ascii="仿宋" w:eastAsia="仿宋" w:hAnsi="仿宋" w:hint="eastAsia"/>
          <w:color w:val="000000"/>
          <w:sz w:val="32"/>
          <w:szCs w:val="32"/>
        </w:rPr>
        <w:t>0.53万元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完成预算26.5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201</w:t>
      </w:r>
      <w:r>
        <w:rPr>
          <w:rFonts w:ascii="仿宋" w:eastAsia="仿宋" w:hAnsi="仿宋" w:hint="eastAsia"/>
          <w:color w:val="000000"/>
          <w:sz w:val="32"/>
          <w:szCs w:val="32"/>
        </w:rPr>
        <w:t>7年减少0.28万元，下降34.57</w:t>
      </w:r>
      <w:r>
        <w:rPr>
          <w:rFonts w:ascii="仿宋" w:eastAsia="仿宋" w:hAnsi="仿宋"/>
          <w:color w:val="000000"/>
          <w:sz w:val="32"/>
          <w:szCs w:val="32"/>
        </w:rPr>
        <w:t>%</w:t>
      </w:r>
      <w:r>
        <w:rPr>
          <w:rFonts w:ascii="仿宋" w:eastAsia="仿宋" w:hAnsi="仿宋" w:hint="eastAsia"/>
          <w:color w:val="000000"/>
          <w:sz w:val="32"/>
          <w:szCs w:val="32"/>
        </w:rPr>
        <w:t>。主要原因是</w:t>
      </w:r>
      <w:r>
        <w:rPr>
          <w:rFonts w:ascii="仿宋" w:eastAsia="仿宋" w:hAnsi="仿宋" w:hint="eastAsia"/>
          <w:color w:val="333333"/>
          <w:sz w:val="32"/>
          <w:szCs w:val="32"/>
        </w:rPr>
        <w:t>单位严格管理，控制支出</w:t>
      </w:r>
      <w:r>
        <w:rPr>
          <w:rFonts w:ascii="仿宋" w:eastAsia="仿宋" w:hAnsi="仿宋" w:hint="eastAsia"/>
          <w:color w:val="000000"/>
          <w:sz w:val="32"/>
          <w:szCs w:val="32"/>
        </w:rPr>
        <w:t>。</w:t>
      </w:r>
    </w:p>
    <w:p w:rsidR="00405573" w:rsidRDefault="005B20D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其中：</w:t>
      </w:r>
      <w:r>
        <w:rPr>
          <w:rFonts w:ascii="仿宋" w:eastAsia="仿宋" w:hAnsi="仿宋" w:hint="eastAsia"/>
          <w:b/>
          <w:color w:val="000000"/>
          <w:sz w:val="32"/>
          <w:szCs w:val="32"/>
        </w:rPr>
        <w:t>公务用车购置支出</w:t>
      </w:r>
      <w:r>
        <w:rPr>
          <w:rFonts w:ascii="仿宋" w:eastAsia="仿宋" w:hAnsi="仿宋" w:hint="eastAsia"/>
          <w:color w:val="000000"/>
          <w:sz w:val="32"/>
          <w:szCs w:val="32"/>
        </w:rPr>
        <w:t>0万元</w:t>
      </w:r>
      <w:r>
        <w:rPr>
          <w:rFonts w:ascii="仿宋_GB2312" w:eastAsia="仿宋_GB2312" w:hint="eastAsia"/>
          <w:color w:val="000000"/>
          <w:sz w:val="32"/>
          <w:szCs w:val="32"/>
        </w:rPr>
        <w:t>。</w:t>
      </w:r>
      <w:r>
        <w:rPr>
          <w:rFonts w:ascii="仿宋" w:eastAsia="仿宋" w:hAnsi="仿宋" w:hint="eastAsia"/>
          <w:color w:val="000000"/>
          <w:sz w:val="32"/>
          <w:szCs w:val="32"/>
        </w:rPr>
        <w:t>全年按规定更新购置公务用车0辆，其中：轿车0辆、金额0万元，越野车0辆、金额0万元，载客汽车0辆、金额0万元，截至</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color w:val="000000"/>
          <w:sz w:val="32"/>
          <w:szCs w:val="32"/>
        </w:rPr>
        <w:t>12</w:t>
      </w:r>
      <w:r>
        <w:rPr>
          <w:rFonts w:ascii="仿宋" w:eastAsia="仿宋" w:hAnsi="仿宋" w:hint="eastAsia"/>
          <w:color w:val="000000"/>
          <w:sz w:val="32"/>
          <w:szCs w:val="32"/>
        </w:rPr>
        <w:t>月底，单位共有特种专业技术用车1辆。</w:t>
      </w:r>
    </w:p>
    <w:p w:rsidR="00405573" w:rsidRDefault="005B20D5">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公务用车运行维护费支出</w:t>
      </w:r>
      <w:r>
        <w:rPr>
          <w:rFonts w:ascii="仿宋" w:eastAsia="仿宋" w:hAnsi="仿宋" w:hint="eastAsia"/>
          <w:color w:val="000000"/>
          <w:sz w:val="32"/>
          <w:szCs w:val="32"/>
        </w:rPr>
        <w:t>0.53万元</w:t>
      </w:r>
      <w:r>
        <w:rPr>
          <w:rFonts w:ascii="仿宋_GB2312" w:eastAsia="仿宋_GB2312" w:hint="eastAsia"/>
          <w:color w:val="000000"/>
          <w:sz w:val="32"/>
          <w:szCs w:val="32"/>
        </w:rPr>
        <w:t>。</w:t>
      </w:r>
      <w:r>
        <w:rPr>
          <w:rFonts w:ascii="仿宋" w:eastAsia="仿宋" w:hAnsi="仿宋" w:hint="eastAsia"/>
          <w:color w:val="000000"/>
          <w:sz w:val="32"/>
          <w:szCs w:val="32"/>
        </w:rPr>
        <w:t>主要用于</w:t>
      </w:r>
      <w:r>
        <w:rPr>
          <w:rFonts w:ascii="仿宋" w:eastAsia="仿宋" w:hAnsi="仿宋" w:hint="eastAsia"/>
          <w:sz w:val="32"/>
          <w:szCs w:val="32"/>
        </w:rPr>
        <w:t>主要用</w:t>
      </w:r>
      <w:r>
        <w:rPr>
          <w:rFonts w:ascii="仿宋" w:eastAsia="仿宋" w:hAnsi="仿宋" w:hint="eastAsia"/>
          <w:sz w:val="32"/>
          <w:szCs w:val="32"/>
        </w:rPr>
        <w:lastRenderedPageBreak/>
        <w:t>于沼气池的开发、建设、管理。集中供气工程和沼气服务网点的建设。进行全县范围的安全大排查。开展质量监督和沼气池的后续服务等</w:t>
      </w:r>
      <w:r>
        <w:rPr>
          <w:rFonts w:ascii="仿宋" w:eastAsia="仿宋" w:hAnsi="仿宋" w:hint="eastAsia"/>
          <w:color w:val="000000"/>
          <w:sz w:val="32"/>
          <w:szCs w:val="32"/>
        </w:rPr>
        <w:t>所需的公务用车燃料费、维修费、过路过桥费、保险费等支出。</w:t>
      </w:r>
    </w:p>
    <w:p w:rsidR="00405573" w:rsidRDefault="005B20D5">
      <w:pPr>
        <w:spacing w:line="600" w:lineRule="exact"/>
        <w:ind w:firstLine="640"/>
        <w:rPr>
          <w:rFonts w:ascii="仿宋" w:eastAsia="仿宋" w:hAnsi="仿宋"/>
          <w:color w:val="000000"/>
          <w:sz w:val="32"/>
          <w:szCs w:val="32"/>
        </w:rPr>
      </w:pPr>
      <w:r>
        <w:rPr>
          <w:rFonts w:ascii="仿宋" w:eastAsia="仿宋" w:hAnsi="仿宋"/>
          <w:b/>
          <w:color w:val="000000"/>
          <w:sz w:val="32"/>
          <w:szCs w:val="32"/>
        </w:rPr>
        <w:t>3.</w:t>
      </w:r>
      <w:r>
        <w:rPr>
          <w:rFonts w:ascii="仿宋" w:eastAsia="仿宋" w:hAnsi="仿宋" w:hint="eastAsia"/>
          <w:b/>
          <w:color w:val="000000"/>
          <w:sz w:val="32"/>
          <w:szCs w:val="32"/>
        </w:rPr>
        <w:t>公务接待费支出</w:t>
      </w:r>
      <w:r>
        <w:rPr>
          <w:rFonts w:ascii="仿宋" w:eastAsia="仿宋" w:hAnsi="仿宋" w:hint="eastAsia"/>
          <w:color w:val="000000"/>
          <w:sz w:val="32"/>
          <w:szCs w:val="32"/>
        </w:rPr>
        <w:t>0.15万元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完成预算30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201</w:t>
      </w:r>
      <w:r>
        <w:rPr>
          <w:rFonts w:ascii="仿宋" w:eastAsia="仿宋" w:hAnsi="仿宋" w:hint="eastAsia"/>
          <w:color w:val="000000"/>
          <w:sz w:val="32"/>
          <w:szCs w:val="32"/>
        </w:rPr>
        <w:t>7年减少0.04万元，下降21.05</w:t>
      </w:r>
      <w:r>
        <w:rPr>
          <w:rFonts w:ascii="仿宋" w:eastAsia="仿宋" w:hAnsi="仿宋"/>
          <w:color w:val="000000"/>
          <w:sz w:val="32"/>
          <w:szCs w:val="32"/>
        </w:rPr>
        <w:t>%</w:t>
      </w:r>
      <w:r>
        <w:rPr>
          <w:rFonts w:ascii="仿宋" w:eastAsia="仿宋" w:hAnsi="仿宋" w:hint="eastAsia"/>
          <w:color w:val="000000"/>
          <w:sz w:val="32"/>
          <w:szCs w:val="32"/>
        </w:rPr>
        <w:t>。主要原因是</w:t>
      </w:r>
      <w:r>
        <w:rPr>
          <w:rFonts w:ascii="仿宋" w:eastAsia="仿宋" w:hAnsi="仿宋" w:hint="eastAsia"/>
          <w:color w:val="333333"/>
          <w:sz w:val="32"/>
          <w:szCs w:val="32"/>
        </w:rPr>
        <w:t>单位严格管理，控制支出</w:t>
      </w:r>
      <w:r>
        <w:rPr>
          <w:rFonts w:ascii="仿宋" w:eastAsia="仿宋" w:hAnsi="仿宋" w:hint="eastAsia"/>
          <w:color w:val="000000"/>
          <w:sz w:val="32"/>
          <w:szCs w:val="32"/>
        </w:rPr>
        <w:t>。</w:t>
      </w:r>
    </w:p>
    <w:p w:rsidR="00405573" w:rsidRDefault="005B20D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主要用于执行公务、开展业务活动开支的交通费、住宿费、用餐费等。国内公务接待3批次，20人次（不包括陪同人员），共计支出0.15万元，具体内容包括：</w:t>
      </w:r>
      <w:r>
        <w:rPr>
          <w:rFonts w:ascii="仿宋" w:eastAsia="仿宋" w:hAnsi="仿宋" w:hint="eastAsia"/>
          <w:sz w:val="32"/>
          <w:szCs w:val="32"/>
        </w:rPr>
        <w:t xml:space="preserve">上级来调研、督导工作接待；各地来访学习、调研工作接待 </w:t>
      </w:r>
      <w:r>
        <w:rPr>
          <w:rFonts w:ascii="仿宋" w:eastAsia="仿宋" w:hAnsi="仿宋" w:hint="eastAsia"/>
          <w:color w:val="000000"/>
          <w:sz w:val="32"/>
          <w:szCs w:val="32"/>
        </w:rPr>
        <w:t>。其中：</w:t>
      </w:r>
    </w:p>
    <w:p w:rsidR="00405573" w:rsidRDefault="005B20D5">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0万元，外事接待0批次，0人，共计支出0万元.</w:t>
      </w:r>
    </w:p>
    <w:p w:rsidR="00405573" w:rsidRDefault="005B20D5">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0.15万元，主要用于</w:t>
      </w:r>
      <w:r>
        <w:rPr>
          <w:rFonts w:ascii="仿宋" w:eastAsia="仿宋" w:hAnsi="仿宋" w:hint="eastAsia"/>
          <w:sz w:val="32"/>
          <w:szCs w:val="32"/>
        </w:rPr>
        <w:t xml:space="preserve">上级来调研、督导工作接待；各地来访学习、调研工作接待 </w:t>
      </w:r>
      <w:r>
        <w:rPr>
          <w:rFonts w:ascii="仿宋" w:eastAsia="仿宋" w:hAnsi="仿宋" w:hint="eastAsia"/>
          <w:color w:val="000000"/>
          <w:sz w:val="32"/>
          <w:szCs w:val="32"/>
        </w:rPr>
        <w:t>。</w:t>
      </w:r>
    </w:p>
    <w:p w:rsidR="00405573" w:rsidRDefault="00405573">
      <w:pPr>
        <w:spacing w:line="600" w:lineRule="exact"/>
        <w:ind w:firstLine="640"/>
        <w:outlineLvl w:val="1"/>
        <w:rPr>
          <w:rFonts w:ascii="仿宋" w:eastAsia="仿宋" w:hAnsi="仿宋"/>
          <w:color w:val="000000"/>
          <w:sz w:val="32"/>
          <w:szCs w:val="32"/>
        </w:rPr>
      </w:pPr>
      <w:bookmarkStart w:id="46" w:name="_Toc15377218"/>
      <w:bookmarkStart w:id="47" w:name="_Toc15396610"/>
    </w:p>
    <w:p w:rsidR="00405573" w:rsidRDefault="005B20D5">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405573" w:rsidRDefault="005B20D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8年政府性基金预算拨款支出0万元。</w:t>
      </w:r>
    </w:p>
    <w:p w:rsidR="00405573" w:rsidRDefault="005B20D5">
      <w:pPr>
        <w:spacing w:line="600" w:lineRule="exact"/>
        <w:ind w:firstLineChars="200"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九、 国有资本经营预算支出决算情况说明</w:t>
      </w:r>
      <w:bookmarkEnd w:id="48"/>
      <w:bookmarkEnd w:id="49"/>
    </w:p>
    <w:p w:rsidR="00405573" w:rsidRDefault="005B20D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8年国有资本经营预算拨款支出0万元。</w:t>
      </w:r>
    </w:p>
    <w:p w:rsidR="00405573" w:rsidRDefault="005B20D5">
      <w:pPr>
        <w:pStyle w:val="11"/>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405573" w:rsidRDefault="005B20D5">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根据预算绩效管理要求，本部门（单位）在年初预算编</w:t>
      </w:r>
      <w:r>
        <w:rPr>
          <w:rFonts w:ascii="仿宋" w:eastAsia="仿宋" w:hAnsi="仿宋" w:cs="仿宋_GB2312" w:hint="eastAsia"/>
          <w:sz w:val="32"/>
          <w:szCs w:val="32"/>
        </w:rPr>
        <w:lastRenderedPageBreak/>
        <w:t>制阶段，因本部门今年无沼气建设工程项目，所以无项目绩效评估。</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本部门按要求对2018年部门整体支出开展绩效自评，从评价情况来看我单位整本支出绩效情况良好，资金使用效率高，扎实完成了一系列重要工作，社会效益和经济效益凸显，人民群众满意度较高。</w:t>
      </w:r>
    </w:p>
    <w:p w:rsidR="00405573" w:rsidRDefault="005B20D5">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 w:eastAsia="仿宋" w:hAnsi="仿宋" w:cs="仿宋_GB2312" w:hint="eastAsia"/>
          <w:sz w:val="32"/>
          <w:szCs w:val="32"/>
        </w:rPr>
        <w:t>本单位无涉及此项工作。</w:t>
      </w:r>
    </w:p>
    <w:p w:rsidR="00405573" w:rsidRDefault="005B20D5">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405573" w:rsidRDefault="005B20D5">
      <w:pPr>
        <w:spacing w:line="580" w:lineRule="exact"/>
        <w:ind w:firstLineChars="200" w:firstLine="640"/>
        <w:rPr>
          <w:rFonts w:ascii="仿宋_GB2312" w:eastAsia="仿宋_GB2312" w:hAnsi="仿宋_GB2312" w:cs="仿宋_GB2312"/>
          <w:sz w:val="32"/>
          <w:szCs w:val="32"/>
        </w:rPr>
      </w:pPr>
      <w:r>
        <w:rPr>
          <w:rFonts w:ascii="仿宋" w:eastAsia="仿宋" w:hAnsi="仿宋" w:cs="仿宋_GB2312" w:hint="eastAsia"/>
          <w:sz w:val="32"/>
          <w:szCs w:val="32"/>
        </w:rPr>
        <w:t>本部门按要求对2018年部门整体支出绩效评价情况开展自评，《井研县农村能源办公室2018年部门整体支出绩效评价报告》见附件</w:t>
      </w:r>
      <w:r>
        <w:rPr>
          <w:rFonts w:ascii="仿宋_GB2312" w:eastAsia="仿宋_GB2312" w:hAnsi="仿宋_GB2312" w:cs="仿宋_GB2312" w:hint="eastAsia"/>
          <w:sz w:val="32"/>
          <w:szCs w:val="32"/>
        </w:rPr>
        <w:t>。</w:t>
      </w:r>
    </w:p>
    <w:p w:rsidR="00405573" w:rsidRDefault="00405573">
      <w:pPr>
        <w:spacing w:line="580" w:lineRule="exact"/>
        <w:jc w:val="center"/>
        <w:rPr>
          <w:rFonts w:ascii="方正小标宋简体" w:eastAsia="方正小标宋简体" w:hAnsi="方正小标宋简体" w:cs="方正小标宋简体"/>
          <w:sz w:val="44"/>
          <w:szCs w:val="44"/>
        </w:rPr>
      </w:pPr>
    </w:p>
    <w:p w:rsidR="00405573" w:rsidRDefault="005B20D5">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0"/>
      <w:bookmarkEnd w:id="51"/>
    </w:p>
    <w:p w:rsidR="00405573" w:rsidRDefault="005B20D5">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8年，井研县农村能源办公室机关运行经费支出5.31万元，比</w:t>
      </w:r>
      <w:r>
        <w:rPr>
          <w:rFonts w:ascii="仿宋" w:eastAsia="仿宋" w:hAnsi="仿宋"/>
          <w:color w:val="000000"/>
          <w:sz w:val="32"/>
          <w:szCs w:val="32"/>
        </w:rPr>
        <w:t>201</w:t>
      </w:r>
      <w:r>
        <w:rPr>
          <w:rFonts w:ascii="仿宋" w:eastAsia="仿宋" w:hAnsi="仿宋" w:hint="eastAsia"/>
          <w:color w:val="000000"/>
          <w:sz w:val="32"/>
          <w:szCs w:val="32"/>
        </w:rPr>
        <w:t>7年减少1.12万元，下降17.41</w:t>
      </w:r>
      <w:bookmarkStart w:id="53" w:name="_GoBack"/>
      <w:bookmarkEnd w:id="53"/>
      <w:r>
        <w:rPr>
          <w:rFonts w:ascii="仿宋" w:eastAsia="仿宋" w:hAnsi="仿宋"/>
          <w:color w:val="000000"/>
          <w:sz w:val="32"/>
          <w:szCs w:val="32"/>
        </w:rPr>
        <w:t>%</w:t>
      </w:r>
      <w:r>
        <w:rPr>
          <w:rFonts w:ascii="仿宋" w:eastAsia="仿宋" w:hAnsi="仿宋" w:hint="eastAsia"/>
          <w:color w:val="000000"/>
          <w:sz w:val="32"/>
          <w:szCs w:val="32"/>
        </w:rPr>
        <w:t>。主要原因是单位严格管理，控制支出。</w:t>
      </w:r>
    </w:p>
    <w:p w:rsidR="00405573" w:rsidRDefault="005B20D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405573" w:rsidRDefault="005B20D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8年，井研县农村能源办公室政府采购支出总额0.63万元，其中：政府采购货物支出0.63万元,主要用于办公设备.</w:t>
      </w:r>
    </w:p>
    <w:p w:rsidR="00405573" w:rsidRDefault="005B20D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405573" w:rsidRDefault="005B20D5">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截至</w:t>
      </w:r>
      <w:r>
        <w:rPr>
          <w:rFonts w:ascii="仿宋" w:eastAsia="仿宋" w:hAnsi="仿宋"/>
          <w:color w:val="000000"/>
          <w:sz w:val="32"/>
          <w:szCs w:val="32"/>
        </w:rPr>
        <w:t>201</w:t>
      </w:r>
      <w:r>
        <w:rPr>
          <w:rFonts w:ascii="仿宋" w:eastAsia="仿宋" w:hAnsi="仿宋" w:hint="eastAsia"/>
          <w:color w:val="000000"/>
          <w:sz w:val="32"/>
          <w:szCs w:val="32"/>
        </w:rPr>
        <w:t>8年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日，井研县农村能源办公室共有车辆1辆，其中：特种专业技术用车1辆。单价</w:t>
      </w:r>
      <w:r>
        <w:rPr>
          <w:rFonts w:ascii="仿宋" w:eastAsia="仿宋" w:hAnsi="仿宋"/>
          <w:color w:val="000000"/>
          <w:sz w:val="32"/>
          <w:szCs w:val="32"/>
        </w:rPr>
        <w:t>50</w:t>
      </w:r>
      <w:r>
        <w:rPr>
          <w:rFonts w:ascii="仿宋" w:eastAsia="仿宋" w:hAnsi="仿宋" w:hint="eastAsia"/>
          <w:color w:val="000000"/>
          <w:sz w:val="32"/>
          <w:szCs w:val="32"/>
        </w:rPr>
        <w:t>万元以上通用设备0台（套），单价</w:t>
      </w:r>
      <w:r>
        <w:rPr>
          <w:rFonts w:ascii="仿宋" w:eastAsia="仿宋" w:hAnsi="仿宋"/>
          <w:color w:val="000000"/>
          <w:sz w:val="32"/>
          <w:szCs w:val="32"/>
        </w:rPr>
        <w:t>100</w:t>
      </w:r>
      <w:r>
        <w:rPr>
          <w:rFonts w:ascii="仿宋" w:eastAsia="仿宋" w:hAnsi="仿宋" w:hint="eastAsia"/>
          <w:color w:val="000000"/>
          <w:sz w:val="32"/>
          <w:szCs w:val="32"/>
        </w:rPr>
        <w:t>万元以上专用设备0台（套）。</w:t>
      </w:r>
    </w:p>
    <w:p w:rsidR="00405573" w:rsidRDefault="005B20D5">
      <w:pPr>
        <w:widowControl/>
        <w:jc w:val="left"/>
        <w:rPr>
          <w:rFonts w:ascii="仿宋_GB2312" w:eastAsia="仿宋_GB2312"/>
          <w:b/>
          <w:color w:val="000000"/>
          <w:sz w:val="32"/>
          <w:szCs w:val="32"/>
        </w:rPr>
      </w:pPr>
      <w:r>
        <w:rPr>
          <w:rFonts w:ascii="仿宋" w:eastAsia="仿宋" w:hAnsi="仿宋"/>
          <w:b/>
          <w:color w:val="000000"/>
          <w:sz w:val="32"/>
          <w:szCs w:val="32"/>
        </w:rPr>
        <w:br w:type="page"/>
      </w:r>
    </w:p>
    <w:p w:rsidR="00405573" w:rsidRDefault="005B20D5">
      <w:pPr>
        <w:numPr>
          <w:ilvl w:val="0"/>
          <w:numId w:val="5"/>
        </w:numPr>
        <w:spacing w:line="600" w:lineRule="exact"/>
        <w:ind w:firstLineChars="150" w:firstLine="663"/>
        <w:jc w:val="center"/>
        <w:outlineLvl w:val="0"/>
        <w:rPr>
          <w:rStyle w:val="1Char"/>
          <w:rFonts w:ascii="黑体" w:eastAsia="黑体" w:hAnsi="黑体"/>
          <w:b w:val="0"/>
        </w:rPr>
      </w:pPr>
      <w:bookmarkStart w:id="56" w:name="_Toc15396613"/>
      <w:bookmarkStart w:id="57"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405573" w:rsidRDefault="00405573">
      <w:pPr>
        <w:spacing w:line="600" w:lineRule="exact"/>
        <w:jc w:val="left"/>
        <w:rPr>
          <w:rFonts w:ascii="宋体"/>
          <w:b/>
          <w:color w:val="000000"/>
          <w:sz w:val="44"/>
          <w:szCs w:val="44"/>
        </w:rPr>
      </w:pPr>
    </w:p>
    <w:p w:rsidR="00405573" w:rsidRDefault="005B20D5">
      <w:pPr>
        <w:pStyle w:val="Default"/>
        <w:spacing w:line="560" w:lineRule="exact"/>
        <w:ind w:firstLineChars="200" w:firstLine="640"/>
        <w:rPr>
          <w:rFonts w:hAnsi="仿宋"/>
          <w:sz w:val="32"/>
          <w:szCs w:val="32"/>
        </w:rPr>
      </w:pPr>
      <w:r>
        <w:rPr>
          <w:rFonts w:hAnsi="仿宋"/>
          <w:sz w:val="32"/>
          <w:szCs w:val="32"/>
        </w:rPr>
        <w:t>1.</w:t>
      </w:r>
      <w:r>
        <w:rPr>
          <w:rFonts w:hAnsi="仿宋" w:hint="eastAsia"/>
          <w:sz w:val="32"/>
          <w:szCs w:val="32"/>
        </w:rPr>
        <w:t>财政拨款收入：指单位从同级财政部门取得的财政预算资金。</w:t>
      </w:r>
    </w:p>
    <w:p w:rsidR="00405573" w:rsidRDefault="005B20D5">
      <w:pPr>
        <w:pStyle w:val="Default"/>
        <w:spacing w:line="560" w:lineRule="exact"/>
        <w:ind w:firstLineChars="200" w:firstLine="640"/>
        <w:rPr>
          <w:rFonts w:hAnsi="仿宋"/>
          <w:sz w:val="32"/>
          <w:szCs w:val="32"/>
        </w:rPr>
      </w:pPr>
      <w:r>
        <w:rPr>
          <w:rFonts w:hAnsi="仿宋" w:hint="eastAsia"/>
          <w:sz w:val="32"/>
          <w:szCs w:val="32"/>
        </w:rPr>
        <w:t>2</w:t>
      </w:r>
      <w:r>
        <w:rPr>
          <w:rFonts w:hAnsi="仿宋"/>
          <w:sz w:val="32"/>
          <w:szCs w:val="32"/>
        </w:rPr>
        <w:t>.</w:t>
      </w:r>
      <w:r>
        <w:rPr>
          <w:rFonts w:hAnsi="仿宋" w:hint="eastAsia"/>
          <w:sz w:val="32"/>
          <w:szCs w:val="32"/>
        </w:rPr>
        <w:t>年初结转和结余：指以前年度尚未完成、结转到本年按有关规定继续使用的资金。</w:t>
      </w:r>
    </w:p>
    <w:p w:rsidR="00405573" w:rsidRDefault="005B20D5">
      <w:pPr>
        <w:pStyle w:val="Default"/>
        <w:spacing w:line="560" w:lineRule="exact"/>
        <w:ind w:firstLineChars="200" w:firstLine="640"/>
        <w:rPr>
          <w:rFonts w:hAnsi="仿宋"/>
          <w:sz w:val="32"/>
          <w:szCs w:val="32"/>
        </w:rPr>
      </w:pPr>
      <w:r>
        <w:rPr>
          <w:rFonts w:hAnsi="仿宋" w:hint="eastAsia"/>
          <w:sz w:val="32"/>
          <w:szCs w:val="32"/>
        </w:rPr>
        <w:t>3、年末结转和结余：指单位按有关规定结转到下年或以后年度继续使用的资金。</w:t>
      </w:r>
    </w:p>
    <w:p w:rsidR="00405573" w:rsidRDefault="005B20D5">
      <w:pPr>
        <w:spacing w:line="60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 xml:space="preserve"> 4.</w:t>
      </w:r>
      <w:r>
        <w:rPr>
          <w:rStyle w:val="a7"/>
          <w:rFonts w:ascii="仿宋" w:eastAsia="仿宋" w:hAnsi="仿宋" w:hint="eastAsia"/>
          <w:b w:val="0"/>
          <w:color w:val="000000"/>
          <w:sz w:val="32"/>
          <w:szCs w:val="32"/>
        </w:rPr>
        <w:t>社会保障和就业（类）行政事业单位离退休（款）机关事业单位基本养老保险缴费支出（项）</w:t>
      </w:r>
      <w:r>
        <w:rPr>
          <w:rStyle w:val="a7"/>
          <w:rFonts w:ascii="仿宋" w:eastAsia="仿宋" w:hAnsi="仿宋" w:hint="eastAsia"/>
          <w:color w:val="000000"/>
          <w:sz w:val="32"/>
          <w:szCs w:val="32"/>
        </w:rPr>
        <w:t>:</w:t>
      </w:r>
      <w:r>
        <w:rPr>
          <w:rFonts w:ascii="仿宋" w:eastAsia="仿宋" w:hAnsi="仿宋" w:hint="eastAsia"/>
          <w:color w:val="000000"/>
          <w:sz w:val="32"/>
          <w:szCs w:val="32"/>
        </w:rPr>
        <w:t>反映机关事业单位实施养老保险制度由单位缴纳的基本养老保险支出。</w:t>
      </w:r>
    </w:p>
    <w:p w:rsidR="00405573" w:rsidRDefault="005B20D5">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5.医疗卫生与计划生育（类）医疗保障（款）行政单位医疗（项）:</w:t>
      </w:r>
      <w:r>
        <w:rPr>
          <w:rFonts w:ascii="仿宋" w:eastAsia="仿宋" w:hAnsi="仿宋" w:hint="eastAsia"/>
          <w:color w:val="000000"/>
          <w:sz w:val="32"/>
          <w:szCs w:val="32"/>
        </w:rPr>
        <w:t>反映财政部门集中安排的行政单位基本医疗保险缴费。</w:t>
      </w:r>
    </w:p>
    <w:p w:rsidR="00405573" w:rsidRDefault="005B20D5">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Style w:val="a7"/>
          <w:rFonts w:ascii="仿宋" w:eastAsia="仿宋" w:hAnsi="仿宋" w:hint="eastAsia"/>
          <w:b w:val="0"/>
          <w:color w:val="000000"/>
          <w:sz w:val="32"/>
          <w:szCs w:val="32"/>
        </w:rPr>
        <w:t>.农林水支出（类）农业（款）行政运行（项）:</w:t>
      </w:r>
      <w:r>
        <w:rPr>
          <w:rFonts w:ascii="仿宋" w:eastAsia="仿宋" w:hAnsi="仿宋" w:hint="eastAsia"/>
          <w:color w:val="000000"/>
          <w:sz w:val="32"/>
          <w:szCs w:val="32"/>
        </w:rPr>
        <w:t>反映乡镇单位（包括实行公务员管理的事业单位）的基本支出。</w:t>
      </w:r>
    </w:p>
    <w:p w:rsidR="00405573" w:rsidRDefault="005B20D5">
      <w:pPr>
        <w:ind w:firstLineChars="200" w:firstLine="640"/>
        <w:rPr>
          <w:rFonts w:ascii="仿宋" w:eastAsia="仿宋" w:hAnsi="仿宋"/>
          <w:sz w:val="32"/>
          <w:szCs w:val="32"/>
        </w:rPr>
      </w:pPr>
      <w:r>
        <w:rPr>
          <w:rFonts w:ascii="仿宋" w:eastAsia="仿宋" w:hAnsi="仿宋" w:hint="eastAsia"/>
          <w:sz w:val="32"/>
          <w:szCs w:val="32"/>
        </w:rPr>
        <w:t>7．农林水支出（类）农业（款）农村公益事业（项）：指对农村公益事业、垦区公益设施建设及农村能源综合建设等方面的补助支出。</w:t>
      </w:r>
    </w:p>
    <w:p w:rsidR="00405573" w:rsidRDefault="005B20D5">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8.农林水支出（类）其他农林水支出（款）其他农业支出（项）:</w:t>
      </w:r>
      <w:r>
        <w:rPr>
          <w:rFonts w:ascii="仿宋" w:eastAsia="仿宋" w:hAnsi="仿宋" w:hint="eastAsia"/>
          <w:color w:val="000000"/>
          <w:sz w:val="32"/>
          <w:szCs w:val="32"/>
        </w:rPr>
        <w:t>反映除上述项目以外其他用于农林水方面的 支出。</w:t>
      </w:r>
    </w:p>
    <w:p w:rsidR="00405573" w:rsidRDefault="005B20D5">
      <w:pPr>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9.住房保障支出（类）住房改革支出（款）住房公积金（项）:</w:t>
      </w:r>
      <w:r>
        <w:rPr>
          <w:rFonts w:ascii="仿宋" w:eastAsia="仿宋" w:hAnsi="仿宋" w:hint="eastAsia"/>
          <w:color w:val="000000"/>
          <w:sz w:val="32"/>
          <w:szCs w:val="32"/>
        </w:rPr>
        <w:t>反映行政事业单位按人力资源和社会保障部、财政</w:t>
      </w:r>
      <w:r>
        <w:rPr>
          <w:rFonts w:ascii="仿宋" w:eastAsia="仿宋" w:hAnsi="仿宋" w:hint="eastAsia"/>
          <w:color w:val="000000"/>
          <w:sz w:val="32"/>
          <w:szCs w:val="32"/>
        </w:rPr>
        <w:lastRenderedPageBreak/>
        <w:t>部规定的基本工资和津贴补贴以及规定比例为职工缴纳的住房公积金。</w:t>
      </w:r>
    </w:p>
    <w:p w:rsidR="00405573" w:rsidRDefault="005B20D5">
      <w:pPr>
        <w:ind w:firstLineChars="200" w:firstLine="640"/>
        <w:rPr>
          <w:rFonts w:ascii="仿宋" w:eastAsia="仿宋" w:hAnsi="仿宋"/>
          <w:color w:val="000000"/>
          <w:sz w:val="32"/>
          <w:szCs w:val="32"/>
        </w:rPr>
      </w:pPr>
      <w:r>
        <w:rPr>
          <w:rFonts w:ascii="仿宋" w:eastAsia="仿宋" w:hAnsi="仿宋" w:hint="eastAsia"/>
          <w:color w:val="000000"/>
          <w:sz w:val="32"/>
          <w:szCs w:val="32"/>
        </w:rPr>
        <w:t>10</w:t>
      </w:r>
      <w:r>
        <w:rPr>
          <w:rFonts w:ascii="仿宋" w:eastAsia="仿宋" w:hAnsi="仿宋"/>
          <w:color w:val="000000"/>
          <w:sz w:val="32"/>
          <w:szCs w:val="32"/>
        </w:rPr>
        <w:t>.</w:t>
      </w:r>
      <w:r>
        <w:rPr>
          <w:rFonts w:ascii="仿宋" w:eastAsia="仿宋" w:hAnsi="仿宋" w:hint="eastAsia"/>
          <w:color w:val="000000"/>
          <w:sz w:val="32"/>
          <w:szCs w:val="32"/>
        </w:rPr>
        <w:t>基本支出：指为保障机构正常运转、完成日常工作任务而发生的人员支出和公用支出。</w:t>
      </w:r>
    </w:p>
    <w:p w:rsidR="00405573" w:rsidRDefault="005B20D5">
      <w:pPr>
        <w:ind w:firstLineChars="200" w:firstLine="640"/>
        <w:rPr>
          <w:rFonts w:ascii="仿宋" w:eastAsia="仿宋" w:hAnsi="仿宋"/>
          <w:color w:val="000000"/>
          <w:sz w:val="32"/>
          <w:szCs w:val="32"/>
        </w:rPr>
      </w:pPr>
      <w:r>
        <w:rPr>
          <w:rFonts w:ascii="仿宋" w:eastAsia="仿宋" w:hAnsi="仿宋" w:hint="eastAsia"/>
          <w:color w:val="000000"/>
          <w:sz w:val="32"/>
          <w:szCs w:val="32"/>
        </w:rPr>
        <w:t>11</w:t>
      </w:r>
      <w:r>
        <w:rPr>
          <w:rFonts w:ascii="仿宋" w:eastAsia="仿宋" w:hAnsi="仿宋"/>
          <w:color w:val="000000"/>
          <w:sz w:val="32"/>
          <w:szCs w:val="32"/>
        </w:rPr>
        <w:t>.</w:t>
      </w:r>
      <w:r>
        <w:rPr>
          <w:rFonts w:ascii="仿宋" w:eastAsia="仿宋" w:hAnsi="仿宋" w:hint="eastAsia"/>
          <w:color w:val="000000"/>
          <w:sz w:val="32"/>
          <w:szCs w:val="32"/>
        </w:rPr>
        <w:t>项目支出：指在基本支出之外为完成特定行政任务和事业发展目标所发生的支出。</w:t>
      </w:r>
    </w:p>
    <w:p w:rsidR="00405573" w:rsidRDefault="005B20D5">
      <w:pPr>
        <w:ind w:firstLineChars="200" w:firstLine="640"/>
        <w:rPr>
          <w:rFonts w:ascii="仿宋" w:eastAsia="仿宋" w:hAnsi="仿宋"/>
          <w:color w:val="000000"/>
          <w:sz w:val="32"/>
          <w:szCs w:val="32"/>
        </w:rPr>
      </w:pPr>
      <w:r>
        <w:rPr>
          <w:rFonts w:ascii="仿宋" w:eastAsia="仿宋" w:hAnsi="仿宋" w:hint="eastAsia"/>
          <w:color w:val="000000"/>
          <w:sz w:val="32"/>
          <w:szCs w:val="32"/>
        </w:rPr>
        <w:t>12</w:t>
      </w:r>
      <w:r>
        <w:rPr>
          <w:rFonts w:ascii="仿宋" w:eastAsia="仿宋" w:hAnsi="仿宋"/>
          <w:color w:val="000000"/>
          <w:sz w:val="32"/>
          <w:szCs w:val="32"/>
        </w:rPr>
        <w:t>.</w:t>
      </w:r>
      <w:r>
        <w:rPr>
          <w:rFonts w:ascii="仿宋" w:eastAsia="仿宋" w:hAnsi="仿宋" w:hint="eastAsia"/>
          <w:color w:val="000000"/>
          <w:sz w:val="32"/>
          <w:szCs w:val="32"/>
        </w:rPr>
        <w:t>经营支出：指事业单位在专业业务活动及其辅助活动之外开展非独立核算经营活动发生的支出。</w:t>
      </w:r>
    </w:p>
    <w:p w:rsidR="00405573" w:rsidRDefault="005B20D5">
      <w:pPr>
        <w:pStyle w:val="Default"/>
        <w:spacing w:line="560" w:lineRule="exact"/>
        <w:ind w:firstLineChars="200" w:firstLine="640"/>
        <w:rPr>
          <w:rFonts w:hAnsi="仿宋"/>
          <w:sz w:val="32"/>
          <w:szCs w:val="32"/>
        </w:rPr>
      </w:pPr>
      <w:r>
        <w:rPr>
          <w:rFonts w:hAnsi="仿宋" w:hint="eastAsia"/>
          <w:sz w:val="32"/>
          <w:szCs w:val="32"/>
        </w:rPr>
        <w:t>13</w:t>
      </w:r>
      <w:r>
        <w:rPr>
          <w:rFonts w:hAnsi="仿宋"/>
          <w:sz w:val="32"/>
          <w:szCs w:val="32"/>
        </w:rPr>
        <w:t>.</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405573" w:rsidRDefault="005B20D5">
      <w:pPr>
        <w:pStyle w:val="Default"/>
        <w:spacing w:line="560" w:lineRule="exact"/>
        <w:ind w:firstLineChars="200" w:firstLine="640"/>
        <w:rPr>
          <w:rFonts w:hAnsi="仿宋"/>
          <w:sz w:val="32"/>
          <w:szCs w:val="32"/>
        </w:rPr>
      </w:pPr>
      <w:r>
        <w:rPr>
          <w:rFonts w:hAnsi="仿宋" w:hint="eastAsia"/>
          <w:sz w:val="32"/>
          <w:szCs w:val="32"/>
        </w:rPr>
        <w:t>14</w:t>
      </w:r>
      <w:r>
        <w:rPr>
          <w:rFonts w:hAnsi="仿宋"/>
          <w:sz w:val="32"/>
          <w:szCs w:val="32"/>
        </w:rPr>
        <w:t>.</w:t>
      </w:r>
      <w:r>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05573" w:rsidRDefault="00405573">
      <w:pPr>
        <w:pStyle w:val="Default"/>
        <w:spacing w:line="560" w:lineRule="exact"/>
        <w:rPr>
          <w:rFonts w:hAnsi="仿宋"/>
          <w:sz w:val="32"/>
          <w:szCs w:val="32"/>
        </w:rPr>
      </w:pPr>
    </w:p>
    <w:p w:rsidR="00405573" w:rsidRDefault="005B20D5">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405573" w:rsidRDefault="00405573">
      <w:pPr>
        <w:spacing w:line="600" w:lineRule="exact"/>
        <w:jc w:val="center"/>
        <w:outlineLvl w:val="0"/>
        <w:rPr>
          <w:rStyle w:val="1Char"/>
        </w:rPr>
      </w:pPr>
    </w:p>
    <w:p w:rsidR="00405573" w:rsidRDefault="005B20D5">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405573" w:rsidRDefault="005B20D5">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井研县农村能源办公室</w:t>
      </w:r>
    </w:p>
    <w:p w:rsidR="00405573" w:rsidRDefault="005B20D5">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2018年部门整体支出绩效评价报告</w:t>
      </w:r>
      <w:bookmarkEnd w:id="61"/>
    </w:p>
    <w:p w:rsidR="00405573" w:rsidRDefault="00405573">
      <w:pPr>
        <w:spacing w:line="580" w:lineRule="exact"/>
        <w:ind w:firstLineChars="200" w:firstLine="640"/>
        <w:rPr>
          <w:rFonts w:ascii="黑体" w:eastAsia="黑体" w:hAnsi="黑体" w:cs="黑体"/>
          <w:sz w:val="32"/>
          <w:szCs w:val="32"/>
        </w:rPr>
      </w:pPr>
    </w:p>
    <w:p w:rsidR="00405573" w:rsidRDefault="005B20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r>
        <w:rPr>
          <w:rFonts w:ascii="仿宋" w:eastAsia="仿宋" w:hAnsi="仿宋" w:cs="仿宋_GB2312" w:hint="eastAsia"/>
          <w:sz w:val="32"/>
          <w:szCs w:val="32"/>
        </w:rPr>
        <w:t>井研县农村能源办公室是农业农村局管理的参公事业单位。</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r>
        <w:rPr>
          <w:rFonts w:ascii="仿宋" w:eastAsia="仿宋" w:hAnsi="仿宋" w:cs="仿宋_GB2312" w:hint="eastAsia"/>
          <w:sz w:val="32"/>
          <w:szCs w:val="32"/>
        </w:rPr>
        <w:t>井研县农村能源办公室负责农村能源开发、建设、管理、节约等工作，承担引进、推广新型节能技术，培训专业技术人员和广大用户，制定农村能源开发利用计划（规划）并组织实施和管理全县农村户用沼气池、大中型沼气工程、中小型集中供气工程、太阳能、省柴节煤灶等农村能源建设项目，开展质量监督及后续服务工作</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r>
        <w:rPr>
          <w:rFonts w:ascii="仿宋" w:eastAsia="仿宋" w:hAnsi="仿宋" w:cs="仿宋_GB2312" w:hint="eastAsia"/>
          <w:sz w:val="32"/>
          <w:szCs w:val="32"/>
        </w:rPr>
        <w:t>井研县农村能源办公室人员编制数为8人，实有在职职工5人，其中：参公人员3人，事编2人，退休人员5人。缺编3人</w:t>
      </w:r>
    </w:p>
    <w:p w:rsidR="00405573" w:rsidRDefault="005B20D5">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财政拨款收入资金84.42万元</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 xml:space="preserve">一般公共财政预算支出81.73万元，1、基本支出：60.22万元。其中工资福利支出54.21万元，商品和服务支出5.31万元，对个人和家庭的补助支出0.70万元。2、项目支出：21.51万元。  </w:t>
      </w:r>
    </w:p>
    <w:p w:rsidR="00405573" w:rsidRDefault="005B20D5">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（1）预算编制情况。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严格按照县级部门预算编制通知和有关要求，按时完成基础库、项目库报送工作，预算编制准确。</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（2）执行管理情况。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按规定及时分配了县级财力专项预算，按照要求严格执行了预算管理，严格按照“三公经费”的要求进行预算和使用。</w:t>
      </w:r>
      <w:r>
        <w:rPr>
          <w:rFonts w:ascii="仿宋" w:eastAsia="仿宋" w:hAnsi="仿宋" w:cs="仿宋_GB2312" w:hint="eastAsia"/>
          <w:sz w:val="32"/>
          <w:szCs w:val="32"/>
        </w:rPr>
        <w:tab/>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（3）综合管理情况。</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照要求进行政策采购实施计划，将国有资产纳入资产信息系统管理、及时、准确、全面开展资产清查工作，及时上报国有资产报表；内控制度管理健全、预算、决算和“三公经费”绩效信息公开；按要求向财政部门报告自评报告，绩效评价及依法接受财政监督情况等。</w:t>
      </w:r>
      <w:r>
        <w:rPr>
          <w:rFonts w:ascii="仿宋" w:eastAsia="仿宋" w:hAnsi="仿宋" w:cs="仿宋_GB2312"/>
          <w:sz w:val="32"/>
          <w:szCs w:val="32"/>
        </w:rPr>
        <w:t>包括部门绩效目标制定、目标完成、预算编制准确、支出控制、预算动态调整、执行进度、预算完成情况和违规记录等情况。</w:t>
      </w:r>
    </w:p>
    <w:p w:rsidR="00405573" w:rsidRDefault="00405573">
      <w:pPr>
        <w:spacing w:line="580" w:lineRule="exact"/>
        <w:ind w:firstLineChars="200" w:firstLine="640"/>
        <w:rPr>
          <w:rFonts w:ascii="仿宋" w:eastAsia="仿宋" w:hAnsi="仿宋" w:cs="仿宋_GB2312"/>
          <w:sz w:val="32"/>
          <w:szCs w:val="32"/>
        </w:rPr>
      </w:pPr>
    </w:p>
    <w:p w:rsidR="00405573" w:rsidRDefault="005B20D5">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（一）评价结论。</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认真履行职责，账务资金管理较为规范、帐目清楚、利用效益较高，保障了单位的正常运转和各项工作的按时完成。</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县农村能源办公室财务人员的业务能力有待进一步提高。</w:t>
      </w:r>
    </w:p>
    <w:p w:rsidR="00405573" w:rsidRDefault="005B20D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405573" w:rsidRDefault="005B20D5">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t>财务人员加强财政法律、法规、政策的学习，不断提高业务用力，当好领导的参谋和助手。</w:t>
      </w:r>
    </w:p>
    <w:p w:rsidR="00405573" w:rsidRDefault="00405573">
      <w:pPr>
        <w:spacing w:line="600" w:lineRule="exact"/>
        <w:jc w:val="center"/>
        <w:outlineLvl w:val="0"/>
        <w:rPr>
          <w:rFonts w:ascii="黑体" w:eastAsia="黑体" w:hAnsi="黑体"/>
          <w:color w:val="000000"/>
          <w:sz w:val="44"/>
          <w:szCs w:val="44"/>
        </w:rPr>
      </w:pPr>
      <w:bookmarkStart w:id="62" w:name="_Toc15396618"/>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405573">
      <w:pPr>
        <w:spacing w:line="600" w:lineRule="exact"/>
        <w:jc w:val="center"/>
        <w:outlineLvl w:val="0"/>
        <w:rPr>
          <w:rFonts w:ascii="黑体" w:eastAsia="黑体" w:hAnsi="黑体"/>
          <w:color w:val="000000"/>
          <w:sz w:val="44"/>
          <w:szCs w:val="44"/>
        </w:rPr>
      </w:pPr>
    </w:p>
    <w:p w:rsidR="00405573" w:rsidRDefault="005B20D5">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2"/>
    </w:p>
    <w:p w:rsidR="00405573" w:rsidRDefault="00405573">
      <w:pPr>
        <w:spacing w:line="600" w:lineRule="exact"/>
        <w:jc w:val="center"/>
        <w:outlineLvl w:val="0"/>
        <w:rPr>
          <w:rFonts w:ascii="仿宋" w:eastAsia="仿宋" w:hAnsi="仿宋"/>
          <w:b/>
          <w:color w:val="000000"/>
          <w:sz w:val="44"/>
          <w:szCs w:val="44"/>
        </w:rPr>
      </w:pPr>
    </w:p>
    <w:p w:rsidR="00405573" w:rsidRDefault="005B20D5">
      <w:pPr>
        <w:pStyle w:val="2"/>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405573" w:rsidRDefault="005B20D5">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入总表</w:t>
      </w:r>
      <w:bookmarkEnd w:id="64"/>
    </w:p>
    <w:p w:rsidR="00405573" w:rsidRDefault="005B20D5">
      <w:pPr>
        <w:pStyle w:val="2"/>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5"/>
    </w:p>
    <w:p w:rsidR="00405573" w:rsidRDefault="005B20D5">
      <w:pPr>
        <w:pStyle w:val="2"/>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405573" w:rsidRDefault="005B20D5">
      <w:pPr>
        <w:pStyle w:val="2"/>
        <w:rPr>
          <w:rFonts w:ascii="仿宋" w:eastAsia="仿宋" w:hAnsi="仿宋"/>
          <w:color w:val="000000"/>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7"/>
    </w:p>
    <w:p w:rsidR="00405573" w:rsidRDefault="005B20D5">
      <w:pPr>
        <w:pStyle w:val="2"/>
        <w:rPr>
          <w:rFonts w:ascii="仿宋" w:eastAsia="仿宋" w:hAnsi="仿宋"/>
          <w:color w:val="000000"/>
        </w:rPr>
      </w:pPr>
      <w:bookmarkStart w:id="68"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405573" w:rsidRDefault="005B20D5">
      <w:pPr>
        <w:pStyle w:val="2"/>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405573" w:rsidRDefault="005B20D5">
      <w:pPr>
        <w:pStyle w:val="2"/>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405573" w:rsidRDefault="005B20D5">
      <w:pPr>
        <w:pStyle w:val="2"/>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405573" w:rsidRDefault="005B20D5">
      <w:pPr>
        <w:pStyle w:val="2"/>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405573" w:rsidRDefault="005B20D5">
      <w:pPr>
        <w:pStyle w:val="2"/>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405573" w:rsidRDefault="005B20D5">
      <w:pPr>
        <w:pStyle w:val="2"/>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405573" w:rsidRDefault="005B20D5">
      <w:pPr>
        <w:pStyle w:val="2"/>
        <w:rPr>
          <w:rFonts w:ascii="仿宋" w:eastAsia="仿宋" w:hAnsi="仿宋"/>
          <w:color w:val="000000"/>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5"/>
    </w:p>
    <w:sectPr w:rsidR="00405573" w:rsidSect="00405573">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873" w:rsidRDefault="008C1873" w:rsidP="00405573">
      <w:r>
        <w:separator/>
      </w:r>
    </w:p>
  </w:endnote>
  <w:endnote w:type="continuationSeparator" w:id="1">
    <w:p w:rsidR="008C1873" w:rsidRDefault="008C1873" w:rsidP="0040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73" w:rsidRDefault="00D86145">
    <w:pPr>
      <w:pStyle w:val="a5"/>
      <w:jc w:val="center"/>
    </w:pPr>
    <w:r w:rsidRPr="00D86145">
      <w:fldChar w:fldCharType="begin"/>
    </w:r>
    <w:r w:rsidR="005B20D5">
      <w:instrText>PAGE   \* MERGEFORMAT</w:instrText>
    </w:r>
    <w:r w:rsidRPr="00D86145">
      <w:fldChar w:fldCharType="separate"/>
    </w:r>
    <w:r w:rsidR="00583BA7" w:rsidRPr="00583BA7">
      <w:rPr>
        <w:noProof/>
        <w:lang w:val="zh-CN"/>
      </w:rPr>
      <w:t>2</w:t>
    </w:r>
    <w:r>
      <w:rPr>
        <w:lang w:val="zh-CN"/>
      </w:rPr>
      <w:fldChar w:fldCharType="end"/>
    </w:r>
  </w:p>
  <w:p w:rsidR="00405573" w:rsidRDefault="004055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873" w:rsidRDefault="008C1873" w:rsidP="00405573">
      <w:r>
        <w:separator/>
      </w:r>
    </w:p>
  </w:footnote>
  <w:footnote w:type="continuationSeparator" w:id="1">
    <w:p w:rsidR="008C1873" w:rsidRDefault="008C1873" w:rsidP="00405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73" w:rsidRDefault="0040557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hint="eastAsia"/>
      </w:rPr>
    </w:lvl>
  </w:abstractNum>
  <w:abstractNum w:abstractNumId="1">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tentative="1">
      <w:start w:val="1"/>
      <w:numFmt w:val="lowerLetter"/>
      <w:lvlText w:val="%2)"/>
      <w:lvlJc w:val="left"/>
      <w:pPr>
        <w:ind w:left="1549" w:hanging="420"/>
      </w:pPr>
    </w:lvl>
    <w:lvl w:ilvl="2" w:tentative="1">
      <w:start w:val="1"/>
      <w:numFmt w:val="lowerRoman"/>
      <w:lvlText w:val="%3."/>
      <w:lvlJc w:val="right"/>
      <w:pPr>
        <w:ind w:left="1969" w:hanging="420"/>
      </w:pPr>
    </w:lvl>
    <w:lvl w:ilvl="3" w:tentative="1">
      <w:start w:val="1"/>
      <w:numFmt w:val="decimal"/>
      <w:lvlText w:val="%4."/>
      <w:lvlJc w:val="left"/>
      <w:pPr>
        <w:ind w:left="2389" w:hanging="420"/>
      </w:pPr>
    </w:lvl>
    <w:lvl w:ilvl="4" w:tentative="1">
      <w:start w:val="1"/>
      <w:numFmt w:val="lowerLetter"/>
      <w:lvlText w:val="%5)"/>
      <w:lvlJc w:val="left"/>
      <w:pPr>
        <w:ind w:left="2809" w:hanging="420"/>
      </w:pPr>
    </w:lvl>
    <w:lvl w:ilvl="5" w:tentative="1">
      <w:start w:val="1"/>
      <w:numFmt w:val="lowerRoman"/>
      <w:lvlText w:val="%6."/>
      <w:lvlJc w:val="right"/>
      <w:pPr>
        <w:ind w:left="3229" w:hanging="420"/>
      </w:pPr>
    </w:lvl>
    <w:lvl w:ilvl="6" w:tentative="1">
      <w:start w:val="1"/>
      <w:numFmt w:val="decimal"/>
      <w:lvlText w:val="%7."/>
      <w:lvlJc w:val="left"/>
      <w:pPr>
        <w:ind w:left="3649" w:hanging="420"/>
      </w:pPr>
    </w:lvl>
    <w:lvl w:ilvl="7" w:tentative="1">
      <w:start w:val="1"/>
      <w:numFmt w:val="lowerLetter"/>
      <w:lvlText w:val="%8)"/>
      <w:lvlJc w:val="left"/>
      <w:pPr>
        <w:ind w:left="4069" w:hanging="420"/>
      </w:pPr>
    </w:lvl>
    <w:lvl w:ilvl="8" w:tentative="1">
      <w:start w:val="1"/>
      <w:numFmt w:val="lowerRoman"/>
      <w:lvlText w:val="%9."/>
      <w:lvlJc w:val="right"/>
      <w:pPr>
        <w:ind w:left="4489" w:hanging="420"/>
      </w:pPr>
    </w:lvl>
  </w:abstractNum>
  <w:abstractNum w:abstractNumId="4">
    <w:nsid w:val="5DB114D6"/>
    <w:multiLevelType w:val="singleLevel"/>
    <w:tmpl w:val="5DB114D6"/>
    <w:lvl w:ilvl="0">
      <w:start w:val="3"/>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573"/>
    <w:rsid w:val="001F236A"/>
    <w:rsid w:val="00405573"/>
    <w:rsid w:val="00550221"/>
    <w:rsid w:val="00560A77"/>
    <w:rsid w:val="00583BA7"/>
    <w:rsid w:val="005A5347"/>
    <w:rsid w:val="005B20D5"/>
    <w:rsid w:val="008C1873"/>
    <w:rsid w:val="00BF4B9B"/>
    <w:rsid w:val="00C02AC6"/>
    <w:rsid w:val="00CE03F7"/>
    <w:rsid w:val="00CF6D67"/>
    <w:rsid w:val="00D86145"/>
    <w:rsid w:val="00E50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Body Text" w:semiHidden="0" w:uiPriority="99"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73"/>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40557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5573"/>
    <w:pPr>
      <w:keepNext/>
      <w:keepLines/>
      <w:spacing w:before="260" w:after="260" w:line="416" w:lineRule="auto"/>
      <w:outlineLvl w:val="1"/>
    </w:pPr>
    <w:rPr>
      <w:rFonts w:ascii="Cambria" w:hAnsi="Cambria" w:cs="黑体"/>
      <w:b/>
      <w:bCs/>
      <w:sz w:val="32"/>
      <w:szCs w:val="32"/>
    </w:rPr>
  </w:style>
  <w:style w:type="paragraph" w:styleId="3">
    <w:name w:val="heading 3"/>
    <w:basedOn w:val="a"/>
    <w:next w:val="a"/>
    <w:link w:val="3Char"/>
    <w:uiPriority w:val="9"/>
    <w:unhideWhenUsed/>
    <w:qFormat/>
    <w:rsid w:val="004055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05573"/>
    <w:pPr>
      <w:spacing w:beforeLines="30"/>
    </w:pPr>
    <w:rPr>
      <w:rFonts w:ascii="仿宋_GB2312" w:eastAsia="仿宋_GB2312"/>
      <w:kern w:val="0"/>
      <w:sz w:val="24"/>
      <w:szCs w:val="20"/>
    </w:rPr>
  </w:style>
  <w:style w:type="paragraph" w:styleId="30">
    <w:name w:val="toc 3"/>
    <w:basedOn w:val="a"/>
    <w:next w:val="a"/>
    <w:uiPriority w:val="39"/>
    <w:unhideWhenUsed/>
    <w:qFormat/>
    <w:rsid w:val="00405573"/>
    <w:pPr>
      <w:tabs>
        <w:tab w:val="right" w:leader="dot" w:pos="8296"/>
      </w:tabs>
      <w:ind w:leftChars="400" w:left="840"/>
    </w:pPr>
  </w:style>
  <w:style w:type="paragraph" w:styleId="a4">
    <w:name w:val="Balloon Text"/>
    <w:basedOn w:val="a"/>
    <w:link w:val="Char0"/>
    <w:uiPriority w:val="99"/>
    <w:unhideWhenUsed/>
    <w:qFormat/>
    <w:rsid w:val="00405573"/>
    <w:rPr>
      <w:sz w:val="18"/>
      <w:szCs w:val="18"/>
    </w:rPr>
  </w:style>
  <w:style w:type="paragraph" w:styleId="a5">
    <w:name w:val="footer"/>
    <w:basedOn w:val="a"/>
    <w:link w:val="Char1"/>
    <w:uiPriority w:val="99"/>
    <w:qFormat/>
    <w:rsid w:val="00405573"/>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405573"/>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40557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405573"/>
    <w:pPr>
      <w:tabs>
        <w:tab w:val="right" w:leader="dot" w:pos="8296"/>
      </w:tabs>
      <w:ind w:leftChars="200" w:left="420"/>
    </w:pPr>
  </w:style>
  <w:style w:type="character" w:styleId="a7">
    <w:name w:val="Strong"/>
    <w:basedOn w:val="a0"/>
    <w:uiPriority w:val="22"/>
    <w:qFormat/>
    <w:rsid w:val="00405573"/>
    <w:rPr>
      <w:b/>
    </w:rPr>
  </w:style>
  <w:style w:type="character" w:styleId="a8">
    <w:name w:val="Hyperlink"/>
    <w:basedOn w:val="a0"/>
    <w:uiPriority w:val="99"/>
    <w:unhideWhenUsed/>
    <w:qFormat/>
    <w:rsid w:val="00405573"/>
    <w:rPr>
      <w:color w:val="0000FF"/>
      <w:u w:val="single"/>
    </w:rPr>
  </w:style>
  <w:style w:type="paragraph" w:customStyle="1" w:styleId="Default">
    <w:name w:val="Default"/>
    <w:uiPriority w:val="99"/>
    <w:qFormat/>
    <w:rsid w:val="00405573"/>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405573"/>
    <w:pPr>
      <w:ind w:firstLineChars="200" w:firstLine="420"/>
    </w:pPr>
  </w:style>
  <w:style w:type="paragraph" w:customStyle="1" w:styleId="TOC1">
    <w:name w:val="TOC 标题1"/>
    <w:basedOn w:val="1"/>
    <w:next w:val="a"/>
    <w:uiPriority w:val="39"/>
    <w:unhideWhenUsed/>
    <w:qFormat/>
    <w:rsid w:val="00405573"/>
    <w:pPr>
      <w:widowControl/>
      <w:spacing w:before="480" w:after="0" w:line="276" w:lineRule="auto"/>
      <w:jc w:val="left"/>
      <w:outlineLvl w:val="9"/>
    </w:pPr>
    <w:rPr>
      <w:rFonts w:ascii="Cambria" w:hAnsi="Cambria" w:cs="黑体"/>
      <w:color w:val="365F90"/>
      <w:kern w:val="0"/>
      <w:sz w:val="28"/>
      <w:szCs w:val="28"/>
    </w:rPr>
  </w:style>
  <w:style w:type="paragraph" w:customStyle="1" w:styleId="21">
    <w:name w:val="列出段落2"/>
    <w:basedOn w:val="a"/>
    <w:uiPriority w:val="99"/>
    <w:unhideWhenUsed/>
    <w:rsid w:val="00405573"/>
    <w:pPr>
      <w:ind w:firstLineChars="200" w:firstLine="420"/>
    </w:pPr>
  </w:style>
  <w:style w:type="character" w:customStyle="1" w:styleId="HeaderChar">
    <w:name w:val="Header Char"/>
    <w:basedOn w:val="a0"/>
    <w:uiPriority w:val="99"/>
    <w:semiHidden/>
    <w:qFormat/>
    <w:rsid w:val="00405573"/>
    <w:rPr>
      <w:rFonts w:ascii="Times New Roman" w:hAnsi="Times New Roman"/>
      <w:sz w:val="18"/>
      <w:szCs w:val="18"/>
    </w:rPr>
  </w:style>
  <w:style w:type="character" w:customStyle="1" w:styleId="Char2">
    <w:name w:val="页眉 Char"/>
    <w:link w:val="a6"/>
    <w:uiPriority w:val="99"/>
    <w:semiHidden/>
    <w:qFormat/>
    <w:locked/>
    <w:rsid w:val="00405573"/>
    <w:rPr>
      <w:sz w:val="18"/>
    </w:rPr>
  </w:style>
  <w:style w:type="character" w:customStyle="1" w:styleId="FooterChar">
    <w:name w:val="Footer Char"/>
    <w:basedOn w:val="a0"/>
    <w:uiPriority w:val="99"/>
    <w:semiHidden/>
    <w:rsid w:val="00405573"/>
    <w:rPr>
      <w:rFonts w:ascii="Times New Roman" w:hAnsi="Times New Roman"/>
      <w:sz w:val="18"/>
      <w:szCs w:val="18"/>
    </w:rPr>
  </w:style>
  <w:style w:type="character" w:customStyle="1" w:styleId="Char1">
    <w:name w:val="页脚 Char"/>
    <w:link w:val="a5"/>
    <w:uiPriority w:val="99"/>
    <w:qFormat/>
    <w:locked/>
    <w:rsid w:val="00405573"/>
    <w:rPr>
      <w:sz w:val="18"/>
    </w:rPr>
  </w:style>
  <w:style w:type="character" w:customStyle="1" w:styleId="BodyTextChar">
    <w:name w:val="Body Text Char"/>
    <w:basedOn w:val="a0"/>
    <w:uiPriority w:val="99"/>
    <w:semiHidden/>
    <w:rsid w:val="00405573"/>
    <w:rPr>
      <w:rFonts w:ascii="Times New Roman" w:hAnsi="Times New Roman"/>
      <w:szCs w:val="24"/>
    </w:rPr>
  </w:style>
  <w:style w:type="character" w:customStyle="1" w:styleId="Char">
    <w:name w:val="正文文本 Char"/>
    <w:link w:val="a3"/>
    <w:uiPriority w:val="99"/>
    <w:locked/>
    <w:rsid w:val="00405573"/>
    <w:rPr>
      <w:rFonts w:ascii="仿宋_GB2312" w:eastAsia="仿宋_GB2312" w:hAnsi="Times New Roman"/>
      <w:sz w:val="24"/>
    </w:rPr>
  </w:style>
  <w:style w:type="character" w:customStyle="1" w:styleId="1Char">
    <w:name w:val="标题 1 Char"/>
    <w:basedOn w:val="a0"/>
    <w:link w:val="1"/>
    <w:uiPriority w:val="9"/>
    <w:rsid w:val="00405573"/>
    <w:rPr>
      <w:rFonts w:ascii="Times New Roman" w:hAnsi="Times New Roman"/>
      <w:b/>
      <w:bCs/>
      <w:kern w:val="44"/>
      <w:sz w:val="44"/>
      <w:szCs w:val="44"/>
    </w:rPr>
  </w:style>
  <w:style w:type="character" w:customStyle="1" w:styleId="2Char">
    <w:name w:val="标题 2 Char"/>
    <w:basedOn w:val="a0"/>
    <w:link w:val="2"/>
    <w:uiPriority w:val="9"/>
    <w:qFormat/>
    <w:rsid w:val="00405573"/>
    <w:rPr>
      <w:rFonts w:ascii="Cambria" w:eastAsia="宋体" w:hAnsi="Cambria" w:cs="黑体"/>
      <w:b/>
      <w:bCs/>
      <w:kern w:val="2"/>
      <w:sz w:val="32"/>
      <w:szCs w:val="32"/>
    </w:rPr>
  </w:style>
  <w:style w:type="character" w:customStyle="1" w:styleId="Char0">
    <w:name w:val="批注框文本 Char"/>
    <w:basedOn w:val="a0"/>
    <w:link w:val="a4"/>
    <w:uiPriority w:val="99"/>
    <w:semiHidden/>
    <w:rsid w:val="00405573"/>
    <w:rPr>
      <w:rFonts w:ascii="Times New Roman" w:hAnsi="Times New Roman"/>
      <w:kern w:val="2"/>
      <w:sz w:val="18"/>
      <w:szCs w:val="18"/>
    </w:rPr>
  </w:style>
  <w:style w:type="character" w:customStyle="1" w:styleId="3Char">
    <w:name w:val="标题 3 Char"/>
    <w:basedOn w:val="a0"/>
    <w:link w:val="3"/>
    <w:uiPriority w:val="9"/>
    <w:qFormat/>
    <w:rsid w:val="00405573"/>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01612221730\Desktop\20191025&#25351;&#266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showVal val="1"/>
          </c:dLbls>
          <c:cat>
            <c:strRef>
              <c:f>Sheet1!$A$3:$A$4</c:f>
              <c:strCache>
                <c:ptCount val="2"/>
                <c:pt idx="0">
                  <c:v>2017年</c:v>
                </c:pt>
                <c:pt idx="1">
                  <c:v>2018年</c:v>
                </c:pt>
              </c:strCache>
            </c:strRef>
          </c:cat>
          <c:val>
            <c:numRef>
              <c:f>Sheet1!$B$3:$B$4</c:f>
              <c:numCache>
                <c:formatCode>General</c:formatCode>
                <c:ptCount val="2"/>
                <c:pt idx="0">
                  <c:v>273.42999999999978</c:v>
                </c:pt>
                <c:pt idx="1">
                  <c:v>113.74000000000002</c:v>
                </c:pt>
              </c:numCache>
            </c:numRef>
          </c:val>
        </c:ser>
        <c:shape val="box"/>
        <c:axId val="75856512"/>
        <c:axId val="77503104"/>
        <c:axId val="0"/>
      </c:bar3DChart>
      <c:catAx>
        <c:axId val="75856512"/>
        <c:scaling>
          <c:orientation val="minMax"/>
        </c:scaling>
        <c:axPos val="b"/>
        <c:tickLblPos val="nextTo"/>
        <c:crossAx val="77503104"/>
        <c:crosses val="autoZero"/>
        <c:auto val="1"/>
        <c:lblAlgn val="ctr"/>
        <c:lblOffset val="100"/>
      </c:catAx>
      <c:valAx>
        <c:axId val="77503104"/>
        <c:scaling>
          <c:orientation val="minMax"/>
        </c:scaling>
        <c:axPos val="l"/>
        <c:majorGridlines/>
        <c:numFmt formatCode="General" sourceLinked="1"/>
        <c:tickLblPos val="nextTo"/>
        <c:crossAx val="758565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1"/>
              <c:layout>
                <c:manualLayout>
                  <c:x val="-5.5779746281714787E-3"/>
                  <c:y val="-2.6412219305920092E-2"/>
                </c:manualLayout>
              </c:layout>
              <c:showVal val="1"/>
              <c:showPercent val="1"/>
            </c:dLbl>
            <c:dLbl>
              <c:idx val="2"/>
              <c:layout>
                <c:manualLayout>
                  <c:x val="0.14546369203849549"/>
                  <c:y val="-2.7569626713327501E-2"/>
                </c:manualLayout>
              </c:layout>
              <c:showVal val="1"/>
              <c:showPercent val="1"/>
            </c:dLbl>
            <c:dLbl>
              <c:idx val="3"/>
              <c:layout>
                <c:manualLayout>
                  <c:x val="-0.10731408573928262"/>
                  <c:y val="-2.6412219305920092E-2"/>
                </c:manualLayout>
              </c:layout>
              <c:showVal val="1"/>
              <c:showPercent val="1"/>
            </c:dLbl>
            <c:dLbl>
              <c:idx val="4"/>
              <c:layout>
                <c:manualLayout>
                  <c:x val="0.22289435695538071"/>
                  <c:y val="-1.13659230096238E-2"/>
                </c:manualLayout>
              </c:layout>
              <c:showVal val="1"/>
              <c:showPercent val="1"/>
            </c:dLbl>
            <c:dLbl>
              <c:idx val="5"/>
              <c:layout>
                <c:manualLayout>
                  <c:x val="-0.22606408573928274"/>
                  <c:y val="5.9951881014873223E-3"/>
                </c:manualLayout>
              </c:layout>
              <c:showVal val="1"/>
              <c:showPercent val="1"/>
            </c:dLbl>
            <c:dLbl>
              <c:idx val="6"/>
              <c:layout>
                <c:manualLayout>
                  <c:x val="0.23851924759405102"/>
                  <c:y val="5.5763706620005911E-2"/>
                </c:manualLayout>
              </c:layout>
              <c:showVal val="1"/>
              <c:showPercent val="1"/>
            </c:dLbl>
            <c:showVal val="1"/>
            <c:showPercent val="1"/>
            <c:showLeaderLines val="1"/>
          </c:dLbls>
          <c:cat>
            <c:strRef>
              <c:f>Sheet1!$A$9:$G$9</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Sheet1!$A$10:$G$10</c:f>
              <c:numCache>
                <c:formatCode>General</c:formatCode>
                <c:ptCount val="7"/>
                <c:pt idx="0">
                  <c:v>84.42</c:v>
                </c:pt>
                <c:pt idx="1">
                  <c:v>0</c:v>
                </c:pt>
                <c:pt idx="2">
                  <c:v>0</c:v>
                </c:pt>
                <c:pt idx="3">
                  <c:v>0</c:v>
                </c:pt>
                <c:pt idx="4">
                  <c:v>0</c:v>
                </c:pt>
                <c:pt idx="5">
                  <c:v>0</c:v>
                </c:pt>
                <c:pt idx="6">
                  <c:v>0</c:v>
                </c:pt>
              </c:numCache>
            </c:numRef>
          </c:val>
        </c:ser>
        <c:ser>
          <c:idx val="1"/>
          <c:order val="1"/>
          <c:cat>
            <c:strRef>
              <c:f>Sheet1!$A$9:$G$9</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Sheet1!$A$11:$G$11</c:f>
              <c:numCache>
                <c:formatCode>General</c:formatCode>
                <c:ptCount val="7"/>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2"/>
              <c:layout>
                <c:manualLayout>
                  <c:x val="-0.19932797462817137"/>
                  <c:y val="3.1458151064450275E-2"/>
                </c:manualLayout>
              </c:layout>
              <c:showVal val="1"/>
              <c:showPercent val="1"/>
            </c:dLbl>
            <c:dLbl>
              <c:idx val="3"/>
              <c:layout>
                <c:manualLayout>
                  <c:x val="-4.5855752405949253E-2"/>
                  <c:y val="-2.6412219305920092E-2"/>
                </c:manualLayout>
              </c:layout>
              <c:showVal val="1"/>
              <c:showPercent val="1"/>
            </c:dLbl>
            <c:dLbl>
              <c:idx val="4"/>
              <c:layout>
                <c:manualLayout>
                  <c:x val="0.14893591426071742"/>
                  <c:y val="2.4513706620005841E-2"/>
                </c:manualLayout>
              </c:layout>
              <c:showVal val="1"/>
              <c:showPercent val="1"/>
            </c:dLbl>
            <c:showVal val="1"/>
            <c:showPercent val="1"/>
            <c:showLeaderLines val="1"/>
          </c:dLbls>
          <c:cat>
            <c:strRef>
              <c:f>Sheet1!$C$17:$G$17</c:f>
              <c:strCache>
                <c:ptCount val="5"/>
                <c:pt idx="0">
                  <c:v>基本支出</c:v>
                </c:pt>
                <c:pt idx="1">
                  <c:v>项目支出</c:v>
                </c:pt>
                <c:pt idx="2">
                  <c:v>上缴上级支出</c:v>
                </c:pt>
                <c:pt idx="3">
                  <c:v>经营支出</c:v>
                </c:pt>
                <c:pt idx="4">
                  <c:v>对附属单位补助支出</c:v>
                </c:pt>
              </c:strCache>
            </c:strRef>
          </c:cat>
          <c:val>
            <c:numRef>
              <c:f>Sheet1!$C$18:$G$18</c:f>
              <c:numCache>
                <c:formatCode>General</c:formatCode>
                <c:ptCount val="5"/>
                <c:pt idx="0">
                  <c:v>60.220000000000013</c:v>
                </c:pt>
                <c:pt idx="1">
                  <c:v>21.51</c:v>
                </c:pt>
                <c:pt idx="2">
                  <c:v>0</c:v>
                </c:pt>
                <c:pt idx="3">
                  <c:v>0</c:v>
                </c:pt>
                <c:pt idx="4">
                  <c:v>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showVal val="1"/>
          </c:dLbls>
          <c:cat>
            <c:strRef>
              <c:f>Sheet1!$A$24:$A$25</c:f>
              <c:strCache>
                <c:ptCount val="2"/>
                <c:pt idx="0">
                  <c:v>2017年</c:v>
                </c:pt>
                <c:pt idx="1">
                  <c:v>2018年</c:v>
                </c:pt>
              </c:strCache>
            </c:strRef>
          </c:cat>
          <c:val>
            <c:numRef>
              <c:f>Sheet1!$B$24:$B$25</c:f>
              <c:numCache>
                <c:formatCode>General</c:formatCode>
                <c:ptCount val="2"/>
                <c:pt idx="0">
                  <c:v>273.42999999999978</c:v>
                </c:pt>
                <c:pt idx="1">
                  <c:v>113.74000000000002</c:v>
                </c:pt>
              </c:numCache>
            </c:numRef>
          </c:val>
        </c:ser>
        <c:shape val="box"/>
        <c:axId val="58336768"/>
        <c:axId val="58338304"/>
        <c:axId val="0"/>
      </c:bar3DChart>
      <c:catAx>
        <c:axId val="58336768"/>
        <c:scaling>
          <c:orientation val="minMax"/>
        </c:scaling>
        <c:axPos val="b"/>
        <c:tickLblPos val="nextTo"/>
        <c:crossAx val="58338304"/>
        <c:crosses val="autoZero"/>
        <c:auto val="1"/>
        <c:lblAlgn val="ctr"/>
        <c:lblOffset val="100"/>
      </c:catAx>
      <c:valAx>
        <c:axId val="58338304"/>
        <c:scaling>
          <c:orientation val="minMax"/>
        </c:scaling>
        <c:axPos val="l"/>
        <c:majorGridlines/>
        <c:numFmt formatCode="General" sourceLinked="1"/>
        <c:tickLblPos val="nextTo"/>
        <c:crossAx val="583367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dLbls>
            <c:showVal val="1"/>
          </c:dLbls>
          <c:cat>
            <c:strRef>
              <c:f>Sheet1!$A$32:$A$33</c:f>
              <c:strCache>
                <c:ptCount val="2"/>
                <c:pt idx="0">
                  <c:v>2017年</c:v>
                </c:pt>
                <c:pt idx="1">
                  <c:v>2018年</c:v>
                </c:pt>
              </c:strCache>
            </c:strRef>
          </c:cat>
          <c:val>
            <c:numRef>
              <c:f>Sheet1!$B$32:$B$33</c:f>
              <c:numCache>
                <c:formatCode>General</c:formatCode>
                <c:ptCount val="2"/>
                <c:pt idx="0">
                  <c:v>244.10999999999999</c:v>
                </c:pt>
                <c:pt idx="1">
                  <c:v>81.73</c:v>
                </c:pt>
              </c:numCache>
            </c:numRef>
          </c:val>
        </c:ser>
        <c:shape val="box"/>
        <c:axId val="58354688"/>
        <c:axId val="58356480"/>
        <c:axId val="0"/>
      </c:bar3DChart>
      <c:catAx>
        <c:axId val="58354688"/>
        <c:scaling>
          <c:orientation val="minMax"/>
        </c:scaling>
        <c:axPos val="b"/>
        <c:tickLblPos val="nextTo"/>
        <c:crossAx val="58356480"/>
        <c:crosses val="autoZero"/>
        <c:auto val="1"/>
        <c:lblAlgn val="ctr"/>
        <c:lblOffset val="100"/>
      </c:catAx>
      <c:valAx>
        <c:axId val="58356480"/>
        <c:scaling>
          <c:orientation val="minMax"/>
        </c:scaling>
        <c:axPos val="l"/>
        <c:majorGridlines/>
        <c:numFmt formatCode="General" sourceLinked="1"/>
        <c:tickLblPos val="nextTo"/>
        <c:crossAx val="583546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tx>
                <c:rich>
                  <a:bodyPr/>
                  <a:lstStyle/>
                  <a:p>
                    <a:r>
                      <a:rPr lang="en-US" altLang="en-US"/>
                      <a:t>6.92, </a:t>
                    </a:r>
                    <a:r>
                      <a:rPr lang="en-US" altLang="zh-CN"/>
                      <a:t>8.47</a:t>
                    </a:r>
                    <a:r>
                      <a:rPr lang="en-US" altLang="en-US"/>
                      <a:t>%</a:t>
                    </a:r>
                  </a:p>
                </c:rich>
              </c:tx>
              <c:showVal val="1"/>
              <c:showPercent val="1"/>
            </c:dLbl>
            <c:dLbl>
              <c:idx val="1"/>
              <c:tx>
                <c:rich>
                  <a:bodyPr/>
                  <a:lstStyle/>
                  <a:p>
                    <a:r>
                      <a:rPr lang="en-US" altLang="en-US"/>
                      <a:t>1.69, </a:t>
                    </a:r>
                    <a:r>
                      <a:rPr lang="en-US" altLang="zh-CN"/>
                      <a:t>2.07</a:t>
                    </a:r>
                    <a:r>
                      <a:rPr lang="en-US" altLang="en-US"/>
                      <a:t>%</a:t>
                    </a:r>
                  </a:p>
                </c:rich>
              </c:tx>
              <c:showVal val="1"/>
              <c:showPercent val="1"/>
            </c:dLbl>
            <c:dLbl>
              <c:idx val="2"/>
              <c:tx>
                <c:rich>
                  <a:bodyPr/>
                  <a:lstStyle/>
                  <a:p>
                    <a:r>
                      <a:rPr lang="en-US" altLang="en-US"/>
                      <a:t>68.68, 84</a:t>
                    </a:r>
                    <a:r>
                      <a:rPr lang="en-US" altLang="zh-CN"/>
                      <a:t>.03</a:t>
                    </a:r>
                    <a:r>
                      <a:rPr lang="en-US" altLang="en-US"/>
                      <a:t>%</a:t>
                    </a:r>
                  </a:p>
                </c:rich>
              </c:tx>
              <c:showVal val="1"/>
              <c:showPercent val="1"/>
            </c:dLbl>
            <c:dLbl>
              <c:idx val="3"/>
              <c:tx>
                <c:rich>
                  <a:bodyPr/>
                  <a:lstStyle/>
                  <a:p>
                    <a:r>
                      <a:rPr lang="en-US" altLang="en-US"/>
                      <a:t>4.44, 5</a:t>
                    </a:r>
                    <a:r>
                      <a:rPr lang="en-US" altLang="zh-CN"/>
                      <a:t>.43</a:t>
                    </a:r>
                    <a:r>
                      <a:rPr lang="en-US" altLang="en-US"/>
                      <a:t>%</a:t>
                    </a:r>
                  </a:p>
                </c:rich>
              </c:tx>
              <c:showVal val="1"/>
              <c:showPercent val="1"/>
            </c:dLbl>
            <c:showVal val="1"/>
            <c:showPercent val="1"/>
            <c:showLeaderLines val="1"/>
          </c:dLbls>
          <c:cat>
            <c:strRef>
              <c:f>Sheet1!$B$36:$E$36</c:f>
              <c:strCache>
                <c:ptCount val="4"/>
                <c:pt idx="0">
                  <c:v>社会保障和就业（类）支出</c:v>
                </c:pt>
                <c:pt idx="1">
                  <c:v>医疗卫生支出</c:v>
                </c:pt>
                <c:pt idx="2">
                  <c:v>农林水支出 </c:v>
                </c:pt>
                <c:pt idx="3">
                  <c:v>住房保障支出</c:v>
                </c:pt>
              </c:strCache>
            </c:strRef>
          </c:cat>
          <c:val>
            <c:numRef>
              <c:f>Sheet1!$B$37:$E$37</c:f>
              <c:numCache>
                <c:formatCode>General</c:formatCode>
                <c:ptCount val="4"/>
                <c:pt idx="0">
                  <c:v>6.92</c:v>
                </c:pt>
                <c:pt idx="1">
                  <c:v>1.6900000000000008</c:v>
                </c:pt>
                <c:pt idx="2">
                  <c:v>68.679999999999978</c:v>
                </c:pt>
                <c:pt idx="3">
                  <c:v>4.4400000000000004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1195</Words>
  <Characters>6814</Characters>
  <Application>Microsoft Office Word</Application>
  <DocSecurity>0</DocSecurity>
  <Lines>56</Lines>
  <Paragraphs>15</Paragraphs>
  <ScaleCrop>false</ScaleCrop>
  <Company>四川省财政厅</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201612221730</cp:lastModifiedBy>
  <cp:revision>3</cp:revision>
  <cp:lastPrinted>2019-10-14T08:31:00Z</cp:lastPrinted>
  <dcterms:created xsi:type="dcterms:W3CDTF">2019-10-25T04:52:00Z</dcterms:created>
  <dcterms:modified xsi:type="dcterms:W3CDTF">2019-10-30T01:28:00Z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