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A0" w:rsidRDefault="000B0CA0">
      <w:pPr>
        <w:spacing w:line="600" w:lineRule="exact"/>
        <w:jc w:val="center"/>
        <w:outlineLvl w:val="0"/>
        <w:rPr>
          <w:rFonts w:ascii="方正小标宋简体" w:eastAsia="方正小标宋简体" w:hAnsi="宋体"/>
          <w:color w:val="000000"/>
          <w:sz w:val="72"/>
          <w:szCs w:val="72"/>
        </w:rPr>
      </w:pPr>
      <w:bookmarkStart w:id="0" w:name="_Toc15306267"/>
    </w:p>
    <w:p w:rsidR="000B0CA0" w:rsidRDefault="000B0CA0">
      <w:pPr>
        <w:spacing w:line="600" w:lineRule="exact"/>
        <w:jc w:val="center"/>
        <w:outlineLvl w:val="0"/>
        <w:rPr>
          <w:rFonts w:ascii="方正小标宋简体" w:eastAsia="方正小标宋简体" w:hAnsi="宋体"/>
          <w:color w:val="000000"/>
          <w:sz w:val="72"/>
          <w:szCs w:val="72"/>
        </w:rPr>
      </w:pPr>
    </w:p>
    <w:p w:rsidR="000B0CA0" w:rsidRDefault="000B0CA0">
      <w:pPr>
        <w:spacing w:line="600" w:lineRule="exact"/>
        <w:jc w:val="center"/>
        <w:outlineLvl w:val="0"/>
        <w:rPr>
          <w:rFonts w:ascii="方正小标宋简体" w:eastAsia="方正小标宋简体" w:hAnsi="宋体"/>
          <w:color w:val="000000"/>
          <w:sz w:val="72"/>
          <w:szCs w:val="72"/>
        </w:rPr>
      </w:pPr>
    </w:p>
    <w:p w:rsidR="000B0CA0" w:rsidRDefault="000B0CA0">
      <w:pPr>
        <w:spacing w:line="600" w:lineRule="exact"/>
        <w:jc w:val="center"/>
        <w:outlineLvl w:val="0"/>
        <w:rPr>
          <w:rFonts w:ascii="方正小标宋简体" w:eastAsia="方正小标宋简体" w:hAnsi="宋体"/>
          <w:color w:val="000000"/>
          <w:sz w:val="72"/>
          <w:szCs w:val="72"/>
        </w:rPr>
      </w:pPr>
    </w:p>
    <w:p w:rsidR="000B0CA0" w:rsidRDefault="00214AE8">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Start w:id="6" w:name="_Toc15377194"/>
      <w:bookmarkStart w:id="7" w:name="_Toc15378442"/>
      <w:bookmarkStart w:id="8" w:name="_Toc15396476"/>
      <w:bookmarkStart w:id="9" w:name="_Toc15377426"/>
      <w:bookmarkStart w:id="10" w:name="_Toc15396598"/>
      <w:bookmarkEnd w:id="1"/>
      <w:bookmarkEnd w:id="2"/>
      <w:bookmarkEnd w:id="3"/>
      <w:bookmarkEnd w:id="4"/>
      <w:bookmarkEnd w:id="5"/>
    </w:p>
    <w:p w:rsidR="000B0CA0" w:rsidRDefault="00214AE8">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四川省乐山市井研县</w:t>
      </w:r>
      <w:bookmarkStart w:id="11" w:name="_Toc15306268"/>
      <w:bookmarkEnd w:id="0"/>
      <w:r>
        <w:rPr>
          <w:rFonts w:ascii="方正小标宋简体" w:eastAsia="方正小标宋简体" w:hAnsi="宋体"/>
          <w:color w:val="000000"/>
          <w:sz w:val="72"/>
          <w:szCs w:val="72"/>
        </w:rPr>
        <w:t>黄钵乡人民政府部门</w:t>
      </w:r>
      <w:r>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0B0CA0" w:rsidRDefault="00214AE8">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0B0CA0" w:rsidRDefault="00113C6D">
      <w:pPr>
        <w:widowControl/>
        <w:jc w:val="center"/>
        <w:rPr>
          <w:rFonts w:ascii="黑体" w:eastAsia="黑体" w:hAnsi="黑体" w:cstheme="minorBidi"/>
          <w:sz w:val="28"/>
          <w:szCs w:val="28"/>
        </w:rPr>
      </w:pPr>
      <w:r w:rsidRPr="00113C6D">
        <w:rPr>
          <w:rFonts w:ascii="黑体" w:eastAsia="黑体" w:hAnsi="黑体"/>
          <w:color w:val="000000"/>
          <w:sz w:val="48"/>
          <w:szCs w:val="48"/>
        </w:rPr>
        <w:fldChar w:fldCharType="begin"/>
      </w:r>
      <w:r w:rsidR="00214AE8">
        <w:rPr>
          <w:rFonts w:ascii="黑体" w:eastAsia="黑体" w:hAnsi="黑体"/>
          <w:color w:val="000000"/>
          <w:sz w:val="48"/>
          <w:szCs w:val="48"/>
        </w:rPr>
        <w:instrText xml:space="preserve"> TOC \o "1-2" \h \z \u </w:instrText>
      </w:r>
      <w:r w:rsidRPr="00113C6D">
        <w:rPr>
          <w:rFonts w:ascii="黑体" w:eastAsia="黑体" w:hAnsi="黑体"/>
          <w:color w:val="000000"/>
          <w:sz w:val="48"/>
          <w:szCs w:val="48"/>
        </w:rPr>
        <w:fldChar w:fldCharType="separate"/>
      </w:r>
    </w:p>
    <w:p w:rsidR="000B0CA0" w:rsidRDefault="00214AE8">
      <w:pPr>
        <w:pStyle w:val="10"/>
      </w:pPr>
      <w:r>
        <w:rPr>
          <w:rFonts w:hint="eastAsia"/>
        </w:rPr>
        <w:t>公开时间：2019年11月</w:t>
      </w:r>
      <w:r w:rsidR="006C73CB">
        <w:rPr>
          <w:rFonts w:hint="eastAsia"/>
        </w:rPr>
        <w:t>5</w:t>
      </w:r>
      <w:r>
        <w:rPr>
          <w:rFonts w:hint="eastAsia"/>
        </w:rPr>
        <w:t>日</w:t>
      </w:r>
    </w:p>
    <w:p w:rsidR="000B0CA0" w:rsidRDefault="000B0CA0"/>
    <w:p w:rsidR="000B0CA0" w:rsidRDefault="00113C6D">
      <w:pPr>
        <w:pStyle w:val="10"/>
        <w:rPr>
          <w:rFonts w:cstheme="minorBidi"/>
        </w:rPr>
      </w:pPr>
      <w:hyperlink w:anchor="_Toc15396599" w:history="1">
        <w:r w:rsidR="00214AE8">
          <w:rPr>
            <w:rStyle w:val="a8"/>
            <w:rFonts w:hint="eastAsia"/>
          </w:rPr>
          <w:t>第一部分部门概况</w:t>
        </w:r>
        <w:r w:rsidR="00214AE8">
          <w:tab/>
        </w:r>
        <w:r w:rsidR="00214AE8">
          <w:rPr>
            <w:rFonts w:hint="eastAsia"/>
          </w:rPr>
          <w:t>4</w:t>
        </w:r>
      </w:hyperlink>
    </w:p>
    <w:p w:rsidR="000B0CA0" w:rsidRDefault="00113C6D">
      <w:pPr>
        <w:pStyle w:val="20"/>
        <w:rPr>
          <w:rFonts w:ascii="仿宋" w:eastAsia="仿宋" w:hAnsi="仿宋" w:cstheme="minorBidi"/>
          <w:sz w:val="28"/>
          <w:szCs w:val="28"/>
        </w:rPr>
      </w:pPr>
      <w:hyperlink w:anchor="_Toc15396600" w:history="1">
        <w:r w:rsidR="00214AE8">
          <w:rPr>
            <w:rStyle w:val="a8"/>
            <w:rFonts w:ascii="仿宋" w:eastAsia="仿宋" w:hAnsi="仿宋" w:hint="eastAsia"/>
            <w:sz w:val="28"/>
            <w:szCs w:val="28"/>
          </w:rPr>
          <w:t>一、基本职能及主要工作</w:t>
        </w:r>
        <w:r w:rsidR="00214AE8">
          <w:rPr>
            <w:rFonts w:ascii="仿宋" w:eastAsia="仿宋" w:hAnsi="仿宋"/>
            <w:sz w:val="28"/>
            <w:szCs w:val="28"/>
          </w:rPr>
          <w:tab/>
        </w:r>
        <w:r w:rsidR="00214AE8">
          <w:rPr>
            <w:rFonts w:ascii="仿宋" w:eastAsia="仿宋" w:hAnsi="仿宋" w:hint="eastAsia"/>
            <w:sz w:val="28"/>
            <w:szCs w:val="28"/>
          </w:rPr>
          <w:t>4</w:t>
        </w:r>
      </w:hyperlink>
    </w:p>
    <w:p w:rsidR="000B0CA0" w:rsidRDefault="00113C6D">
      <w:pPr>
        <w:pStyle w:val="20"/>
        <w:rPr>
          <w:rFonts w:ascii="仿宋" w:eastAsia="仿宋" w:hAnsi="仿宋" w:cstheme="minorBidi"/>
          <w:sz w:val="28"/>
          <w:szCs w:val="28"/>
        </w:rPr>
      </w:pPr>
      <w:hyperlink w:anchor="_Toc15396601" w:history="1">
        <w:r w:rsidR="00214AE8">
          <w:rPr>
            <w:rStyle w:val="a8"/>
            <w:rFonts w:ascii="仿宋" w:eastAsia="仿宋" w:hAnsi="仿宋" w:hint="eastAsia"/>
            <w:sz w:val="28"/>
            <w:szCs w:val="28"/>
          </w:rPr>
          <w:t>二、机构设置</w:t>
        </w:r>
        <w:r w:rsidR="00214AE8">
          <w:rPr>
            <w:rFonts w:ascii="仿宋" w:eastAsia="仿宋" w:hAnsi="仿宋"/>
            <w:sz w:val="28"/>
            <w:szCs w:val="28"/>
          </w:rPr>
          <w:tab/>
        </w:r>
        <w:r w:rsidR="007179CE">
          <w:rPr>
            <w:rFonts w:ascii="仿宋" w:eastAsia="仿宋" w:hAnsi="仿宋" w:hint="eastAsia"/>
            <w:sz w:val="28"/>
            <w:szCs w:val="28"/>
          </w:rPr>
          <w:t>7</w:t>
        </w:r>
      </w:hyperlink>
    </w:p>
    <w:p w:rsidR="000B0CA0" w:rsidRDefault="00113C6D">
      <w:pPr>
        <w:pStyle w:val="10"/>
      </w:pPr>
      <w:hyperlink w:anchor="_Toc15396602" w:history="1">
        <w:r w:rsidR="00214AE8">
          <w:rPr>
            <w:rStyle w:val="a8"/>
            <w:rFonts w:hint="eastAsia"/>
          </w:rPr>
          <w:t>第二部分</w:t>
        </w:r>
        <w:r w:rsidR="00214AE8">
          <w:rPr>
            <w:rStyle w:val="a8"/>
          </w:rPr>
          <w:t xml:space="preserve"> 2018</w:t>
        </w:r>
        <w:r w:rsidR="00214AE8">
          <w:rPr>
            <w:rStyle w:val="a8"/>
            <w:rFonts w:hint="eastAsia"/>
          </w:rPr>
          <w:t>年度部门决算情况说明</w:t>
        </w:r>
        <w:r w:rsidR="00214AE8">
          <w:tab/>
        </w:r>
        <w:r w:rsidR="007179CE">
          <w:rPr>
            <w:rFonts w:hint="eastAsia"/>
          </w:rPr>
          <w:t>8</w:t>
        </w:r>
      </w:hyperlink>
    </w:p>
    <w:p w:rsidR="000B0CA0" w:rsidRDefault="00113C6D">
      <w:pPr>
        <w:pStyle w:val="20"/>
        <w:rPr>
          <w:rFonts w:ascii="仿宋" w:eastAsia="仿宋" w:hAnsi="仿宋" w:cstheme="minorBidi"/>
          <w:sz w:val="28"/>
          <w:szCs w:val="28"/>
        </w:rPr>
      </w:pPr>
      <w:hyperlink w:anchor="_Toc15396603" w:history="1">
        <w:r w:rsidR="00214AE8">
          <w:rPr>
            <w:rStyle w:val="a8"/>
            <w:rFonts w:ascii="仿宋" w:eastAsia="仿宋" w:hAnsi="仿宋" w:cstheme="majorBidi" w:hint="eastAsia"/>
            <w:bCs/>
            <w:sz w:val="28"/>
            <w:szCs w:val="28"/>
          </w:rPr>
          <w:t>一、</w:t>
        </w:r>
        <w:r w:rsidR="00214AE8">
          <w:rPr>
            <w:rStyle w:val="a8"/>
            <w:rFonts w:ascii="仿宋" w:eastAsia="仿宋" w:hAnsi="仿宋" w:hint="eastAsia"/>
            <w:sz w:val="28"/>
            <w:szCs w:val="28"/>
          </w:rPr>
          <w:t>收</w:t>
        </w:r>
        <w:r w:rsidR="00214AE8">
          <w:rPr>
            <w:rStyle w:val="a8"/>
            <w:rFonts w:ascii="仿宋" w:eastAsia="仿宋" w:hAnsi="仿宋" w:cstheme="majorBidi" w:hint="eastAsia"/>
            <w:bCs/>
            <w:sz w:val="28"/>
            <w:szCs w:val="28"/>
          </w:rPr>
          <w:t>入支出决算总体情况说明</w:t>
        </w:r>
        <w:r w:rsidR="00214AE8">
          <w:rPr>
            <w:rFonts w:ascii="仿宋" w:eastAsia="仿宋" w:hAnsi="仿宋"/>
            <w:sz w:val="28"/>
            <w:szCs w:val="28"/>
          </w:rPr>
          <w:tab/>
        </w:r>
        <w:r w:rsidR="007179CE">
          <w:rPr>
            <w:rFonts w:ascii="仿宋" w:eastAsia="仿宋" w:hAnsi="仿宋" w:hint="eastAsia"/>
            <w:sz w:val="28"/>
            <w:szCs w:val="28"/>
          </w:rPr>
          <w:t>8</w:t>
        </w:r>
      </w:hyperlink>
    </w:p>
    <w:p w:rsidR="000B0CA0" w:rsidRDefault="00113C6D">
      <w:pPr>
        <w:pStyle w:val="20"/>
        <w:rPr>
          <w:rFonts w:ascii="仿宋" w:eastAsia="仿宋" w:hAnsi="仿宋" w:cstheme="minorBidi"/>
          <w:sz w:val="28"/>
          <w:szCs w:val="28"/>
        </w:rPr>
      </w:pPr>
      <w:hyperlink w:anchor="_Toc15396604" w:history="1">
        <w:r w:rsidR="00214AE8">
          <w:rPr>
            <w:rStyle w:val="a8"/>
            <w:rFonts w:ascii="仿宋" w:eastAsia="仿宋" w:hAnsi="仿宋" w:cstheme="majorBidi" w:hint="eastAsia"/>
            <w:bCs/>
            <w:sz w:val="28"/>
            <w:szCs w:val="28"/>
          </w:rPr>
          <w:t>二、</w:t>
        </w:r>
        <w:r w:rsidR="00214AE8">
          <w:rPr>
            <w:rStyle w:val="a8"/>
            <w:rFonts w:ascii="仿宋" w:eastAsia="仿宋" w:hAnsi="仿宋" w:hint="eastAsia"/>
            <w:sz w:val="28"/>
            <w:szCs w:val="28"/>
          </w:rPr>
          <w:t>收</w:t>
        </w:r>
        <w:r w:rsidR="00214AE8">
          <w:rPr>
            <w:rStyle w:val="a8"/>
            <w:rFonts w:ascii="仿宋" w:eastAsia="仿宋" w:hAnsi="仿宋" w:cstheme="majorBidi" w:hint="eastAsia"/>
            <w:bCs/>
            <w:sz w:val="28"/>
            <w:szCs w:val="28"/>
          </w:rPr>
          <w:t>入决算情况说明</w:t>
        </w:r>
        <w:r w:rsidR="00214AE8">
          <w:rPr>
            <w:rFonts w:ascii="仿宋" w:eastAsia="仿宋" w:hAnsi="仿宋"/>
            <w:sz w:val="28"/>
            <w:szCs w:val="28"/>
          </w:rPr>
          <w:tab/>
        </w:r>
        <w:r w:rsidR="007179CE">
          <w:rPr>
            <w:rFonts w:ascii="仿宋" w:eastAsia="仿宋" w:hAnsi="仿宋" w:hint="eastAsia"/>
            <w:sz w:val="28"/>
            <w:szCs w:val="28"/>
          </w:rPr>
          <w:t>8</w:t>
        </w:r>
      </w:hyperlink>
    </w:p>
    <w:p w:rsidR="000B0CA0" w:rsidRDefault="00113C6D">
      <w:pPr>
        <w:pStyle w:val="20"/>
        <w:rPr>
          <w:rFonts w:ascii="仿宋" w:eastAsia="仿宋" w:hAnsi="仿宋" w:cstheme="minorBidi"/>
          <w:sz w:val="28"/>
          <w:szCs w:val="28"/>
        </w:rPr>
      </w:pPr>
      <w:hyperlink w:anchor="_Toc15396605" w:history="1">
        <w:r w:rsidR="00214AE8">
          <w:rPr>
            <w:rStyle w:val="a8"/>
            <w:rFonts w:ascii="仿宋" w:eastAsia="仿宋" w:hAnsi="仿宋" w:cstheme="majorBidi" w:hint="eastAsia"/>
            <w:bCs/>
            <w:sz w:val="28"/>
            <w:szCs w:val="28"/>
          </w:rPr>
          <w:t>三、</w:t>
        </w:r>
        <w:r w:rsidR="00214AE8">
          <w:rPr>
            <w:rStyle w:val="a8"/>
            <w:rFonts w:ascii="仿宋" w:eastAsia="仿宋" w:hAnsi="仿宋" w:hint="eastAsia"/>
            <w:sz w:val="28"/>
            <w:szCs w:val="28"/>
          </w:rPr>
          <w:t>支</w:t>
        </w:r>
        <w:r w:rsidR="00214AE8">
          <w:rPr>
            <w:rStyle w:val="a8"/>
            <w:rFonts w:ascii="仿宋" w:eastAsia="仿宋" w:hAnsi="仿宋" w:cstheme="majorBidi" w:hint="eastAsia"/>
            <w:bCs/>
            <w:sz w:val="28"/>
            <w:szCs w:val="28"/>
          </w:rPr>
          <w:t>出决算情况说明</w:t>
        </w:r>
        <w:r w:rsidR="00214AE8">
          <w:rPr>
            <w:rFonts w:ascii="仿宋" w:eastAsia="仿宋" w:hAnsi="仿宋"/>
            <w:sz w:val="28"/>
            <w:szCs w:val="28"/>
          </w:rPr>
          <w:tab/>
        </w:r>
        <w:r w:rsidR="007179CE">
          <w:rPr>
            <w:rFonts w:ascii="仿宋" w:eastAsia="仿宋" w:hAnsi="仿宋" w:hint="eastAsia"/>
            <w:sz w:val="28"/>
            <w:szCs w:val="28"/>
          </w:rPr>
          <w:t>9</w:t>
        </w:r>
      </w:hyperlink>
    </w:p>
    <w:p w:rsidR="000B0CA0" w:rsidRDefault="00113C6D">
      <w:pPr>
        <w:pStyle w:val="20"/>
        <w:rPr>
          <w:rFonts w:ascii="仿宋" w:eastAsia="仿宋" w:hAnsi="仿宋" w:cstheme="minorBidi"/>
          <w:sz w:val="28"/>
          <w:szCs w:val="28"/>
        </w:rPr>
      </w:pPr>
      <w:hyperlink w:anchor="_Toc15396606" w:history="1">
        <w:r w:rsidR="00214AE8">
          <w:rPr>
            <w:rStyle w:val="a8"/>
            <w:rFonts w:ascii="仿宋" w:eastAsia="仿宋" w:hAnsi="仿宋" w:hint="eastAsia"/>
            <w:sz w:val="28"/>
            <w:szCs w:val="28"/>
          </w:rPr>
          <w:t>四、财</w:t>
        </w:r>
        <w:r w:rsidR="00214AE8">
          <w:rPr>
            <w:rStyle w:val="a8"/>
            <w:rFonts w:ascii="仿宋" w:eastAsia="仿宋" w:hAnsi="仿宋" w:cstheme="majorBidi" w:hint="eastAsia"/>
            <w:bCs/>
            <w:sz w:val="28"/>
            <w:szCs w:val="28"/>
          </w:rPr>
          <w:t>政拨款收入支出决算总体情况说明</w:t>
        </w:r>
        <w:r w:rsidR="00214AE8">
          <w:rPr>
            <w:rFonts w:ascii="仿宋" w:eastAsia="仿宋" w:hAnsi="仿宋"/>
            <w:sz w:val="28"/>
            <w:szCs w:val="28"/>
          </w:rPr>
          <w:tab/>
        </w:r>
        <w:r w:rsidR="007179CE">
          <w:rPr>
            <w:rFonts w:ascii="仿宋" w:eastAsia="仿宋" w:hAnsi="仿宋" w:hint="eastAsia"/>
            <w:sz w:val="28"/>
            <w:szCs w:val="28"/>
          </w:rPr>
          <w:t>10</w:t>
        </w:r>
      </w:hyperlink>
    </w:p>
    <w:p w:rsidR="000B0CA0" w:rsidRDefault="00113C6D">
      <w:pPr>
        <w:pStyle w:val="20"/>
        <w:rPr>
          <w:rFonts w:ascii="仿宋" w:eastAsia="仿宋" w:hAnsi="仿宋" w:cstheme="minorBidi"/>
          <w:sz w:val="28"/>
          <w:szCs w:val="28"/>
        </w:rPr>
      </w:pPr>
      <w:hyperlink w:anchor="_Toc15396607" w:history="1">
        <w:r w:rsidR="00214AE8">
          <w:rPr>
            <w:rStyle w:val="a8"/>
            <w:rFonts w:ascii="仿宋" w:eastAsia="仿宋" w:hAnsi="仿宋" w:hint="eastAsia"/>
            <w:sz w:val="28"/>
            <w:szCs w:val="28"/>
          </w:rPr>
          <w:t>五、一</w:t>
        </w:r>
        <w:r w:rsidR="00214AE8">
          <w:rPr>
            <w:rStyle w:val="a8"/>
            <w:rFonts w:ascii="仿宋" w:eastAsia="仿宋" w:hAnsi="仿宋" w:cstheme="majorBidi" w:hint="eastAsia"/>
            <w:bCs/>
            <w:sz w:val="28"/>
            <w:szCs w:val="28"/>
          </w:rPr>
          <w:t>般公共预算财政拨款支出决算情况说明</w:t>
        </w:r>
        <w:r w:rsidR="00214AE8">
          <w:rPr>
            <w:rFonts w:ascii="仿宋" w:eastAsia="仿宋" w:hAnsi="仿宋"/>
            <w:sz w:val="28"/>
            <w:szCs w:val="28"/>
          </w:rPr>
          <w:tab/>
        </w:r>
        <w:r w:rsidR="007179CE">
          <w:rPr>
            <w:rFonts w:ascii="仿宋" w:eastAsia="仿宋" w:hAnsi="仿宋" w:hint="eastAsia"/>
            <w:sz w:val="28"/>
            <w:szCs w:val="28"/>
          </w:rPr>
          <w:t>11</w:t>
        </w:r>
      </w:hyperlink>
    </w:p>
    <w:p w:rsidR="000B0CA0" w:rsidRDefault="00113C6D">
      <w:pPr>
        <w:pStyle w:val="20"/>
        <w:rPr>
          <w:rFonts w:ascii="仿宋" w:eastAsia="仿宋" w:hAnsi="仿宋" w:cstheme="minorBidi"/>
          <w:sz w:val="28"/>
          <w:szCs w:val="28"/>
        </w:rPr>
      </w:pPr>
      <w:hyperlink w:anchor="_Toc15396608" w:history="1">
        <w:r w:rsidR="00214AE8">
          <w:rPr>
            <w:rStyle w:val="a8"/>
            <w:rFonts w:ascii="仿宋" w:eastAsia="仿宋" w:hAnsi="仿宋" w:hint="eastAsia"/>
            <w:sz w:val="28"/>
            <w:szCs w:val="28"/>
          </w:rPr>
          <w:t>六、一</w:t>
        </w:r>
        <w:r w:rsidR="00214AE8">
          <w:rPr>
            <w:rStyle w:val="a8"/>
            <w:rFonts w:ascii="仿宋" w:eastAsia="仿宋" w:hAnsi="仿宋" w:cstheme="majorBidi" w:hint="eastAsia"/>
            <w:bCs/>
            <w:sz w:val="28"/>
            <w:szCs w:val="28"/>
          </w:rPr>
          <w:t>般公共预算财政拨款基本支出决算情况说明</w:t>
        </w:r>
        <w:r w:rsidR="00214AE8">
          <w:rPr>
            <w:rFonts w:ascii="仿宋" w:eastAsia="仿宋" w:hAnsi="仿宋"/>
            <w:sz w:val="28"/>
            <w:szCs w:val="28"/>
          </w:rPr>
          <w:tab/>
        </w:r>
        <w:r w:rsidR="00AC3D9D">
          <w:rPr>
            <w:rFonts w:ascii="仿宋" w:eastAsia="仿宋" w:hAnsi="仿宋" w:hint="eastAsia"/>
            <w:sz w:val="28"/>
            <w:szCs w:val="28"/>
          </w:rPr>
          <w:t>15</w:t>
        </w:r>
      </w:hyperlink>
    </w:p>
    <w:p w:rsidR="000B0CA0" w:rsidRDefault="00113C6D">
      <w:pPr>
        <w:pStyle w:val="20"/>
        <w:rPr>
          <w:rFonts w:ascii="仿宋" w:eastAsia="仿宋" w:hAnsi="仿宋" w:cstheme="minorBidi"/>
          <w:sz w:val="28"/>
          <w:szCs w:val="28"/>
        </w:rPr>
      </w:pPr>
      <w:hyperlink w:anchor="_Toc15396609" w:history="1">
        <w:r w:rsidR="00214AE8">
          <w:rPr>
            <w:rStyle w:val="a8"/>
            <w:rFonts w:ascii="仿宋" w:eastAsia="仿宋" w:hAnsi="仿宋" w:hint="eastAsia"/>
            <w:sz w:val="28"/>
            <w:szCs w:val="28"/>
          </w:rPr>
          <w:t>七、</w:t>
        </w:r>
        <w:r w:rsidR="00214AE8">
          <w:rPr>
            <w:rStyle w:val="a8"/>
            <w:rFonts w:ascii="仿宋" w:eastAsia="仿宋" w:hAnsi="仿宋"/>
            <w:sz w:val="28"/>
            <w:szCs w:val="28"/>
          </w:rPr>
          <w:t>“</w:t>
        </w:r>
        <w:r w:rsidR="00214AE8">
          <w:rPr>
            <w:rStyle w:val="a8"/>
            <w:rFonts w:ascii="仿宋" w:eastAsia="仿宋" w:hAnsi="仿宋" w:cstheme="majorBidi" w:hint="eastAsia"/>
            <w:bCs/>
            <w:sz w:val="28"/>
            <w:szCs w:val="28"/>
          </w:rPr>
          <w:t>三公”经费财政拨款支出决算情况说明</w:t>
        </w:r>
        <w:r w:rsidR="00214AE8">
          <w:rPr>
            <w:rFonts w:ascii="仿宋" w:eastAsia="仿宋" w:hAnsi="仿宋"/>
            <w:sz w:val="28"/>
            <w:szCs w:val="28"/>
          </w:rPr>
          <w:tab/>
        </w:r>
        <w:r w:rsidR="00AC3D9D">
          <w:rPr>
            <w:rFonts w:ascii="仿宋" w:eastAsia="仿宋" w:hAnsi="仿宋" w:hint="eastAsia"/>
            <w:sz w:val="28"/>
            <w:szCs w:val="28"/>
          </w:rPr>
          <w:t>16</w:t>
        </w:r>
      </w:hyperlink>
    </w:p>
    <w:p w:rsidR="000B0CA0" w:rsidRDefault="00113C6D">
      <w:pPr>
        <w:pStyle w:val="20"/>
        <w:rPr>
          <w:rFonts w:ascii="仿宋" w:eastAsia="仿宋" w:hAnsi="仿宋" w:cstheme="minorBidi"/>
          <w:sz w:val="28"/>
          <w:szCs w:val="28"/>
        </w:rPr>
      </w:pPr>
      <w:hyperlink w:anchor="_Toc15396610" w:history="1">
        <w:r w:rsidR="00214AE8">
          <w:rPr>
            <w:rStyle w:val="a8"/>
            <w:rFonts w:ascii="仿宋" w:eastAsia="仿宋" w:hAnsi="仿宋" w:hint="eastAsia"/>
            <w:sz w:val="28"/>
            <w:szCs w:val="28"/>
          </w:rPr>
          <w:t>八、</w:t>
        </w:r>
        <w:r w:rsidR="00214AE8">
          <w:rPr>
            <w:rStyle w:val="a8"/>
            <w:rFonts w:ascii="仿宋" w:eastAsia="仿宋" w:hAnsi="仿宋" w:cstheme="majorBidi" w:hint="eastAsia"/>
            <w:bCs/>
            <w:sz w:val="28"/>
            <w:szCs w:val="28"/>
          </w:rPr>
          <w:t>政府性基金预算支出决算情况说明</w:t>
        </w:r>
        <w:r w:rsidR="00214AE8">
          <w:rPr>
            <w:rFonts w:ascii="仿宋" w:eastAsia="仿宋" w:hAnsi="仿宋"/>
            <w:sz w:val="28"/>
            <w:szCs w:val="28"/>
          </w:rPr>
          <w:tab/>
        </w:r>
        <w:r w:rsidR="00AC3D9D">
          <w:rPr>
            <w:rFonts w:ascii="仿宋" w:eastAsia="仿宋" w:hAnsi="仿宋" w:hint="eastAsia"/>
            <w:sz w:val="28"/>
            <w:szCs w:val="28"/>
          </w:rPr>
          <w:t>18</w:t>
        </w:r>
      </w:hyperlink>
    </w:p>
    <w:p w:rsidR="000B0CA0" w:rsidRDefault="00113C6D">
      <w:pPr>
        <w:pStyle w:val="20"/>
        <w:rPr>
          <w:rFonts w:ascii="仿宋" w:eastAsia="仿宋" w:hAnsi="仿宋" w:cstheme="minorBidi"/>
          <w:sz w:val="28"/>
          <w:szCs w:val="28"/>
        </w:rPr>
      </w:pPr>
      <w:hyperlink w:anchor="_Toc15396611" w:history="1">
        <w:r w:rsidR="00214AE8">
          <w:rPr>
            <w:rStyle w:val="a8"/>
            <w:rFonts w:ascii="仿宋" w:eastAsia="仿宋" w:hAnsi="仿宋" w:cstheme="majorBidi" w:hint="eastAsia"/>
            <w:bCs/>
            <w:sz w:val="28"/>
            <w:szCs w:val="28"/>
          </w:rPr>
          <w:t>九、</w:t>
        </w:r>
        <w:r w:rsidR="00214AE8">
          <w:rPr>
            <w:rStyle w:val="a8"/>
            <w:rFonts w:ascii="仿宋" w:eastAsia="仿宋" w:hAnsi="仿宋" w:hint="eastAsia"/>
            <w:sz w:val="28"/>
            <w:szCs w:val="28"/>
          </w:rPr>
          <w:t xml:space="preserve"> 国</w:t>
        </w:r>
        <w:r w:rsidR="00214AE8">
          <w:rPr>
            <w:rStyle w:val="a8"/>
            <w:rFonts w:ascii="仿宋" w:eastAsia="仿宋" w:hAnsi="仿宋" w:cstheme="majorBidi" w:hint="eastAsia"/>
            <w:bCs/>
            <w:sz w:val="28"/>
            <w:szCs w:val="28"/>
          </w:rPr>
          <w:t>有资本经营预算支出决算情况说明</w:t>
        </w:r>
        <w:r w:rsidR="00214AE8">
          <w:rPr>
            <w:rFonts w:ascii="仿宋" w:eastAsia="仿宋" w:hAnsi="仿宋"/>
            <w:sz w:val="28"/>
            <w:szCs w:val="28"/>
          </w:rPr>
          <w:tab/>
        </w:r>
        <w:r w:rsidR="00AC3D9D">
          <w:rPr>
            <w:rFonts w:ascii="仿宋" w:eastAsia="仿宋" w:hAnsi="仿宋" w:hint="eastAsia"/>
            <w:sz w:val="28"/>
            <w:szCs w:val="28"/>
          </w:rPr>
          <w:t>18</w:t>
        </w:r>
      </w:hyperlink>
    </w:p>
    <w:p w:rsidR="000B0CA0" w:rsidRDefault="00113C6D">
      <w:pPr>
        <w:pStyle w:val="20"/>
        <w:rPr>
          <w:rFonts w:ascii="仿宋" w:eastAsia="仿宋" w:hAnsi="仿宋" w:cstheme="minorBidi"/>
          <w:sz w:val="28"/>
          <w:szCs w:val="28"/>
        </w:rPr>
      </w:pPr>
      <w:hyperlink w:anchor="_Toc15396612" w:history="1">
        <w:r w:rsidR="00214AE8">
          <w:rPr>
            <w:rStyle w:val="a8"/>
            <w:rFonts w:ascii="仿宋" w:eastAsia="仿宋" w:hAnsi="仿宋" w:hint="eastAsia"/>
            <w:sz w:val="28"/>
            <w:szCs w:val="28"/>
          </w:rPr>
          <w:t>十</w:t>
        </w:r>
        <w:r w:rsidR="00214AE8">
          <w:rPr>
            <w:rStyle w:val="a8"/>
            <w:rFonts w:ascii="仿宋" w:eastAsia="仿宋" w:hAnsi="仿宋" w:cstheme="majorBidi" w:hint="eastAsia"/>
            <w:bCs/>
            <w:sz w:val="28"/>
            <w:szCs w:val="28"/>
          </w:rPr>
          <w:t>一、其他重要事项的情况说明</w:t>
        </w:r>
        <w:r w:rsidR="00214AE8">
          <w:rPr>
            <w:rFonts w:ascii="仿宋" w:eastAsia="仿宋" w:hAnsi="仿宋"/>
            <w:sz w:val="28"/>
            <w:szCs w:val="28"/>
          </w:rPr>
          <w:tab/>
        </w:r>
        <w:r w:rsidR="00AC3D9D">
          <w:rPr>
            <w:rFonts w:ascii="仿宋" w:eastAsia="仿宋" w:hAnsi="仿宋" w:hint="eastAsia"/>
            <w:sz w:val="28"/>
            <w:szCs w:val="28"/>
          </w:rPr>
          <w:t>18</w:t>
        </w:r>
      </w:hyperlink>
    </w:p>
    <w:p w:rsidR="000B0CA0" w:rsidRDefault="00113C6D">
      <w:pPr>
        <w:pStyle w:val="10"/>
        <w:rPr>
          <w:rFonts w:cstheme="minorBidi"/>
        </w:rPr>
      </w:pPr>
      <w:hyperlink w:anchor="_Toc15396613" w:history="1">
        <w:r w:rsidR="00214AE8">
          <w:rPr>
            <w:rStyle w:val="a8"/>
            <w:rFonts w:hint="eastAsia"/>
            <w:bCs/>
            <w:kern w:val="44"/>
          </w:rPr>
          <w:t>第三部分</w:t>
        </w:r>
        <w:r w:rsidR="00214AE8">
          <w:rPr>
            <w:rStyle w:val="a8"/>
            <w:rFonts w:hint="eastAsia"/>
          </w:rPr>
          <w:t xml:space="preserve"> 名</w:t>
        </w:r>
        <w:r w:rsidR="00214AE8">
          <w:rPr>
            <w:rStyle w:val="a8"/>
            <w:rFonts w:hint="eastAsia"/>
            <w:bCs/>
            <w:kern w:val="44"/>
          </w:rPr>
          <w:t>词解释</w:t>
        </w:r>
        <w:r w:rsidR="00214AE8">
          <w:tab/>
        </w:r>
        <w:r w:rsidR="00AC3D9D">
          <w:rPr>
            <w:rFonts w:hint="eastAsia"/>
          </w:rPr>
          <w:t>20</w:t>
        </w:r>
      </w:hyperlink>
    </w:p>
    <w:p w:rsidR="000B0CA0" w:rsidRDefault="00113C6D">
      <w:pPr>
        <w:pStyle w:val="10"/>
        <w:rPr>
          <w:rFonts w:cstheme="minorBidi"/>
        </w:rPr>
      </w:pPr>
      <w:hyperlink w:anchor="_Toc15396614" w:history="1">
        <w:r w:rsidR="00214AE8">
          <w:rPr>
            <w:rStyle w:val="a8"/>
            <w:rFonts w:hint="eastAsia"/>
          </w:rPr>
          <w:t>第</w:t>
        </w:r>
        <w:r w:rsidR="00214AE8">
          <w:rPr>
            <w:rStyle w:val="a8"/>
            <w:rFonts w:hint="eastAsia"/>
            <w:bCs/>
            <w:kern w:val="44"/>
          </w:rPr>
          <w:t>四部分附件</w:t>
        </w:r>
        <w:r w:rsidR="00214AE8">
          <w:tab/>
        </w:r>
        <w:r w:rsidR="00AC3D9D">
          <w:rPr>
            <w:rFonts w:hint="eastAsia"/>
          </w:rPr>
          <w:t>24</w:t>
        </w:r>
      </w:hyperlink>
    </w:p>
    <w:p w:rsidR="000B0CA0" w:rsidRDefault="00113C6D">
      <w:pPr>
        <w:pStyle w:val="20"/>
        <w:rPr>
          <w:rFonts w:ascii="仿宋" w:eastAsia="仿宋" w:hAnsi="仿宋" w:cstheme="minorBidi"/>
          <w:sz w:val="28"/>
          <w:szCs w:val="28"/>
        </w:rPr>
      </w:pPr>
      <w:hyperlink w:anchor="_Toc15396615" w:history="1">
        <w:r w:rsidR="00214AE8">
          <w:rPr>
            <w:rStyle w:val="a8"/>
            <w:rFonts w:ascii="仿宋" w:eastAsia="仿宋" w:hAnsi="仿宋" w:hint="eastAsia"/>
            <w:kern w:val="44"/>
            <w:sz w:val="28"/>
            <w:szCs w:val="28"/>
          </w:rPr>
          <w:t>附件</w:t>
        </w:r>
        <w:r w:rsidR="00214AE8">
          <w:rPr>
            <w:rStyle w:val="a8"/>
            <w:rFonts w:ascii="仿宋" w:eastAsia="仿宋" w:hAnsi="仿宋"/>
            <w:kern w:val="44"/>
            <w:sz w:val="28"/>
            <w:szCs w:val="28"/>
          </w:rPr>
          <w:t>1</w:t>
        </w:r>
        <w:r w:rsidR="00214AE8">
          <w:rPr>
            <w:rFonts w:ascii="仿宋" w:eastAsia="仿宋" w:hAnsi="仿宋"/>
            <w:sz w:val="28"/>
            <w:szCs w:val="28"/>
          </w:rPr>
          <w:tab/>
        </w:r>
        <w:r w:rsidR="00AC3D9D">
          <w:rPr>
            <w:rFonts w:ascii="仿宋" w:eastAsia="仿宋" w:hAnsi="仿宋" w:hint="eastAsia"/>
            <w:sz w:val="28"/>
            <w:szCs w:val="28"/>
          </w:rPr>
          <w:t>24</w:t>
        </w:r>
      </w:hyperlink>
    </w:p>
    <w:p w:rsidR="000B0CA0" w:rsidRDefault="00113C6D">
      <w:pPr>
        <w:pStyle w:val="10"/>
        <w:rPr>
          <w:rFonts w:cstheme="minorBidi"/>
        </w:rPr>
      </w:pPr>
      <w:hyperlink w:anchor="_Toc15396618" w:history="1">
        <w:r w:rsidR="00214AE8">
          <w:rPr>
            <w:rStyle w:val="a8"/>
            <w:rFonts w:hint="eastAsia"/>
          </w:rPr>
          <w:t>第</w:t>
        </w:r>
        <w:r w:rsidR="00214AE8">
          <w:rPr>
            <w:rStyle w:val="a8"/>
            <w:rFonts w:hint="eastAsia"/>
            <w:bCs/>
            <w:kern w:val="44"/>
          </w:rPr>
          <w:t>五部分附表</w:t>
        </w:r>
        <w:r w:rsidR="00214AE8">
          <w:tab/>
        </w:r>
        <w:r w:rsidR="007179CE">
          <w:rPr>
            <w:rFonts w:hint="eastAsia"/>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lastRenderedPageBreak/>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214AE8">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7179CE">
          <w:rPr>
            <w:rFonts w:ascii="仿宋" w:eastAsia="仿宋" w:hAnsi="仿宋" w:hint="eastAsia"/>
            <w:sz w:val="28"/>
            <w:szCs w:val="28"/>
          </w:rPr>
          <w:t>34</w:t>
        </w:r>
      </w:hyperlink>
    </w:p>
    <w:p w:rsidR="000B0CA0" w:rsidRDefault="00113C6D">
      <w:pPr>
        <w:widowControl/>
        <w:jc w:val="left"/>
        <w:rPr>
          <w:rFonts w:ascii="仿宋" w:eastAsia="仿宋" w:hAnsi="仿宋"/>
          <w:color w:val="000000"/>
          <w:sz w:val="24"/>
        </w:rPr>
      </w:pPr>
      <w:r>
        <w:rPr>
          <w:rFonts w:ascii="仿宋" w:eastAsia="仿宋" w:hAnsi="仿宋"/>
          <w:color w:val="000000"/>
          <w:sz w:val="24"/>
        </w:rPr>
        <w:fldChar w:fldCharType="end"/>
      </w:r>
    </w:p>
    <w:p w:rsidR="000B0CA0" w:rsidRDefault="00214AE8">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0B0CA0" w:rsidRDefault="00214AE8">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0B0CA0" w:rsidRDefault="000B0CA0">
      <w:pPr>
        <w:widowControl/>
        <w:jc w:val="left"/>
        <w:rPr>
          <w:rFonts w:ascii="黑体" w:eastAsia="黑体"/>
          <w:color w:val="000000"/>
          <w:sz w:val="32"/>
          <w:szCs w:val="32"/>
        </w:rPr>
      </w:pPr>
    </w:p>
    <w:p w:rsidR="000B0CA0" w:rsidRDefault="00214AE8">
      <w:pPr>
        <w:pStyle w:val="2"/>
        <w:rPr>
          <w:rStyle w:val="2Char"/>
          <w:rFonts w:ascii="黑体" w:eastAsia="黑体" w:hAnsi="黑体"/>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Start w:id="16" w:name="_Toc15396601"/>
      <w:bookmarkStart w:id="17" w:name="_Toc15377200"/>
      <w:bookmarkEnd w:id="14"/>
      <w:bookmarkEnd w:id="15"/>
    </w:p>
    <w:p w:rsidR="000B0CA0" w:rsidRDefault="00214AE8">
      <w:pPr>
        <w:pStyle w:val="2"/>
        <w:rPr>
          <w:rFonts w:ascii="黑体" w:eastAsia="黑体" w:hAnsi="黑体" w:cs="Times New Roman"/>
          <w:b w:val="0"/>
          <w:bCs w:val="0"/>
        </w:rPr>
      </w:pPr>
      <w:r>
        <w:rPr>
          <w:rFonts w:ascii="黑体" w:eastAsia="黑体" w:hAnsi="黑体" w:cs="Times New Roman" w:hint="eastAsia"/>
          <w:b w:val="0"/>
          <w:bCs w:val="0"/>
          <w:color w:val="000000"/>
        </w:rPr>
        <w:t>（一）主要职能。</w:t>
      </w:r>
    </w:p>
    <w:p w:rsidR="000B0CA0" w:rsidRDefault="00214AE8">
      <w:pPr>
        <w:spacing w:line="600" w:lineRule="exact"/>
        <w:ind w:firstLineChars="200" w:firstLine="640"/>
        <w:rPr>
          <w:rFonts w:ascii="仿宋" w:eastAsia="仿宋" w:hAnsi="仿宋"/>
          <w:sz w:val="32"/>
          <w:szCs w:val="32"/>
        </w:rPr>
      </w:pPr>
      <w:r>
        <w:rPr>
          <w:rFonts w:ascii="仿宋" w:eastAsia="仿宋" w:hAnsi="仿宋" w:hint="eastAsia"/>
          <w:sz w:val="32"/>
          <w:szCs w:val="32"/>
        </w:rPr>
        <w:t>乡政府的主要职能：1．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w:t>
      </w:r>
      <w:r>
        <w:rPr>
          <w:rFonts w:ascii="仿宋" w:eastAsia="仿宋" w:hAnsi="仿宋" w:hint="eastAsia"/>
          <w:sz w:val="32"/>
          <w:szCs w:val="32"/>
        </w:rPr>
        <w:lastRenderedPageBreak/>
        <w:t>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rsidR="000B0CA0" w:rsidRDefault="00214AE8">
      <w:pPr>
        <w:ind w:firstLineChars="200" w:firstLine="640"/>
        <w:rPr>
          <w:rFonts w:ascii="仿宋" w:eastAsia="仿宋" w:hAnsi="仿宋"/>
          <w:bCs/>
          <w:color w:val="000000"/>
          <w:sz w:val="32"/>
          <w:szCs w:val="32"/>
        </w:rPr>
      </w:pPr>
      <w:r>
        <w:rPr>
          <w:rFonts w:ascii="仿宋" w:eastAsia="仿宋" w:hAnsi="仿宋" w:hint="eastAsia"/>
          <w:bCs/>
          <w:color w:val="000000"/>
          <w:sz w:val="32"/>
          <w:szCs w:val="32"/>
        </w:rPr>
        <w:t>（二）2018年重点工作完成情况。</w:t>
      </w:r>
    </w:p>
    <w:p w:rsidR="000B0CA0" w:rsidRDefault="00214AE8">
      <w:pPr>
        <w:spacing w:line="560" w:lineRule="exact"/>
        <w:ind w:firstLineChars="200" w:firstLine="640"/>
        <w:rPr>
          <w:rFonts w:ascii="仿宋" w:eastAsia="仿宋" w:hAnsi="仿宋" w:cs="Arial"/>
          <w:color w:val="000000"/>
          <w:kern w:val="0"/>
          <w:sz w:val="32"/>
          <w:szCs w:val="32"/>
        </w:rPr>
      </w:pPr>
      <w:r>
        <w:rPr>
          <w:rFonts w:ascii="仿宋" w:eastAsia="仿宋" w:hAnsi="仿宋" w:hint="eastAsia"/>
          <w:color w:val="000000"/>
          <w:sz w:val="32"/>
          <w:szCs w:val="32"/>
        </w:rPr>
        <w:t>2018年，财政工作紧紧围绕政府的工作重点，</w:t>
      </w:r>
      <w:r>
        <w:rPr>
          <w:rFonts w:ascii="仿宋" w:eastAsia="仿宋" w:hAnsi="仿宋" w:cs="Arial" w:hint="eastAsia"/>
          <w:color w:val="000000"/>
          <w:kern w:val="0"/>
          <w:sz w:val="32"/>
          <w:szCs w:val="32"/>
        </w:rPr>
        <w:t>积极开展招商引资，不断夯实基础建设，</w:t>
      </w:r>
      <w:r>
        <w:rPr>
          <w:rFonts w:ascii="仿宋" w:eastAsia="仿宋" w:hAnsi="仿宋" w:hint="eastAsia"/>
          <w:color w:val="000000"/>
          <w:sz w:val="32"/>
          <w:szCs w:val="32"/>
        </w:rPr>
        <w:t>加快推进结构调整，着力改善民计民生，全乡发展</w:t>
      </w:r>
      <w:r>
        <w:rPr>
          <w:rFonts w:ascii="仿宋" w:eastAsia="仿宋" w:hAnsi="仿宋" w:cs="Arial" w:hint="eastAsia"/>
          <w:color w:val="000000"/>
          <w:kern w:val="0"/>
          <w:sz w:val="32"/>
          <w:szCs w:val="32"/>
        </w:rPr>
        <w:t>环境明显改善，农民持续增收，社会和谐稳定。</w:t>
      </w:r>
    </w:p>
    <w:p w:rsidR="000B0CA0" w:rsidRDefault="00214AE8">
      <w:pPr>
        <w:ind w:firstLineChars="200" w:firstLine="640"/>
        <w:rPr>
          <w:rFonts w:ascii="仿宋" w:eastAsia="仿宋" w:hAnsi="仿宋"/>
          <w:sz w:val="32"/>
          <w:szCs w:val="32"/>
        </w:rPr>
      </w:pPr>
      <w:r>
        <w:rPr>
          <w:rFonts w:ascii="仿宋" w:eastAsia="仿宋" w:hAnsi="仿宋" w:hint="eastAsia"/>
          <w:sz w:val="32"/>
          <w:szCs w:val="32"/>
        </w:rPr>
        <w:t>1、基础设施持续优化，发展瓶颈突破。</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发挥项目资金杠杆效应，撬动社会资金投入，着力完善水、电、路等要素条件，提高基础设施整体水平，增强发展新优势。一是加强农村路网建设，争取精准扶贫入户道建设项目资金，激发群众筹资，实施贫困户入户道公路硬化。用好用活农村公共服务运行维护项目资金，重点做好组道公路回车坝建设，有效提高农村公共服务和社会治理水平。二是深入开展农村生活垃圾专项治理。建立健全农村生活垃圾“户分类、村收集，统一运输”处理机制，实现农村生活垃</w:t>
      </w:r>
      <w:r>
        <w:rPr>
          <w:rFonts w:ascii="仿宋" w:eastAsia="仿宋" w:hAnsi="仿宋" w:hint="eastAsia"/>
          <w:color w:val="000000"/>
          <w:sz w:val="32"/>
          <w:szCs w:val="32"/>
        </w:rPr>
        <w:lastRenderedPageBreak/>
        <w:t>圾治理全覆盖。新建七盘山村办公室一栋，确保了基础设施建设和产业发展顺利实施。</w:t>
      </w:r>
    </w:p>
    <w:p w:rsidR="000B0CA0" w:rsidRDefault="00214AE8">
      <w:pPr>
        <w:ind w:firstLineChars="200" w:firstLine="640"/>
        <w:rPr>
          <w:rFonts w:ascii="仿宋" w:eastAsia="仿宋" w:hAnsi="仿宋"/>
          <w:sz w:val="32"/>
          <w:szCs w:val="32"/>
        </w:rPr>
      </w:pPr>
      <w:r>
        <w:rPr>
          <w:rFonts w:ascii="仿宋" w:eastAsia="仿宋" w:hAnsi="仿宋" w:hint="eastAsia"/>
          <w:sz w:val="32"/>
          <w:szCs w:val="32"/>
        </w:rPr>
        <w:t>2、强化协调服务，重点项目顺利实施。</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成立专项工作组，实行重点项目集中推进和专人跟踪协调，重点建设项目加快实施。一是仁沐新高速公路征地第一阶段工作基本完成。二是金仓变电站高压铁塔5座征地及架线工作基本完工。三是福川输卤二期工程征地工作有序开展。四是七盘山村村阵地建设新建完工。五是黄马路建设征地工作有序进行。</w:t>
      </w:r>
    </w:p>
    <w:p w:rsidR="000B0CA0" w:rsidRDefault="00214AE8">
      <w:pPr>
        <w:ind w:firstLineChars="200" w:firstLine="640"/>
        <w:rPr>
          <w:rFonts w:ascii="仿宋" w:eastAsia="仿宋" w:hAnsi="仿宋"/>
          <w:sz w:val="32"/>
          <w:szCs w:val="32"/>
        </w:rPr>
      </w:pPr>
      <w:r>
        <w:rPr>
          <w:rFonts w:ascii="仿宋" w:eastAsia="仿宋" w:hAnsi="仿宋" w:hint="eastAsia"/>
          <w:sz w:val="32"/>
          <w:szCs w:val="32"/>
        </w:rPr>
        <w:t>3、关注民计民生，社会事业协调发展。</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坚持发展为先、发展为民，深入实施民生工程，稳步推进各项改革，让群众共享改革发展成果。一是就业渠道不断拓宽。二是农村保障体系不断健全。三是文教卫生事业稳步发展。四是各项改革有序推进。深入推进农村综合改革，完成农业“三项政策”调整完善，兑现耕地地力保护补贴164.15万元。</w:t>
      </w:r>
    </w:p>
    <w:p w:rsidR="000B0CA0" w:rsidRDefault="00214AE8">
      <w:pPr>
        <w:ind w:firstLineChars="200" w:firstLine="640"/>
        <w:rPr>
          <w:rFonts w:ascii="仿宋" w:eastAsia="仿宋" w:hAnsi="仿宋" w:hint="eastAsia"/>
          <w:sz w:val="32"/>
          <w:szCs w:val="32"/>
        </w:rPr>
      </w:pPr>
      <w:r>
        <w:rPr>
          <w:rFonts w:ascii="仿宋" w:eastAsia="仿宋" w:hAnsi="仿宋" w:hint="eastAsia"/>
          <w:sz w:val="32"/>
          <w:szCs w:val="32"/>
        </w:rPr>
        <w:t>4、狠抓安全维稳、社会政治和谐稳定。</w:t>
      </w:r>
    </w:p>
    <w:p w:rsidR="00750F70" w:rsidRDefault="00750F70" w:rsidP="00750F70">
      <w:pPr>
        <w:rPr>
          <w:rFonts w:ascii="仿宋" w:eastAsia="仿宋" w:hAnsi="仿宋"/>
          <w:sz w:val="32"/>
          <w:szCs w:val="32"/>
        </w:rPr>
      </w:pPr>
    </w:p>
    <w:p w:rsidR="000B0CA0" w:rsidRDefault="00214AE8">
      <w:pPr>
        <w:pStyle w:val="2"/>
        <w:ind w:firstLineChars="200" w:firstLine="640"/>
        <w:rPr>
          <w:rFonts w:ascii="仿宋" w:eastAsia="仿宋" w:hAnsi="仿宋"/>
          <w:b w:val="0"/>
          <w:color w:val="000000"/>
        </w:rPr>
      </w:pPr>
      <w:r>
        <w:rPr>
          <w:rFonts w:ascii="仿宋" w:eastAsia="仿宋" w:hAnsi="仿宋" w:cs="Times New Roman" w:hint="eastAsia"/>
          <w:b w:val="0"/>
          <w:color w:val="000000"/>
        </w:rPr>
        <w:lastRenderedPageBreak/>
        <w:t>把安全稳定作为经济发展、社会进步的前提，作为政府工作的重中之重来抓。一是制度健全，责任落实。二是分类排查，重点整治。三是强化措施，稳控到位，明确责任。</w:t>
      </w:r>
    </w:p>
    <w:p w:rsidR="000B0CA0" w:rsidRDefault="00214AE8">
      <w:pPr>
        <w:pStyle w:val="2"/>
        <w:rPr>
          <w:rStyle w:val="2Char"/>
          <w:rFonts w:ascii="黑体" w:eastAsia="黑体" w:hAnsi="黑体"/>
        </w:rPr>
      </w:pPr>
      <w:r>
        <w:rPr>
          <w:rFonts w:ascii="黑体" w:eastAsia="黑体" w:hAnsi="黑体" w:hint="eastAsia"/>
          <w:b w:val="0"/>
          <w:color w:val="000000"/>
        </w:rPr>
        <w:t>二、机</w:t>
      </w:r>
      <w:r>
        <w:rPr>
          <w:rStyle w:val="2Char"/>
          <w:rFonts w:ascii="黑体" w:eastAsia="黑体" w:hAnsi="黑体" w:hint="eastAsia"/>
        </w:rPr>
        <w:t>构设置</w:t>
      </w:r>
      <w:bookmarkEnd w:id="16"/>
      <w:bookmarkEnd w:id="17"/>
    </w:p>
    <w:p w:rsidR="000B0CA0" w:rsidRDefault="00214AE8">
      <w:pPr>
        <w:ind w:firstLineChars="250" w:firstLine="800"/>
        <w:rPr>
          <w:rFonts w:ascii="仿宋" w:eastAsia="仿宋" w:hAnsi="仿宋"/>
          <w:sz w:val="32"/>
          <w:szCs w:val="32"/>
        </w:rPr>
      </w:pPr>
      <w:r>
        <w:rPr>
          <w:rFonts w:ascii="仿宋" w:eastAsia="仿宋" w:hAnsi="仿宋" w:hint="eastAsia"/>
          <w:sz w:val="32"/>
          <w:szCs w:val="32"/>
        </w:rPr>
        <w:t>黄钵乡下辖5个行政村、49个村民小组，1个社区、2个居民小组。乡机关核定编制37人，其中行政编制17人、工勤编制2人、事业编制18人，设党政办公室、财政所、农业技术服务中心和社会事务服务中心。2018年机关实有在编在岗人员32人，其中行政编制15人、事业编制17人。</w:t>
      </w:r>
    </w:p>
    <w:p w:rsidR="000B0CA0" w:rsidRDefault="000B0CA0">
      <w:pPr>
        <w:pStyle w:val="a3"/>
        <w:adjustRightInd w:val="0"/>
        <w:snapToGrid w:val="0"/>
        <w:spacing w:before="93" w:line="600" w:lineRule="exact"/>
        <w:ind w:firstLineChars="350" w:firstLine="1120"/>
        <w:rPr>
          <w:rFonts w:ascii="仿宋" w:eastAsia="仿宋" w:hAnsi="仿宋"/>
          <w:color w:val="000000"/>
          <w:sz w:val="32"/>
          <w:szCs w:val="32"/>
        </w:rPr>
      </w:pPr>
    </w:p>
    <w:p w:rsidR="000B0CA0" w:rsidRDefault="00214AE8">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0B0CA0" w:rsidRDefault="00214AE8">
      <w:pPr>
        <w:pStyle w:val="1"/>
        <w:ind w:right="440"/>
        <w:jc w:val="right"/>
        <w:rPr>
          <w:rStyle w:val="1Char"/>
          <w:rFonts w:ascii="黑体" w:eastAsia="黑体" w:hAnsi="黑体"/>
        </w:rPr>
      </w:pPr>
      <w:bookmarkStart w:id="18" w:name="_Toc15396602"/>
      <w:bookmarkStart w:id="19" w:name="_Toc15377204"/>
      <w:r>
        <w:rPr>
          <w:rFonts w:ascii="黑体" w:eastAsia="黑体" w:hAnsi="黑体" w:hint="eastAsia"/>
          <w:b w:val="0"/>
          <w:color w:val="000000"/>
        </w:rPr>
        <w:lastRenderedPageBreak/>
        <w:t>第二部分</w:t>
      </w:r>
      <w:r>
        <w:rPr>
          <w:rStyle w:val="1Char"/>
          <w:rFonts w:ascii="黑体" w:eastAsia="黑体" w:hAnsi="黑体" w:hint="eastAsia"/>
        </w:rPr>
        <w:t>2018年度部门决算情况说明</w:t>
      </w:r>
      <w:bookmarkEnd w:id="18"/>
      <w:bookmarkEnd w:id="19"/>
    </w:p>
    <w:p w:rsidR="000B0CA0" w:rsidRDefault="000B0CA0"/>
    <w:p w:rsidR="000B0CA0" w:rsidRDefault="00214AE8">
      <w:pPr>
        <w:pStyle w:val="11"/>
        <w:numPr>
          <w:ilvl w:val="0"/>
          <w:numId w:val="1"/>
        </w:numPr>
        <w:spacing w:line="600" w:lineRule="exact"/>
        <w:ind w:firstLineChars="0"/>
        <w:outlineLvl w:val="1"/>
        <w:rPr>
          <w:rStyle w:val="2Char"/>
          <w:rFonts w:ascii="黑体" w:eastAsia="黑体" w:hAnsi="黑体"/>
          <w:b w:val="0"/>
        </w:rPr>
      </w:pPr>
      <w:bookmarkStart w:id="20" w:name="_Toc15377205"/>
      <w:bookmarkStart w:id="21"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0"/>
      <w:bookmarkEnd w:id="21"/>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2018年度收、支总计1002.31万元。与2017年相比，收、支总计各增加306.07万元，增长43.96</w:t>
      </w:r>
      <w:r>
        <w:rPr>
          <w:rFonts w:ascii="仿宋" w:eastAsia="仿宋" w:hAnsi="仿宋"/>
          <w:color w:val="000000"/>
          <w:sz w:val="32"/>
          <w:szCs w:val="32"/>
        </w:rPr>
        <w:t>%</w:t>
      </w:r>
      <w:r>
        <w:rPr>
          <w:rFonts w:ascii="仿宋" w:eastAsia="仿宋" w:hAnsi="仿宋" w:hint="eastAsia"/>
          <w:color w:val="000000"/>
          <w:sz w:val="32"/>
          <w:szCs w:val="32"/>
        </w:rPr>
        <w:t>。主要变动原因是增加了职工目标奖励村组干部报酬及奖励。</w:t>
      </w:r>
    </w:p>
    <w:p w:rsidR="000B0CA0" w:rsidRDefault="00214AE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图1：</w:t>
      </w: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214AE8">
      <w:pPr>
        <w:ind w:firstLineChars="200" w:firstLine="420"/>
        <w:rPr>
          <w:rFonts w:eastAsia="仿宋_GB2312"/>
          <w:color w:val="000000"/>
          <w:sz w:val="32"/>
          <w:szCs w:val="32"/>
        </w:rPr>
      </w:pPr>
      <w:r>
        <w:rPr>
          <w:noProof/>
        </w:rP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214AE8">
      <w:pPr>
        <w:pStyle w:val="11"/>
        <w:spacing w:line="600" w:lineRule="exact"/>
        <w:ind w:firstLine="640"/>
        <w:outlineLvl w:val="1"/>
        <w:rPr>
          <w:rStyle w:val="2Char"/>
          <w:rFonts w:ascii="黑体" w:eastAsia="黑体" w:hAnsi="黑体"/>
          <w:b w:val="0"/>
        </w:rPr>
      </w:pPr>
      <w:bookmarkStart w:id="22" w:name="_Toc15396604"/>
      <w:bookmarkStart w:id="23" w:name="_Toc15377206"/>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22"/>
      <w:bookmarkEnd w:id="23"/>
    </w:p>
    <w:p w:rsidR="000B0CA0" w:rsidRDefault="00214AE8">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8年本年收入合计1002.31万元，其中：一般公共预算财政拨款收入964.22万元，占96.19</w:t>
      </w:r>
      <w:r>
        <w:rPr>
          <w:rFonts w:ascii="仿宋" w:eastAsia="仿宋" w:hAnsi="仿宋"/>
          <w:color w:val="000000"/>
          <w:sz w:val="32"/>
          <w:szCs w:val="32"/>
        </w:rPr>
        <w:t>%</w:t>
      </w:r>
      <w:r>
        <w:rPr>
          <w:rFonts w:ascii="仿宋" w:eastAsia="仿宋" w:hAnsi="仿宋" w:hint="eastAsia"/>
          <w:color w:val="000000"/>
          <w:sz w:val="32"/>
          <w:szCs w:val="32"/>
        </w:rPr>
        <w:t>；政府性基金预算财政拨款收入38.09万元，占3.81</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w:t>
      </w:r>
      <w:r>
        <w:rPr>
          <w:rFonts w:ascii="仿宋" w:eastAsia="仿宋" w:hAnsi="仿宋" w:hint="eastAsia"/>
          <w:color w:val="000000"/>
          <w:sz w:val="32"/>
          <w:szCs w:val="32"/>
        </w:rPr>
        <w:lastRenderedPageBreak/>
        <w:t>他收入0万元，占0</w:t>
      </w:r>
      <w:r>
        <w:rPr>
          <w:rFonts w:ascii="仿宋" w:eastAsia="仿宋" w:hAnsi="仿宋"/>
          <w:color w:val="000000"/>
          <w:sz w:val="32"/>
          <w:szCs w:val="32"/>
        </w:rPr>
        <w:t>%</w:t>
      </w:r>
      <w:r>
        <w:rPr>
          <w:rFonts w:ascii="仿宋" w:eastAsia="仿宋" w:hAnsi="仿宋" w:hint="eastAsia"/>
          <w:color w:val="000000"/>
          <w:sz w:val="32"/>
          <w:szCs w:val="32"/>
        </w:rPr>
        <w:t>。</w:t>
      </w:r>
    </w:p>
    <w:p w:rsidR="000B0CA0" w:rsidRDefault="00214AE8">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图2：</w:t>
      </w:r>
    </w:p>
    <w:p w:rsidR="000B0CA0" w:rsidRDefault="000B0CA0">
      <w:pPr>
        <w:spacing w:line="600" w:lineRule="exact"/>
        <w:ind w:firstLineChars="200" w:firstLine="640"/>
        <w:outlineLvl w:val="1"/>
        <w:rPr>
          <w:rFonts w:ascii="仿宋" w:eastAsia="仿宋" w:hAnsi="仿宋"/>
          <w:color w:val="000000"/>
          <w:sz w:val="32"/>
          <w:szCs w:val="32"/>
        </w:rPr>
      </w:pPr>
    </w:p>
    <w:p w:rsidR="000B0CA0" w:rsidRDefault="00214AE8">
      <w:pPr>
        <w:ind w:firstLineChars="200" w:firstLine="420"/>
        <w:rPr>
          <w:rFonts w:eastAsia="仿宋_GB2312"/>
          <w:color w:val="000000"/>
          <w:sz w:val="32"/>
          <w:szCs w:val="32"/>
        </w:rPr>
      </w:pPr>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0CA0" w:rsidRDefault="000B0CA0">
      <w:pPr>
        <w:spacing w:line="600" w:lineRule="exact"/>
        <w:ind w:firstLineChars="200" w:firstLine="640"/>
        <w:outlineLvl w:val="1"/>
        <w:rPr>
          <w:rFonts w:ascii="仿宋" w:eastAsia="仿宋" w:hAnsi="仿宋"/>
          <w:color w:val="000000"/>
          <w:sz w:val="32"/>
          <w:szCs w:val="32"/>
        </w:rPr>
      </w:pPr>
    </w:p>
    <w:p w:rsidR="000B0CA0" w:rsidRDefault="000B0CA0">
      <w:pPr>
        <w:spacing w:line="600" w:lineRule="exact"/>
        <w:ind w:firstLineChars="200" w:firstLine="640"/>
        <w:outlineLvl w:val="1"/>
        <w:rPr>
          <w:rFonts w:ascii="仿宋" w:eastAsia="仿宋" w:hAnsi="仿宋"/>
          <w:color w:val="000000"/>
          <w:sz w:val="32"/>
          <w:szCs w:val="32"/>
        </w:rPr>
      </w:pPr>
    </w:p>
    <w:p w:rsidR="000B0CA0" w:rsidRDefault="00214AE8">
      <w:pPr>
        <w:pStyle w:val="11"/>
        <w:spacing w:line="600" w:lineRule="exact"/>
        <w:ind w:firstLine="640"/>
        <w:outlineLvl w:val="1"/>
        <w:rPr>
          <w:rStyle w:val="2Char"/>
          <w:rFonts w:ascii="黑体" w:eastAsia="黑体" w:hAnsi="黑体"/>
          <w:b w:val="0"/>
        </w:rPr>
      </w:pPr>
      <w:bookmarkStart w:id="24" w:name="_Toc15377207"/>
      <w:bookmarkStart w:id="25" w:name="_Toc15396605"/>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24"/>
      <w:bookmarkEnd w:id="25"/>
    </w:p>
    <w:p w:rsidR="000B0CA0" w:rsidRDefault="00214AE8">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8年本年支出合计1002.31万元，其中：基本支出483.74万元，占48.26</w:t>
      </w:r>
      <w:r>
        <w:rPr>
          <w:rFonts w:ascii="仿宋" w:eastAsia="仿宋" w:hAnsi="仿宋"/>
          <w:color w:val="000000"/>
          <w:sz w:val="32"/>
          <w:szCs w:val="32"/>
        </w:rPr>
        <w:t>%</w:t>
      </w:r>
      <w:r>
        <w:rPr>
          <w:rFonts w:ascii="仿宋" w:eastAsia="仿宋" w:hAnsi="仿宋" w:hint="eastAsia"/>
          <w:color w:val="000000"/>
          <w:sz w:val="32"/>
          <w:szCs w:val="32"/>
        </w:rPr>
        <w:t>；项目支出518.56万元，占51.74</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0B0CA0">
      <w:pPr>
        <w:spacing w:line="600" w:lineRule="exact"/>
        <w:ind w:firstLineChars="200" w:firstLine="640"/>
        <w:rPr>
          <w:rFonts w:ascii="仿宋" w:eastAsia="仿宋" w:hAnsi="仿宋"/>
          <w:color w:val="000000" w:themeColor="text1"/>
          <w:sz w:val="32"/>
          <w:szCs w:val="32"/>
        </w:rPr>
      </w:pPr>
    </w:p>
    <w:p w:rsidR="000B0CA0" w:rsidRDefault="00214AE8">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图3：</w:t>
      </w:r>
    </w:p>
    <w:p w:rsidR="000B0CA0" w:rsidRDefault="00214AE8">
      <w:pPr>
        <w:ind w:firstLineChars="200" w:firstLine="420"/>
        <w:rPr>
          <w:rFonts w:eastAsia="仿宋_GB2312"/>
          <w:color w:val="000000"/>
          <w:sz w:val="32"/>
          <w:szCs w:val="32"/>
        </w:rPr>
      </w:pPr>
      <w:r>
        <w:rPr>
          <w:noProof/>
        </w:rPr>
        <w:drawing>
          <wp:inline distT="0" distB="0" distL="114300" distR="114300">
            <wp:extent cx="4572000" cy="274320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0CA0" w:rsidRDefault="000B0CA0">
      <w:pPr>
        <w:spacing w:line="600" w:lineRule="exact"/>
        <w:rPr>
          <w:rFonts w:ascii="仿宋" w:eastAsia="仿宋" w:hAnsi="仿宋"/>
          <w:color w:val="000000" w:themeColor="text1"/>
          <w:sz w:val="32"/>
          <w:szCs w:val="32"/>
        </w:rPr>
      </w:pPr>
    </w:p>
    <w:p w:rsidR="000B0CA0" w:rsidRDefault="00214AE8">
      <w:pPr>
        <w:spacing w:line="600" w:lineRule="exact"/>
        <w:ind w:firstLineChars="200" w:firstLine="640"/>
        <w:outlineLvl w:val="1"/>
        <w:rPr>
          <w:rStyle w:val="2Char"/>
          <w:rFonts w:ascii="黑体" w:eastAsia="黑体" w:hAnsi="黑体"/>
          <w:b w:val="0"/>
        </w:rPr>
      </w:pPr>
      <w:bookmarkStart w:id="26" w:name="_Toc15377208"/>
      <w:bookmarkStart w:id="27"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6"/>
      <w:bookmarkEnd w:id="27"/>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8年财政拨款收、支总计1002.31万元。与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7年相比，财政拨款收、支总计各增加306.07万元，增长43.96</w:t>
      </w:r>
      <w:r>
        <w:rPr>
          <w:rFonts w:ascii="仿宋" w:eastAsia="仿宋" w:hAnsi="仿宋"/>
          <w:color w:val="000000"/>
          <w:sz w:val="32"/>
          <w:szCs w:val="32"/>
        </w:rPr>
        <w:t>%</w:t>
      </w:r>
      <w:r>
        <w:rPr>
          <w:rFonts w:ascii="仿宋" w:eastAsia="仿宋" w:hAnsi="仿宋" w:hint="eastAsia"/>
          <w:color w:val="000000"/>
          <w:sz w:val="32"/>
          <w:szCs w:val="32"/>
        </w:rPr>
        <w:t>。主要变动原因是增加了职工目标奖励村组干部报酬及奖励。</w:t>
      </w:r>
    </w:p>
    <w:p w:rsidR="000B0CA0" w:rsidRPr="007179CE" w:rsidRDefault="007179CE" w:rsidP="007179CE">
      <w:pPr>
        <w:spacing w:line="600" w:lineRule="exact"/>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8240" behindDoc="0" locked="0" layoutInCell="1" allowOverlap="1">
            <wp:simplePos x="0" y="0"/>
            <wp:positionH relativeFrom="margin">
              <wp:posOffset>-4445</wp:posOffset>
            </wp:positionH>
            <wp:positionV relativeFrom="margin">
              <wp:posOffset>5344160</wp:posOffset>
            </wp:positionV>
            <wp:extent cx="5269865" cy="3074035"/>
            <wp:effectExtent l="19050" t="0" r="26035"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B0CA0" w:rsidRDefault="00214AE8">
      <w:pPr>
        <w:spacing w:line="600" w:lineRule="exact"/>
        <w:ind w:firstLineChars="200" w:firstLine="640"/>
        <w:outlineLvl w:val="1"/>
        <w:rPr>
          <w:rStyle w:val="2Char"/>
          <w:rFonts w:ascii="黑体" w:eastAsia="黑体" w:hAnsi="黑体"/>
          <w:b w:val="0"/>
        </w:rPr>
      </w:pPr>
      <w:bookmarkStart w:id="28" w:name="_Toc15396607"/>
      <w:bookmarkStart w:id="29" w:name="_Toc15377209"/>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8"/>
      <w:bookmarkEnd w:id="29"/>
    </w:p>
    <w:p w:rsidR="000B0CA0" w:rsidRDefault="00214AE8">
      <w:pPr>
        <w:spacing w:line="600" w:lineRule="exact"/>
        <w:ind w:firstLineChars="200" w:firstLine="643"/>
        <w:outlineLvl w:val="2"/>
        <w:rPr>
          <w:rFonts w:ascii="仿宋" w:eastAsia="仿宋" w:hAnsi="仿宋"/>
          <w:b/>
          <w:color w:val="000000"/>
          <w:sz w:val="32"/>
          <w:szCs w:val="32"/>
        </w:rPr>
      </w:pPr>
      <w:bookmarkStart w:id="30" w:name="_Toc15377210"/>
      <w:r>
        <w:rPr>
          <w:rFonts w:ascii="仿宋" w:eastAsia="仿宋" w:hAnsi="仿宋" w:hint="eastAsia"/>
          <w:b/>
          <w:color w:val="000000"/>
          <w:sz w:val="32"/>
          <w:szCs w:val="32"/>
        </w:rPr>
        <w:t>（一）一般公共预算财政拨款支出决算总体情况</w:t>
      </w:r>
      <w:bookmarkEnd w:id="30"/>
    </w:p>
    <w:p w:rsidR="007179CE" w:rsidRDefault="00214AE8" w:rsidP="007179C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8年一般公共预算财政拨款支出964.22万元，占本年支出合计的96.19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7年相比，一般公共预算财政拨款增加285.94万元，增长42.16</w:t>
      </w:r>
      <w:r>
        <w:rPr>
          <w:rFonts w:ascii="仿宋" w:eastAsia="仿宋" w:hAnsi="仿宋"/>
          <w:color w:val="000000"/>
          <w:sz w:val="32"/>
          <w:szCs w:val="32"/>
        </w:rPr>
        <w:t>%</w:t>
      </w:r>
      <w:r>
        <w:rPr>
          <w:rFonts w:ascii="仿宋" w:eastAsia="仿宋" w:hAnsi="仿宋" w:hint="eastAsia"/>
          <w:color w:val="000000"/>
          <w:sz w:val="32"/>
          <w:szCs w:val="32"/>
        </w:rPr>
        <w:t>。主要变动原因是增加了职工目标奖励村组干部报酬及奖励。</w:t>
      </w:r>
    </w:p>
    <w:p w:rsidR="007179CE" w:rsidRDefault="007179CE" w:rsidP="007179CE">
      <w:pPr>
        <w:tabs>
          <w:tab w:val="left" w:pos="1912"/>
        </w:tabs>
        <w:spacing w:line="600" w:lineRule="exact"/>
        <w:rPr>
          <w:rFonts w:ascii="仿宋" w:eastAsia="仿宋" w:hAnsi="仿宋"/>
          <w:color w:val="000000"/>
          <w:sz w:val="32"/>
          <w:szCs w:val="32"/>
        </w:rPr>
      </w:pPr>
    </w:p>
    <w:p w:rsidR="007179CE" w:rsidRDefault="007179CE" w:rsidP="007179CE">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margin">
              <wp:posOffset>-5715</wp:posOffset>
            </wp:positionH>
            <wp:positionV relativeFrom="margin">
              <wp:posOffset>2585085</wp:posOffset>
            </wp:positionV>
            <wp:extent cx="5268595" cy="3074035"/>
            <wp:effectExtent l="19050" t="0" r="27305" b="0"/>
            <wp:wrapSquare wrapText="bothSides"/>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B0CA0" w:rsidRDefault="00214AE8" w:rsidP="000B07F3">
      <w:pPr>
        <w:spacing w:line="600" w:lineRule="exact"/>
        <w:ind w:firstLineChars="200" w:firstLine="643"/>
        <w:outlineLvl w:val="2"/>
        <w:rPr>
          <w:rFonts w:ascii="仿宋" w:eastAsia="仿宋" w:hAnsi="仿宋"/>
          <w:b/>
          <w:color w:val="000000"/>
          <w:sz w:val="32"/>
          <w:szCs w:val="32"/>
        </w:rPr>
      </w:pPr>
      <w:bookmarkStart w:id="31" w:name="_Toc15377211"/>
      <w:r>
        <w:rPr>
          <w:rFonts w:ascii="仿宋" w:eastAsia="仿宋" w:hAnsi="仿宋" w:hint="eastAsia"/>
          <w:b/>
          <w:color w:val="000000"/>
          <w:sz w:val="32"/>
          <w:szCs w:val="32"/>
        </w:rPr>
        <w:t>（二）一般公共预算财政拨款支出决算结构情况</w:t>
      </w:r>
      <w:bookmarkEnd w:id="31"/>
    </w:p>
    <w:p w:rsidR="007179CE" w:rsidRDefault="00214AE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政拨款支出964.22万元，主要用于以下方面</w:t>
      </w:r>
      <w:r>
        <w:rPr>
          <w:rFonts w:ascii="仿宋" w:eastAsia="仿宋" w:hAnsi="仿宋"/>
          <w:color w:val="000000" w:themeColor="text1"/>
          <w:sz w:val="32"/>
          <w:szCs w:val="32"/>
        </w:rPr>
        <w:t>:</w:t>
      </w:r>
      <w:r>
        <w:rPr>
          <w:rFonts w:ascii="仿宋_GB2312" w:eastAsia="仿宋_GB2312" w:hAnsi="宋体" w:hint="eastAsia"/>
          <w:color w:val="000000"/>
          <w:sz w:val="32"/>
          <w:szCs w:val="32"/>
        </w:rPr>
        <w:t xml:space="preserve"> </w:t>
      </w:r>
      <w:r>
        <w:rPr>
          <w:rFonts w:ascii="仿宋" w:eastAsia="仿宋" w:hAnsi="仿宋" w:hint="eastAsia"/>
          <w:b/>
          <w:color w:val="000000"/>
          <w:sz w:val="32"/>
          <w:szCs w:val="32"/>
        </w:rPr>
        <w:t>一般公共服务支出</w:t>
      </w:r>
      <w:r>
        <w:rPr>
          <w:rFonts w:ascii="仿宋" w:eastAsia="仿宋" w:hAnsi="仿宋" w:hint="eastAsia"/>
          <w:color w:val="000000"/>
          <w:sz w:val="32"/>
          <w:szCs w:val="32"/>
        </w:rPr>
        <w:t>320.77万元，占33.27%；</w:t>
      </w:r>
      <w:r>
        <w:rPr>
          <w:rFonts w:ascii="仿宋" w:eastAsia="仿宋" w:hAnsi="仿宋" w:hint="eastAsia"/>
          <w:b/>
          <w:color w:val="000000"/>
          <w:sz w:val="32"/>
          <w:szCs w:val="32"/>
        </w:rPr>
        <w:t>文化体育与传媒</w:t>
      </w:r>
      <w:r>
        <w:rPr>
          <w:rFonts w:ascii="仿宋" w:eastAsia="仿宋" w:hAnsi="仿宋" w:hint="eastAsia"/>
          <w:color w:val="000000"/>
          <w:sz w:val="32"/>
          <w:szCs w:val="32"/>
        </w:rPr>
        <w:t>支出2万元，占0.21%，</w:t>
      </w:r>
      <w:r>
        <w:rPr>
          <w:rFonts w:ascii="仿宋" w:eastAsia="仿宋" w:hAnsi="仿宋" w:hint="eastAsia"/>
          <w:b/>
          <w:color w:val="000000"/>
          <w:sz w:val="32"/>
          <w:szCs w:val="32"/>
        </w:rPr>
        <w:t>社会保障和就业支出</w:t>
      </w:r>
      <w:r>
        <w:rPr>
          <w:rFonts w:ascii="仿宋" w:eastAsia="仿宋" w:hAnsi="仿宋" w:hint="eastAsia"/>
          <w:color w:val="000000"/>
          <w:sz w:val="32"/>
          <w:szCs w:val="32"/>
        </w:rPr>
        <w:t>108.33万元，占11.23%；</w:t>
      </w:r>
      <w:r>
        <w:rPr>
          <w:rFonts w:ascii="仿宋" w:eastAsia="仿宋" w:hAnsi="仿宋" w:hint="eastAsia"/>
          <w:b/>
          <w:color w:val="000000"/>
          <w:sz w:val="32"/>
          <w:szCs w:val="32"/>
        </w:rPr>
        <w:t>医疗卫生支出</w:t>
      </w:r>
      <w:r>
        <w:rPr>
          <w:rFonts w:ascii="仿宋" w:eastAsia="仿宋" w:hAnsi="仿宋" w:hint="eastAsia"/>
          <w:color w:val="000000"/>
          <w:sz w:val="32"/>
          <w:szCs w:val="32"/>
        </w:rPr>
        <w:t>14.33万元，占1.49%；</w:t>
      </w:r>
      <w:r>
        <w:rPr>
          <w:rFonts w:ascii="仿宋" w:eastAsia="仿宋" w:hAnsi="仿宋" w:hint="eastAsia"/>
          <w:b/>
          <w:color w:val="000000"/>
          <w:sz w:val="32"/>
          <w:szCs w:val="32"/>
        </w:rPr>
        <w:t>节能环保</w:t>
      </w:r>
      <w:r w:rsidR="007179CE">
        <w:rPr>
          <w:rFonts w:ascii="仿宋" w:eastAsia="仿宋" w:hAnsi="仿宋" w:hint="eastAsia"/>
          <w:b/>
          <w:color w:val="000000"/>
          <w:sz w:val="32"/>
          <w:szCs w:val="32"/>
        </w:rPr>
        <w:t>支出</w:t>
      </w:r>
      <w:r>
        <w:rPr>
          <w:rFonts w:ascii="仿宋" w:eastAsia="仿宋" w:hAnsi="仿宋" w:hint="eastAsia"/>
          <w:color w:val="000000"/>
          <w:sz w:val="32"/>
          <w:szCs w:val="32"/>
        </w:rPr>
        <w:t>0.84万元，占0.08%，</w:t>
      </w:r>
      <w:r>
        <w:rPr>
          <w:rFonts w:ascii="仿宋" w:eastAsia="仿宋" w:hAnsi="仿宋" w:hint="eastAsia"/>
          <w:b/>
          <w:color w:val="000000"/>
          <w:sz w:val="32"/>
          <w:szCs w:val="32"/>
        </w:rPr>
        <w:t>城乡社区支出</w:t>
      </w:r>
      <w:r>
        <w:rPr>
          <w:rFonts w:ascii="仿宋" w:eastAsia="仿宋" w:hAnsi="仿宋" w:hint="eastAsia"/>
          <w:color w:val="000000"/>
          <w:sz w:val="32"/>
          <w:szCs w:val="32"/>
        </w:rPr>
        <w:lastRenderedPageBreak/>
        <w:t>5.87万元，占0.62%；</w:t>
      </w:r>
      <w:r>
        <w:rPr>
          <w:rFonts w:ascii="仿宋" w:eastAsia="仿宋" w:hAnsi="仿宋" w:hint="eastAsia"/>
          <w:b/>
          <w:color w:val="000000"/>
          <w:sz w:val="32"/>
          <w:szCs w:val="32"/>
        </w:rPr>
        <w:t>农林水支出</w:t>
      </w:r>
      <w:r>
        <w:rPr>
          <w:rFonts w:ascii="仿宋" w:eastAsia="仿宋" w:hAnsi="仿宋" w:hint="eastAsia"/>
          <w:color w:val="000000"/>
          <w:sz w:val="32"/>
          <w:szCs w:val="32"/>
        </w:rPr>
        <w:t>474.29万元，占49.2%；</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b/>
          <w:color w:val="000000"/>
          <w:sz w:val="32"/>
          <w:szCs w:val="32"/>
        </w:rPr>
        <w:t>住房保障支出</w:t>
      </w:r>
      <w:r>
        <w:rPr>
          <w:rFonts w:ascii="仿宋" w:eastAsia="仿宋" w:hAnsi="仿宋" w:hint="eastAsia"/>
          <w:color w:val="000000"/>
          <w:sz w:val="32"/>
          <w:szCs w:val="32"/>
        </w:rPr>
        <w:t>37.79万元，占3.9%。</w:t>
      </w:r>
    </w:p>
    <w:p w:rsidR="007179CE" w:rsidRDefault="007179CE" w:rsidP="007179CE">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simplePos x="0" y="0"/>
            <wp:positionH relativeFrom="margin">
              <wp:posOffset>240665</wp:posOffset>
            </wp:positionH>
            <wp:positionV relativeFrom="margin">
              <wp:posOffset>900430</wp:posOffset>
            </wp:positionV>
            <wp:extent cx="5262880" cy="3070225"/>
            <wp:effectExtent l="19050" t="0" r="13970" b="0"/>
            <wp:wrapSquare wrapText="bothSides"/>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179CE" w:rsidRPr="007179CE" w:rsidRDefault="007179CE" w:rsidP="007179CE">
      <w:pPr>
        <w:spacing w:line="600" w:lineRule="exact"/>
        <w:rPr>
          <w:rFonts w:ascii="仿宋" w:eastAsia="仿宋" w:hAnsi="仿宋"/>
          <w:color w:val="000000"/>
          <w:sz w:val="32"/>
          <w:szCs w:val="32"/>
        </w:rPr>
      </w:pPr>
    </w:p>
    <w:p w:rsidR="000B0CA0" w:rsidRDefault="00214AE8" w:rsidP="007179CE">
      <w:pPr>
        <w:spacing w:line="600" w:lineRule="exact"/>
        <w:ind w:firstLineChars="200" w:firstLine="643"/>
        <w:outlineLvl w:val="2"/>
        <w:rPr>
          <w:rFonts w:ascii="仿宋" w:eastAsia="仿宋" w:hAnsi="仿宋"/>
          <w:b/>
          <w:color w:val="000000"/>
          <w:sz w:val="32"/>
          <w:szCs w:val="32"/>
        </w:rPr>
      </w:pPr>
      <w:bookmarkStart w:id="32" w:name="_Toc15377212"/>
      <w:r>
        <w:rPr>
          <w:rFonts w:ascii="仿宋" w:eastAsia="仿宋" w:hAnsi="仿宋" w:hint="eastAsia"/>
          <w:b/>
          <w:color w:val="000000"/>
          <w:sz w:val="32"/>
          <w:szCs w:val="32"/>
        </w:rPr>
        <w:t>（三）一般公共预算财政拨款支出决算具体情况</w:t>
      </w:r>
      <w:bookmarkEnd w:id="32"/>
    </w:p>
    <w:p w:rsidR="000B0CA0" w:rsidRDefault="00214AE8">
      <w:pPr>
        <w:spacing w:line="600" w:lineRule="exact"/>
        <w:ind w:firstLineChars="200" w:firstLine="643"/>
        <w:outlineLvl w:val="2"/>
        <w:rPr>
          <w:rFonts w:ascii="仿宋" w:eastAsia="仿宋" w:hAnsi="仿宋"/>
          <w:color w:val="FF0000"/>
          <w:sz w:val="32"/>
          <w:szCs w:val="32"/>
        </w:rPr>
      </w:pPr>
      <w:bookmarkStart w:id="33" w:name="_Toc15377444"/>
      <w:bookmarkStart w:id="34" w:name="_Toc15377213"/>
      <w:bookmarkStart w:id="35" w:name="_Toc15378460"/>
      <w:r>
        <w:rPr>
          <w:rFonts w:ascii="仿宋" w:eastAsia="仿宋" w:hAnsi="仿宋" w:hint="eastAsia"/>
          <w:b/>
          <w:color w:val="000000" w:themeColor="text1"/>
          <w:sz w:val="32"/>
          <w:szCs w:val="32"/>
        </w:rPr>
        <w:t>2018年般公共预算支出决算数为964.22</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3"/>
      <w:bookmarkEnd w:id="34"/>
      <w:bookmarkEnd w:id="35"/>
    </w:p>
    <w:p w:rsidR="000B0CA0" w:rsidRDefault="00214AE8">
      <w:pPr>
        <w:spacing w:line="600" w:lineRule="exact"/>
        <w:ind w:firstLineChars="196" w:firstLine="627"/>
        <w:rPr>
          <w:rFonts w:ascii="仿宋" w:eastAsia="仿宋" w:hAnsi="仿宋"/>
          <w:color w:val="000000"/>
          <w:sz w:val="32"/>
          <w:szCs w:val="32"/>
        </w:rPr>
      </w:pPr>
      <w:r>
        <w:rPr>
          <w:rStyle w:val="a7"/>
          <w:rFonts w:ascii="仿宋" w:eastAsia="仿宋" w:hAnsi="仿宋" w:hint="eastAsia"/>
          <w:b w:val="0"/>
          <w:color w:val="000000"/>
          <w:sz w:val="32"/>
          <w:szCs w:val="32"/>
        </w:rPr>
        <w:t>1.</w:t>
      </w:r>
      <w:r>
        <w:rPr>
          <w:rStyle w:val="a7"/>
          <w:rFonts w:ascii="仿宋" w:eastAsia="仿宋" w:hAnsi="仿宋" w:hint="eastAsia"/>
          <w:color w:val="000000"/>
          <w:sz w:val="32"/>
          <w:szCs w:val="32"/>
        </w:rPr>
        <w:t>一般公共服务（类）人大事务（款）行政运行（项）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2018年决算数为7.85万元，完成预算100%。</w:t>
      </w:r>
    </w:p>
    <w:p w:rsidR="000B0CA0" w:rsidRDefault="00214AE8">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2.</w:t>
      </w:r>
      <w:r>
        <w:rPr>
          <w:rStyle w:val="a7"/>
          <w:rFonts w:ascii="仿宋" w:eastAsia="仿宋" w:hAnsi="仿宋" w:hint="eastAsia"/>
          <w:color w:val="000000"/>
          <w:sz w:val="32"/>
          <w:szCs w:val="32"/>
        </w:rPr>
        <w:t>一般公共服务（类）政府办公厅（室）及相关机构事务（款）行政运行（项）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2018年决算数为276.51万元，完成预算174.15%，主要原因是人员工资和职业年金增加。</w:t>
      </w:r>
    </w:p>
    <w:p w:rsidR="000B0CA0" w:rsidRDefault="00214AE8">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3.</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一般公共服务（类）财政事务（款）行政运行（项）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2018年决算数为8.72万元，完成预算100%。</w:t>
      </w:r>
    </w:p>
    <w:p w:rsidR="000B0CA0" w:rsidRDefault="00214AE8">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4.</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一般公共服务（类）党委办公厅（室）及相关机构事务（款）行政运行（项）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2018年决算数为8.72万元，完成预算100%。</w:t>
      </w:r>
    </w:p>
    <w:p w:rsidR="000B0CA0" w:rsidRDefault="00214AE8">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5.</w:t>
      </w:r>
      <w:r>
        <w:rPr>
          <w:rStyle w:val="a7"/>
          <w:rFonts w:ascii="仿宋" w:eastAsia="仿宋" w:hAnsi="仿宋" w:hint="eastAsia"/>
          <w:color w:val="000000"/>
          <w:sz w:val="32"/>
          <w:szCs w:val="32"/>
        </w:rPr>
        <w:t>文化体育与传媒支出（类）其他文化体育与传媒支出（款）其他文化体育与传媒支出（项）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2018年决算数为2万元，完成预算100%。</w:t>
      </w:r>
    </w:p>
    <w:p w:rsidR="000B0CA0" w:rsidRDefault="00214AE8">
      <w:pPr>
        <w:spacing w:line="600" w:lineRule="exact"/>
        <w:ind w:firstLine="690"/>
        <w:rPr>
          <w:rFonts w:ascii="仿宋" w:eastAsia="仿宋" w:hAnsi="仿宋"/>
          <w:color w:val="000000"/>
          <w:sz w:val="32"/>
          <w:szCs w:val="32"/>
        </w:rPr>
      </w:pPr>
      <w:r>
        <w:rPr>
          <w:rStyle w:val="a7"/>
          <w:rFonts w:ascii="仿宋" w:eastAsia="仿宋" w:hAnsi="仿宋" w:hint="eastAsia"/>
          <w:b w:val="0"/>
          <w:color w:val="000000"/>
          <w:sz w:val="32"/>
          <w:szCs w:val="32"/>
        </w:rPr>
        <w:t>6.</w:t>
      </w:r>
      <w:r>
        <w:rPr>
          <w:rStyle w:val="a7"/>
          <w:rFonts w:ascii="仿宋" w:eastAsia="仿宋" w:hAnsi="仿宋" w:hint="eastAsia"/>
          <w:color w:val="000000"/>
          <w:sz w:val="32"/>
          <w:szCs w:val="32"/>
        </w:rPr>
        <w:t>社会保障和就业（类）民政管理事务（款）老龄事务（项）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2018年决算数为10.41万元，完成预算116.84%，主要原因是老年人数增加。</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7.</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社会保障和就业（类）行政事业单位离退休（款）机关事业单位基本养老保险缴费支出（项）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2018年决算数为38.4万元，完成预算139%，主要原因是人员工资增加。</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8.</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社会保障和就业（类）抚恤（款）义务兵优待（项）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2018年决算数为3.78万元，完成预算63%，</w:t>
      </w:r>
      <w:r>
        <w:rPr>
          <w:rFonts w:ascii="仿宋" w:eastAsia="仿宋" w:hAnsi="仿宋" w:hint="eastAsia"/>
          <w:sz w:val="32"/>
          <w:szCs w:val="32"/>
        </w:rPr>
        <w:t>主要原因</w:t>
      </w:r>
      <w:r>
        <w:rPr>
          <w:rFonts w:ascii="仿宋" w:eastAsia="仿宋" w:hAnsi="仿宋" w:hint="eastAsia"/>
          <w:color w:val="000000"/>
          <w:sz w:val="32"/>
          <w:szCs w:val="32"/>
        </w:rPr>
        <w:t>是义务兵人员减少。</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9.</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社会保障和就业（类）社会福利（款）其他社会福利支出支出（项）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2018年决算数为5.67万元，是新增居家养老服务人员补助。</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10.</w:t>
      </w:r>
      <w:r>
        <w:rPr>
          <w:rStyle w:val="a7"/>
          <w:rFonts w:ascii="仿宋" w:eastAsia="仿宋" w:hAnsi="仿宋" w:hint="eastAsia"/>
          <w:b w:val="0"/>
          <w:color w:val="000000"/>
          <w:sz w:val="32"/>
          <w:szCs w:val="32"/>
        </w:rPr>
        <w:t xml:space="preserve"> </w:t>
      </w:r>
      <w:r>
        <w:rPr>
          <w:rStyle w:val="a7"/>
          <w:rFonts w:ascii="仿宋" w:eastAsia="仿宋" w:hAnsi="仿宋" w:hint="eastAsia"/>
          <w:color w:val="000000"/>
          <w:sz w:val="32"/>
          <w:szCs w:val="32"/>
        </w:rPr>
        <w:t>社会保障和就业（类）特困人员供养（款）农村五保供养支出（项）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2018年决算数为50.07万元，完成预算107.65%，主要原因是人员及补助金额增加。</w:t>
      </w:r>
    </w:p>
    <w:p w:rsidR="000B0CA0" w:rsidRDefault="00214AE8">
      <w:pPr>
        <w:spacing w:line="600" w:lineRule="exact"/>
        <w:ind w:firstLine="645"/>
        <w:rPr>
          <w:rFonts w:ascii="仿宋" w:eastAsia="仿宋" w:hAnsi="仿宋"/>
          <w:color w:val="000000"/>
          <w:sz w:val="32"/>
          <w:szCs w:val="32"/>
        </w:rPr>
      </w:pPr>
      <w:r>
        <w:rPr>
          <w:rStyle w:val="a7"/>
          <w:rFonts w:ascii="仿宋" w:eastAsia="仿宋" w:hAnsi="仿宋" w:hint="eastAsia"/>
          <w:b w:val="0"/>
          <w:color w:val="000000"/>
          <w:sz w:val="32"/>
          <w:szCs w:val="32"/>
        </w:rPr>
        <w:t>11.</w:t>
      </w:r>
      <w:r>
        <w:rPr>
          <w:rStyle w:val="a7"/>
          <w:rFonts w:ascii="仿宋" w:eastAsia="仿宋" w:hAnsi="仿宋" w:hint="eastAsia"/>
          <w:color w:val="000000"/>
          <w:sz w:val="32"/>
          <w:szCs w:val="32"/>
        </w:rPr>
        <w:t>医疗卫生与计划生育（类）计划生育事务（款）计划生育机构（项）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2018年决算数为4.99万元。</w:t>
      </w:r>
    </w:p>
    <w:p w:rsidR="000B0CA0" w:rsidRDefault="00214AE8">
      <w:pPr>
        <w:spacing w:line="600" w:lineRule="exact"/>
        <w:ind w:firstLine="645"/>
        <w:rPr>
          <w:rFonts w:ascii="仿宋" w:eastAsia="仿宋" w:hAnsi="仿宋"/>
          <w:color w:val="000000"/>
          <w:sz w:val="32"/>
          <w:szCs w:val="32"/>
        </w:rPr>
      </w:pPr>
      <w:r>
        <w:rPr>
          <w:rStyle w:val="a7"/>
          <w:rFonts w:ascii="仿宋" w:eastAsia="仿宋" w:hAnsi="仿宋" w:hint="eastAsia"/>
          <w:b w:val="0"/>
          <w:color w:val="000000"/>
          <w:sz w:val="32"/>
          <w:szCs w:val="32"/>
        </w:rPr>
        <w:lastRenderedPageBreak/>
        <w:t>12.</w:t>
      </w:r>
      <w:r>
        <w:rPr>
          <w:rStyle w:val="a7"/>
          <w:rFonts w:ascii="仿宋" w:eastAsia="仿宋" w:hAnsi="仿宋" w:hint="eastAsia"/>
          <w:color w:val="000000"/>
          <w:sz w:val="32"/>
          <w:szCs w:val="32"/>
        </w:rPr>
        <w:t>医疗卫生与计划生育（类）医疗保障（款）行政单位医疗（项）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2018年决算数为9.34万元，完成预算94.73%，主要原因是人员退休。</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13．</w:t>
      </w:r>
      <w:r>
        <w:rPr>
          <w:rStyle w:val="a7"/>
          <w:rFonts w:ascii="仿宋" w:eastAsia="仿宋" w:hAnsi="仿宋" w:hint="eastAsia"/>
          <w:color w:val="000000"/>
          <w:sz w:val="32"/>
          <w:szCs w:val="32"/>
        </w:rPr>
        <w:t>节能环保（类）污染防治（款）水体（项）</w:t>
      </w:r>
      <w:r>
        <w:rPr>
          <w:rStyle w:val="a7"/>
          <w:rFonts w:ascii="仿宋" w:eastAsia="仿宋" w:hAnsi="仿宋" w:hint="eastAsia"/>
          <w:b w:val="0"/>
          <w:color w:val="000000"/>
          <w:sz w:val="32"/>
          <w:szCs w:val="32"/>
        </w:rPr>
        <w:t>:</w:t>
      </w:r>
      <w:r>
        <w:rPr>
          <w:rFonts w:ascii="仿宋" w:eastAsia="仿宋" w:hAnsi="仿宋" w:hint="eastAsia"/>
          <w:color w:val="000000"/>
          <w:sz w:val="32"/>
          <w:szCs w:val="32"/>
        </w:rPr>
        <w:t>2018年决算数为0.84万元，完成预算100%。</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14. </w:t>
      </w:r>
      <w:r>
        <w:rPr>
          <w:rFonts w:ascii="仿宋" w:eastAsia="仿宋" w:hAnsi="仿宋" w:hint="eastAsia"/>
          <w:b/>
          <w:color w:val="000000"/>
          <w:sz w:val="32"/>
          <w:szCs w:val="32"/>
        </w:rPr>
        <w:t>城乡社区支出（类）城乡社区管理事务（款）行政运行（项）</w:t>
      </w:r>
      <w:r>
        <w:rPr>
          <w:rFonts w:ascii="仿宋" w:eastAsia="仿宋" w:hAnsi="仿宋" w:hint="eastAsia"/>
          <w:color w:val="000000"/>
          <w:sz w:val="32"/>
          <w:szCs w:val="32"/>
        </w:rPr>
        <w:t>2018年决算数为5.87万元，完成预算101.38%，主要原因是人员工资增加。</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15. </w:t>
      </w:r>
      <w:r>
        <w:rPr>
          <w:rFonts w:ascii="仿宋" w:eastAsia="仿宋" w:hAnsi="仿宋" w:hint="eastAsia"/>
          <w:b/>
          <w:color w:val="000000"/>
          <w:sz w:val="32"/>
          <w:szCs w:val="32"/>
        </w:rPr>
        <w:t>农林水支出（类）农业（款）农业生产支持补贴（项）</w:t>
      </w:r>
      <w:r>
        <w:rPr>
          <w:rFonts w:ascii="仿宋" w:eastAsia="仿宋" w:hAnsi="仿宋" w:hint="eastAsia"/>
          <w:color w:val="000000"/>
          <w:sz w:val="32"/>
          <w:szCs w:val="32"/>
        </w:rPr>
        <w:t>2018年决算数为164.15万元，此项由县财政预算，未纳入乡乡预算。</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16. </w:t>
      </w:r>
      <w:r>
        <w:rPr>
          <w:rFonts w:ascii="仿宋" w:eastAsia="仿宋" w:hAnsi="仿宋" w:hint="eastAsia"/>
          <w:b/>
          <w:color w:val="000000"/>
          <w:sz w:val="32"/>
          <w:szCs w:val="32"/>
        </w:rPr>
        <w:t>农林水支出（类）农村综合改革（款）对村民委员会和村党支部的补助（项</w:t>
      </w:r>
      <w:r>
        <w:rPr>
          <w:rFonts w:ascii="仿宋" w:eastAsia="仿宋" w:hAnsi="仿宋" w:hint="eastAsia"/>
          <w:color w:val="000000"/>
          <w:sz w:val="32"/>
          <w:szCs w:val="32"/>
        </w:rPr>
        <w:t>）2018年决算数为151.85万元，完成预算161.23%，主要原因是增加了对家庭和个人的其他补助。</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17. </w:t>
      </w:r>
      <w:r>
        <w:rPr>
          <w:rFonts w:ascii="仿宋" w:eastAsia="仿宋" w:hAnsi="仿宋" w:hint="eastAsia"/>
          <w:b/>
          <w:color w:val="000000"/>
          <w:sz w:val="32"/>
          <w:szCs w:val="32"/>
        </w:rPr>
        <w:t>农林水支出（类）农村综合改革（款）对村级一事一议的补助（项）</w:t>
      </w:r>
      <w:r>
        <w:rPr>
          <w:rFonts w:ascii="仿宋" w:eastAsia="仿宋" w:hAnsi="仿宋" w:hint="eastAsia"/>
          <w:color w:val="000000"/>
          <w:sz w:val="32"/>
          <w:szCs w:val="32"/>
        </w:rPr>
        <w:t>2018年决算数为50万元，此项由县财政预算，未纳入乡乡预算。</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18. </w:t>
      </w:r>
      <w:r>
        <w:rPr>
          <w:rFonts w:ascii="仿宋" w:eastAsia="仿宋" w:hAnsi="仿宋" w:hint="eastAsia"/>
          <w:b/>
          <w:color w:val="000000"/>
          <w:sz w:val="32"/>
          <w:szCs w:val="32"/>
        </w:rPr>
        <w:t>农林水支出（类）农业（款）行政运行（项）</w:t>
      </w:r>
      <w:r>
        <w:rPr>
          <w:rFonts w:ascii="仿宋" w:eastAsia="仿宋" w:hAnsi="仿宋" w:hint="eastAsia"/>
          <w:color w:val="000000"/>
          <w:sz w:val="32"/>
          <w:szCs w:val="32"/>
        </w:rPr>
        <w:t>2018年决算数为72.81万元，完成预算132.26%，主要原因是人员工资增加。</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19. </w:t>
      </w:r>
      <w:r>
        <w:rPr>
          <w:rFonts w:ascii="仿宋" w:eastAsia="仿宋" w:hAnsi="仿宋" w:hint="eastAsia"/>
          <w:b/>
          <w:color w:val="000000"/>
          <w:sz w:val="32"/>
          <w:szCs w:val="32"/>
        </w:rPr>
        <w:t>农林水支出（类）农业（款）防灾救灾（项）</w:t>
      </w:r>
      <w:r>
        <w:rPr>
          <w:rFonts w:ascii="仿宋" w:eastAsia="仿宋" w:hAnsi="仿宋" w:hint="eastAsia"/>
          <w:color w:val="000000"/>
          <w:sz w:val="32"/>
          <w:szCs w:val="32"/>
        </w:rPr>
        <w:t>2018年决算数为12.74万元，此项由县财政预算，未纳入乡乡预</w:t>
      </w:r>
      <w:r>
        <w:rPr>
          <w:rFonts w:ascii="仿宋" w:eastAsia="仿宋" w:hAnsi="仿宋" w:hint="eastAsia"/>
          <w:color w:val="000000"/>
          <w:sz w:val="32"/>
          <w:szCs w:val="32"/>
        </w:rPr>
        <w:lastRenderedPageBreak/>
        <w:t>算。</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20. </w:t>
      </w:r>
      <w:r>
        <w:rPr>
          <w:rFonts w:ascii="仿宋" w:eastAsia="仿宋" w:hAnsi="仿宋" w:hint="eastAsia"/>
          <w:b/>
          <w:color w:val="000000"/>
          <w:sz w:val="32"/>
          <w:szCs w:val="32"/>
        </w:rPr>
        <w:t>农林水支出（类）农业（款）其他农业支出（项）</w:t>
      </w:r>
      <w:r>
        <w:rPr>
          <w:rFonts w:ascii="仿宋" w:eastAsia="仿宋" w:hAnsi="仿宋" w:hint="eastAsia"/>
          <w:color w:val="000000"/>
          <w:sz w:val="32"/>
          <w:szCs w:val="32"/>
        </w:rPr>
        <w:t>2018年决算数为10万元，此项由县财政预算，未纳入乡乡预算。</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21. </w:t>
      </w:r>
      <w:r>
        <w:rPr>
          <w:rFonts w:ascii="仿宋" w:eastAsia="仿宋" w:hAnsi="仿宋" w:hint="eastAsia"/>
          <w:b/>
          <w:color w:val="000000"/>
          <w:sz w:val="32"/>
          <w:szCs w:val="32"/>
        </w:rPr>
        <w:t>农林水支出（类）林业（款）行政运行（项</w:t>
      </w:r>
      <w:r>
        <w:rPr>
          <w:rFonts w:ascii="仿宋" w:eastAsia="仿宋" w:hAnsi="仿宋" w:hint="eastAsia"/>
          <w:color w:val="000000"/>
          <w:sz w:val="32"/>
          <w:szCs w:val="32"/>
        </w:rPr>
        <w:t>）2018年决算数为7.44万元，完成预算103.47%，主要原因是人员工资增加。</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22. </w:t>
      </w:r>
      <w:r>
        <w:rPr>
          <w:rFonts w:ascii="仿宋" w:eastAsia="仿宋" w:hAnsi="仿宋" w:hint="eastAsia"/>
          <w:b/>
          <w:color w:val="000000"/>
          <w:sz w:val="32"/>
          <w:szCs w:val="32"/>
        </w:rPr>
        <w:t>农林水支出（类）水利（款）行政运行（项）</w:t>
      </w:r>
      <w:r>
        <w:rPr>
          <w:rFonts w:ascii="仿宋" w:eastAsia="仿宋" w:hAnsi="仿宋" w:hint="eastAsia"/>
          <w:color w:val="000000"/>
          <w:sz w:val="32"/>
          <w:szCs w:val="32"/>
        </w:rPr>
        <w:t>2018年决算数为5.3万元，完成预算102.91%，主要原因是人员工资增加。</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23</w:t>
      </w:r>
      <w:r>
        <w:rPr>
          <w:rFonts w:ascii="仿宋" w:eastAsia="仿宋" w:hAnsi="仿宋" w:hint="eastAsia"/>
          <w:b/>
          <w:color w:val="000000"/>
          <w:sz w:val="32"/>
          <w:szCs w:val="32"/>
        </w:rPr>
        <w:t>. 住房保障支出（类）住房改革支出（款）住房公积金（项）</w:t>
      </w:r>
      <w:r>
        <w:rPr>
          <w:rFonts w:ascii="仿宋" w:eastAsia="仿宋" w:hAnsi="仿宋" w:hint="eastAsia"/>
          <w:color w:val="000000"/>
          <w:sz w:val="32"/>
          <w:szCs w:val="32"/>
        </w:rPr>
        <w:t>2018年决算数为37.79万元，完成预算160.8%，主要原因是人员工资增加。</w:t>
      </w:r>
    </w:p>
    <w:p w:rsidR="000B0CA0" w:rsidRDefault="000B0CA0">
      <w:pPr>
        <w:spacing w:line="600" w:lineRule="exact"/>
        <w:ind w:firstLine="640"/>
        <w:rPr>
          <w:rFonts w:ascii="仿宋" w:eastAsia="仿宋" w:hAnsi="仿宋"/>
          <w:b/>
          <w:color w:val="000000"/>
          <w:sz w:val="32"/>
          <w:szCs w:val="32"/>
        </w:rPr>
      </w:pPr>
    </w:p>
    <w:p w:rsidR="000B0CA0" w:rsidRDefault="00214AE8">
      <w:pPr>
        <w:tabs>
          <w:tab w:val="right" w:pos="8306"/>
        </w:tabs>
        <w:spacing w:line="600" w:lineRule="exact"/>
        <w:ind w:firstLine="640"/>
        <w:outlineLvl w:val="1"/>
        <w:rPr>
          <w:rStyle w:val="2Char"/>
        </w:rPr>
      </w:pPr>
      <w:bookmarkStart w:id="36" w:name="_Toc15377214"/>
      <w:bookmarkStart w:id="37"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6"/>
      <w:bookmarkEnd w:id="37"/>
      <w:r>
        <w:rPr>
          <w:rStyle w:val="2Char"/>
          <w:rFonts w:ascii="黑体" w:eastAsia="黑体" w:hAnsi="黑体"/>
          <w:b w:val="0"/>
        </w:rPr>
        <w:tab/>
      </w:r>
    </w:p>
    <w:p w:rsidR="000B0CA0" w:rsidRDefault="00214AE8">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8年一般公共预算财政拨款基本支出320.77万元，其中：</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188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r>
        <w:rPr>
          <w:rFonts w:ascii="仿宋" w:eastAsia="仿宋" w:hAnsi="仿宋" w:hint="eastAsia"/>
          <w:color w:val="000000"/>
          <w:sz w:val="32"/>
          <w:szCs w:val="32"/>
        </w:rPr>
        <w:br/>
      </w:r>
      <w:r>
        <w:rPr>
          <w:rFonts w:ascii="仿宋" w:eastAsia="仿宋" w:hAnsi="仿宋" w:hint="eastAsia"/>
          <w:color w:val="000000"/>
          <w:sz w:val="32"/>
          <w:szCs w:val="32"/>
        </w:rPr>
        <w:lastRenderedPageBreak/>
        <w:t xml:space="preserve">　　公用经费113.8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rsidR="000B0CA0" w:rsidRDefault="00214AE8">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其他资本性支出18.97万元，主要包括办公设备购置及办公楼维修等。</w:t>
      </w:r>
    </w:p>
    <w:p w:rsidR="000B0CA0" w:rsidRDefault="000B0CA0">
      <w:pPr>
        <w:spacing w:line="600" w:lineRule="exact"/>
        <w:ind w:firstLine="640"/>
        <w:rPr>
          <w:rFonts w:ascii="仿宋" w:eastAsia="仿宋" w:hAnsi="仿宋"/>
          <w:b/>
          <w:color w:val="FF0000"/>
          <w:sz w:val="32"/>
          <w:szCs w:val="32"/>
        </w:rPr>
      </w:pPr>
    </w:p>
    <w:p w:rsidR="000B0CA0" w:rsidRDefault="00214AE8">
      <w:pPr>
        <w:spacing w:line="600" w:lineRule="exact"/>
        <w:ind w:firstLine="640"/>
        <w:outlineLvl w:val="1"/>
        <w:rPr>
          <w:rStyle w:val="2Char"/>
          <w:rFonts w:ascii="黑体" w:eastAsia="黑体" w:hAnsi="黑体"/>
          <w:b w:val="0"/>
        </w:rPr>
      </w:pPr>
      <w:bookmarkStart w:id="38" w:name="_Toc15377215"/>
      <w:bookmarkStart w:id="39"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8"/>
      <w:bookmarkEnd w:id="39"/>
    </w:p>
    <w:p w:rsidR="000B0CA0" w:rsidRDefault="00214AE8">
      <w:pPr>
        <w:spacing w:line="600" w:lineRule="exact"/>
        <w:ind w:firstLine="640"/>
        <w:outlineLvl w:val="2"/>
        <w:rPr>
          <w:rFonts w:ascii="仿宋" w:eastAsia="仿宋" w:hAnsi="仿宋"/>
          <w:b/>
          <w:color w:val="000000"/>
          <w:sz w:val="32"/>
          <w:szCs w:val="32"/>
        </w:rPr>
      </w:pPr>
      <w:bookmarkStart w:id="40" w:name="_Toc15377216"/>
      <w:r>
        <w:rPr>
          <w:rFonts w:ascii="仿宋" w:eastAsia="仿宋" w:hAnsi="仿宋" w:hint="eastAsia"/>
          <w:b/>
          <w:color w:val="000000"/>
          <w:sz w:val="32"/>
          <w:szCs w:val="32"/>
        </w:rPr>
        <w:t>（一）“三公”经费财政拨款支出决算总体情况说明</w:t>
      </w:r>
      <w:bookmarkEnd w:id="40"/>
    </w:p>
    <w:p w:rsidR="000B0CA0" w:rsidRDefault="00214AE8">
      <w:pPr>
        <w:spacing w:line="600" w:lineRule="exact"/>
        <w:ind w:firstLine="640"/>
        <w:rPr>
          <w:rFonts w:ascii="仿宋" w:eastAsia="仿宋" w:hAnsi="仿宋"/>
          <w:sz w:val="32"/>
          <w:szCs w:val="32"/>
        </w:rPr>
      </w:pPr>
      <w:r>
        <w:rPr>
          <w:rFonts w:ascii="仿宋" w:eastAsia="仿宋" w:hAnsi="仿宋" w:hint="eastAsia"/>
          <w:color w:val="333333"/>
          <w:sz w:val="32"/>
          <w:szCs w:val="32"/>
        </w:rPr>
        <w:t>黄钵乡人民政府2018年度“三公”经费财政拨款支出决算为6.34万元，完成预算74.59%，其中：公务用车购置及运行维护费支出决算为2.34万元，完成预算52%；公务接待费支出决算为4万元，完成预算100%。2018年度“三公”经费支出决算数小于预算数的主要原因是</w:t>
      </w:r>
      <w:r>
        <w:rPr>
          <w:rFonts w:ascii="仿宋" w:eastAsia="仿宋" w:hAnsi="仿宋" w:hint="eastAsia"/>
          <w:sz w:val="32"/>
          <w:szCs w:val="32"/>
        </w:rPr>
        <w:t>我乡继续认真贯彻落实中央八项规定及省委省政府十项规定要求和市委市政府十项规定要求及县委县政府十项规定要求，厉行节约，加强“三公”经费管理以及公务车损坏不能维修造成几个月没有使用公务车等原因。</w:t>
      </w:r>
    </w:p>
    <w:p w:rsidR="000B0CA0" w:rsidRDefault="00214AE8">
      <w:pPr>
        <w:spacing w:line="600" w:lineRule="exact"/>
        <w:ind w:firstLine="640"/>
        <w:rPr>
          <w:rFonts w:ascii="仿宋" w:eastAsia="仿宋" w:hAnsi="仿宋"/>
          <w:color w:val="333333"/>
          <w:sz w:val="32"/>
          <w:szCs w:val="32"/>
        </w:rPr>
      </w:pPr>
      <w:r>
        <w:rPr>
          <w:rFonts w:ascii="仿宋" w:eastAsia="仿宋" w:hAnsi="仿宋" w:hint="eastAsia"/>
          <w:color w:val="333333"/>
          <w:sz w:val="32"/>
          <w:szCs w:val="32"/>
        </w:rPr>
        <w:t>2018年度“三公”经费财政拨款支出决算数比2017年</w:t>
      </w:r>
      <w:r>
        <w:rPr>
          <w:rFonts w:ascii="仿宋" w:eastAsia="仿宋" w:hAnsi="仿宋" w:hint="eastAsia"/>
          <w:color w:val="000000"/>
          <w:sz w:val="32"/>
          <w:szCs w:val="32"/>
        </w:rPr>
        <w:t>减少3.26</w:t>
      </w:r>
      <w:r>
        <w:rPr>
          <w:rFonts w:ascii="仿宋" w:eastAsia="仿宋" w:hAnsi="仿宋" w:hint="eastAsia"/>
          <w:color w:val="333333"/>
          <w:sz w:val="32"/>
          <w:szCs w:val="32"/>
        </w:rPr>
        <w:t>万元，下降</w:t>
      </w:r>
      <w:r>
        <w:rPr>
          <w:rFonts w:ascii="仿宋" w:eastAsia="仿宋" w:hAnsi="仿宋" w:hint="eastAsia"/>
          <w:color w:val="000000"/>
          <w:sz w:val="32"/>
          <w:szCs w:val="32"/>
        </w:rPr>
        <w:t>34%，其中：</w:t>
      </w:r>
      <w:r>
        <w:rPr>
          <w:rFonts w:ascii="仿宋" w:eastAsia="仿宋" w:hAnsi="仿宋" w:hint="eastAsia"/>
          <w:color w:val="333333"/>
          <w:sz w:val="32"/>
          <w:szCs w:val="32"/>
        </w:rPr>
        <w:t>公务用车购置及运行维护费支出决算</w:t>
      </w:r>
      <w:r>
        <w:rPr>
          <w:rFonts w:ascii="仿宋" w:eastAsia="仿宋" w:hAnsi="仿宋" w:hint="eastAsia"/>
          <w:color w:val="000000"/>
          <w:sz w:val="32"/>
          <w:szCs w:val="32"/>
        </w:rPr>
        <w:t>减少3.59</w:t>
      </w:r>
      <w:r>
        <w:rPr>
          <w:rFonts w:ascii="仿宋" w:eastAsia="仿宋" w:hAnsi="仿宋" w:hint="eastAsia"/>
          <w:color w:val="333333"/>
          <w:sz w:val="32"/>
          <w:szCs w:val="32"/>
        </w:rPr>
        <w:t>万元，下降</w:t>
      </w:r>
      <w:r>
        <w:rPr>
          <w:rFonts w:ascii="仿宋" w:eastAsia="仿宋" w:hAnsi="仿宋" w:hint="eastAsia"/>
          <w:color w:val="000000"/>
          <w:sz w:val="32"/>
          <w:szCs w:val="32"/>
        </w:rPr>
        <w:t>60.6%</w:t>
      </w:r>
      <w:r>
        <w:rPr>
          <w:rFonts w:ascii="仿宋" w:eastAsia="仿宋" w:hAnsi="仿宋" w:hint="eastAsia"/>
          <w:color w:val="333333"/>
          <w:sz w:val="32"/>
          <w:szCs w:val="32"/>
        </w:rPr>
        <w:t>；公务接待费支出决</w:t>
      </w:r>
      <w:r>
        <w:rPr>
          <w:rFonts w:ascii="仿宋" w:eastAsia="仿宋" w:hAnsi="仿宋" w:hint="eastAsia"/>
          <w:color w:val="333333"/>
          <w:sz w:val="32"/>
          <w:szCs w:val="32"/>
        </w:rPr>
        <w:lastRenderedPageBreak/>
        <w:t>算</w:t>
      </w:r>
      <w:r>
        <w:rPr>
          <w:rFonts w:ascii="仿宋" w:eastAsia="仿宋" w:hAnsi="仿宋" w:hint="eastAsia"/>
          <w:color w:val="000000"/>
          <w:sz w:val="32"/>
          <w:szCs w:val="32"/>
        </w:rPr>
        <w:t>增加</w:t>
      </w:r>
      <w:r>
        <w:rPr>
          <w:rFonts w:ascii="仿宋" w:eastAsia="仿宋" w:hAnsi="仿宋" w:hint="eastAsia"/>
          <w:color w:val="333333"/>
          <w:sz w:val="32"/>
          <w:szCs w:val="32"/>
        </w:rPr>
        <w:t>0.33万元，</w:t>
      </w:r>
      <w:r>
        <w:rPr>
          <w:rFonts w:ascii="仿宋" w:eastAsia="仿宋" w:hAnsi="仿宋" w:hint="eastAsia"/>
          <w:color w:val="000000"/>
          <w:sz w:val="32"/>
          <w:szCs w:val="32"/>
        </w:rPr>
        <w:t>增长8.25%</w:t>
      </w:r>
      <w:r>
        <w:rPr>
          <w:rFonts w:ascii="仿宋" w:eastAsia="仿宋" w:hAnsi="仿宋" w:hint="eastAsia"/>
          <w:color w:val="333333"/>
          <w:sz w:val="32"/>
          <w:szCs w:val="32"/>
        </w:rPr>
        <w:t>。增减变动的主要原因车辆维修费减少，公务接待增加了0.33万元是重点项目建设及精准扶贫工作接待较往年有所增加。</w:t>
      </w:r>
    </w:p>
    <w:p w:rsidR="000B0CA0" w:rsidRDefault="00214AE8">
      <w:pPr>
        <w:spacing w:line="600" w:lineRule="exact"/>
        <w:ind w:firstLine="640"/>
        <w:outlineLvl w:val="2"/>
        <w:rPr>
          <w:rFonts w:ascii="仿宋" w:eastAsia="仿宋" w:hAnsi="仿宋"/>
          <w:b/>
          <w:color w:val="000000"/>
          <w:sz w:val="32"/>
          <w:szCs w:val="32"/>
        </w:rPr>
      </w:pPr>
      <w:bookmarkStart w:id="41" w:name="_Toc15377217"/>
      <w:r>
        <w:rPr>
          <w:rFonts w:ascii="仿宋" w:eastAsia="仿宋" w:hAnsi="仿宋" w:hint="eastAsia"/>
          <w:b/>
          <w:color w:val="000000"/>
          <w:sz w:val="32"/>
          <w:szCs w:val="32"/>
        </w:rPr>
        <w:t>（二）“三公”经费财政拨款支出决算具体情况说明</w:t>
      </w:r>
      <w:bookmarkEnd w:id="41"/>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333333"/>
          <w:sz w:val="32"/>
          <w:szCs w:val="32"/>
        </w:rPr>
        <w:t>2018年度“三公”经费财政拨款支出决算中，公务用车购置及运行维护费支出决算2.34万元，</w:t>
      </w:r>
      <w:r>
        <w:rPr>
          <w:rFonts w:ascii="仿宋" w:eastAsia="仿宋" w:hAnsi="仿宋" w:hint="eastAsia"/>
          <w:color w:val="000000"/>
          <w:sz w:val="32"/>
          <w:szCs w:val="32"/>
        </w:rPr>
        <w:t>占36.9%</w:t>
      </w:r>
      <w:r>
        <w:rPr>
          <w:rFonts w:ascii="仿宋" w:eastAsia="仿宋" w:hAnsi="仿宋" w:hint="eastAsia"/>
          <w:color w:val="333333"/>
          <w:sz w:val="32"/>
          <w:szCs w:val="32"/>
        </w:rPr>
        <w:t>；公务接待费支出决算4万元，</w:t>
      </w:r>
      <w:r>
        <w:rPr>
          <w:rFonts w:ascii="仿宋" w:eastAsia="仿宋" w:hAnsi="仿宋" w:hint="eastAsia"/>
          <w:color w:val="000000"/>
          <w:sz w:val="32"/>
          <w:szCs w:val="32"/>
        </w:rPr>
        <w:t>占100%。具体情况如下:</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sidR="00122DC5">
        <w:rPr>
          <w:rFonts w:ascii="仿宋" w:eastAsia="仿宋" w:hAnsi="仿宋" w:hint="eastAsia"/>
          <w:color w:val="000000"/>
          <w:sz w:val="32"/>
          <w:szCs w:val="32"/>
        </w:rPr>
        <w:t>7</w:t>
      </w:r>
      <w:r>
        <w:rPr>
          <w:rFonts w:ascii="仿宋" w:eastAsia="仿宋" w:hAnsi="仿宋" w:hint="eastAsia"/>
          <w:color w:val="000000"/>
          <w:sz w:val="32"/>
          <w:szCs w:val="32"/>
        </w:rPr>
        <w:t>：</w:t>
      </w:r>
    </w:p>
    <w:p w:rsidR="000B0CA0" w:rsidRDefault="00214AE8">
      <w:pPr>
        <w:ind w:firstLine="640"/>
        <w:rPr>
          <w:rFonts w:ascii="仿宋" w:eastAsia="仿宋" w:hAnsi="仿宋"/>
          <w:color w:val="000000"/>
          <w:sz w:val="32"/>
          <w:szCs w:val="32"/>
        </w:rPr>
      </w:pPr>
      <w:r>
        <w:rPr>
          <w:noProof/>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42" w:name="_GoBack"/>
      <w:bookmarkEnd w:id="42"/>
    </w:p>
    <w:p w:rsidR="000B0CA0" w:rsidRDefault="000B0CA0">
      <w:pPr>
        <w:spacing w:line="600" w:lineRule="exact"/>
        <w:ind w:firstLine="640"/>
        <w:rPr>
          <w:rFonts w:ascii="仿宋" w:eastAsia="仿宋" w:hAnsi="仿宋"/>
          <w:color w:val="000000"/>
          <w:sz w:val="32"/>
          <w:szCs w:val="32"/>
        </w:rPr>
      </w:pPr>
    </w:p>
    <w:p w:rsidR="000B0CA0" w:rsidRDefault="00214AE8">
      <w:pPr>
        <w:spacing w:line="600" w:lineRule="exact"/>
        <w:ind w:firstLineChars="200" w:firstLine="640"/>
        <w:rPr>
          <w:rFonts w:ascii="仿宋" w:eastAsia="仿宋" w:hAnsi="仿宋"/>
          <w:color w:val="000000"/>
          <w:sz w:val="32"/>
          <w:szCs w:val="32"/>
        </w:rPr>
      </w:pPr>
      <w:bookmarkStart w:id="43" w:name="_Toc15377218"/>
      <w:bookmarkStart w:id="44" w:name="_Toc15396610"/>
      <w:r>
        <w:rPr>
          <w:rFonts w:ascii="仿宋" w:eastAsia="仿宋" w:hAnsi="仿宋" w:hint="eastAsia"/>
          <w:color w:val="000000"/>
          <w:sz w:val="32"/>
          <w:szCs w:val="32"/>
        </w:rPr>
        <w:t>1.公务用车购置及运行维护费</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2018年公务用车购置及运行维护费2.34万元,其中：</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截至2018年12月底，单位共有公务用车1辆，农业载货车1辆。</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公务用车运行维护费支出2.34万元。主要用于乡乡具体工作等所需的公务用车燃料费、维修费、过路过桥费、保</w:t>
      </w:r>
      <w:r>
        <w:rPr>
          <w:rFonts w:ascii="仿宋" w:eastAsia="仿宋" w:hAnsi="仿宋" w:hint="eastAsia"/>
          <w:color w:val="000000"/>
          <w:sz w:val="32"/>
          <w:szCs w:val="32"/>
        </w:rPr>
        <w:lastRenderedPageBreak/>
        <w:t>险费等支出。</w:t>
      </w:r>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2.公务接待费</w:t>
      </w:r>
    </w:p>
    <w:p w:rsidR="000B0CA0" w:rsidRDefault="00214AE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2018年公务接待费4万元。国内公务接待114批次，1140人，共计支出4万元。</w:t>
      </w:r>
    </w:p>
    <w:p w:rsidR="000B0CA0" w:rsidRDefault="000B0CA0">
      <w:pPr>
        <w:spacing w:line="600" w:lineRule="exact"/>
        <w:ind w:firstLine="640"/>
        <w:outlineLvl w:val="1"/>
        <w:rPr>
          <w:rFonts w:ascii="黑体" w:eastAsia="黑体"/>
          <w:color w:val="000000"/>
          <w:sz w:val="32"/>
          <w:szCs w:val="32"/>
        </w:rPr>
      </w:pPr>
    </w:p>
    <w:p w:rsidR="000B0CA0" w:rsidRDefault="00214AE8">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3"/>
      <w:bookmarkEnd w:id="44"/>
    </w:p>
    <w:p w:rsidR="000B0CA0" w:rsidRDefault="00214AE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w:t>
      </w:r>
      <w:r>
        <w:rPr>
          <w:rFonts w:ascii="仿宋_GB2312" w:eastAsia="仿宋_GB2312" w:hint="eastAsia"/>
          <w:color w:val="000000"/>
          <w:sz w:val="28"/>
          <w:szCs w:val="28"/>
        </w:rPr>
        <w:t>38.09</w:t>
      </w:r>
      <w:r>
        <w:rPr>
          <w:rFonts w:ascii="仿宋_GB2312" w:eastAsia="仿宋_GB2312" w:hint="eastAsia"/>
          <w:color w:val="000000"/>
          <w:sz w:val="32"/>
          <w:szCs w:val="32"/>
        </w:rPr>
        <w:t>元。</w:t>
      </w:r>
    </w:p>
    <w:p w:rsidR="000B0CA0" w:rsidRDefault="000B0CA0">
      <w:pPr>
        <w:spacing w:line="600" w:lineRule="exact"/>
        <w:ind w:firstLine="640"/>
        <w:rPr>
          <w:rFonts w:ascii="仿宋_GB2312" w:eastAsia="仿宋_GB2312"/>
          <w:color w:val="000000"/>
          <w:sz w:val="32"/>
          <w:szCs w:val="32"/>
        </w:rPr>
      </w:pPr>
    </w:p>
    <w:p w:rsidR="000B0CA0" w:rsidRDefault="00214AE8">
      <w:pPr>
        <w:pStyle w:val="a9"/>
        <w:numPr>
          <w:ilvl w:val="0"/>
          <w:numId w:val="2"/>
        </w:numPr>
        <w:spacing w:line="600" w:lineRule="exact"/>
        <w:ind w:firstLineChars="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0B0CA0" w:rsidRDefault="00214AE8">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rsidR="000B0CA0" w:rsidRDefault="00214AE8">
      <w:pPr>
        <w:pStyle w:val="11"/>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0B0CA0" w:rsidRDefault="00214AE8">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0B0CA0" w:rsidRDefault="00214AE8">
      <w:pPr>
        <w:pStyle w:val="a9"/>
        <w:spacing w:line="600" w:lineRule="atLeast"/>
        <w:ind w:leftChars="200" w:left="420" w:firstLineChars="250" w:firstLine="800"/>
        <w:rPr>
          <w:rFonts w:ascii="仿宋" w:eastAsia="仿宋" w:hAnsi="仿宋"/>
          <w:sz w:val="32"/>
          <w:szCs w:val="32"/>
        </w:rPr>
      </w:pPr>
      <w:r>
        <w:rPr>
          <w:rFonts w:ascii="仿宋" w:eastAsia="仿宋" w:hAnsi="仿宋" w:hint="eastAsia"/>
          <w:sz w:val="32"/>
          <w:szCs w:val="32"/>
        </w:rPr>
        <w:t>按照预算绩效管理要求本部门对2018年一般公共预算项目支出开展了绩效目标管理，共编制绩效目标28个，涉及财政资金1002.31万元，覆盖率达到100%。</w:t>
      </w:r>
    </w:p>
    <w:p w:rsidR="000B0CA0" w:rsidRDefault="00214AE8">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无</w:t>
      </w:r>
    </w:p>
    <w:p w:rsidR="000B0CA0" w:rsidRDefault="00214AE8">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0B0CA0" w:rsidRDefault="00214AE8">
      <w:pPr>
        <w:spacing w:line="600" w:lineRule="atLeast"/>
        <w:ind w:firstLineChars="300" w:firstLine="840"/>
        <w:rPr>
          <w:rFonts w:ascii="仿宋_GB2312" w:eastAsia="仿宋_GB2312"/>
          <w:color w:val="000000"/>
          <w:sz w:val="28"/>
          <w:szCs w:val="28"/>
        </w:rPr>
      </w:pPr>
      <w:bookmarkStart w:id="47" w:name="_Toc15377221"/>
      <w:bookmarkStart w:id="48" w:name="_Toc15396612"/>
      <w:r>
        <w:rPr>
          <w:rFonts w:ascii="仿宋_GB2312" w:eastAsia="仿宋_GB2312" w:hint="eastAsia"/>
          <w:color w:val="000000"/>
          <w:sz w:val="28"/>
          <w:szCs w:val="28"/>
        </w:rPr>
        <w:t>按照预算绩效管理要求，本部门对2018年整体支出开展绩效自评，自评得分97分，存在的问题：一是中期评估有待进一步加强，二是绩效目标动态监控力度不够，三是社会公众满意度不高。下一步改进措施：一是加强绩效动态监控力度，二是加强中期评估工作，管好用活财政资金，提高公众满意度。</w:t>
      </w:r>
    </w:p>
    <w:p w:rsidR="000B0CA0" w:rsidRDefault="00214AE8">
      <w:pPr>
        <w:spacing w:line="600" w:lineRule="exact"/>
        <w:ind w:firstLineChars="250" w:firstLine="800"/>
        <w:outlineLvl w:val="1"/>
        <w:rPr>
          <w:rStyle w:val="2Char"/>
          <w:rFonts w:ascii="黑体" w:eastAsia="黑体" w:hAnsi="黑体"/>
        </w:rPr>
      </w:pPr>
      <w:r>
        <w:rPr>
          <w:rFonts w:ascii="黑体" w:eastAsia="黑体" w:hAnsi="黑体" w:hint="eastAsia"/>
          <w:color w:val="000000"/>
          <w:sz w:val="32"/>
          <w:szCs w:val="32"/>
        </w:rPr>
        <w:lastRenderedPageBreak/>
        <w:t>十</w:t>
      </w:r>
      <w:r>
        <w:rPr>
          <w:rStyle w:val="2Char"/>
          <w:rFonts w:ascii="黑体" w:eastAsia="黑体" w:hAnsi="黑体" w:hint="eastAsia"/>
        </w:rPr>
        <w:t>一、</w:t>
      </w:r>
      <w:r>
        <w:rPr>
          <w:rStyle w:val="2Char"/>
          <w:rFonts w:ascii="黑体" w:eastAsia="黑体" w:hAnsi="黑体" w:hint="eastAsia"/>
          <w:b w:val="0"/>
        </w:rPr>
        <w:t>其他重要事项的情况说明</w:t>
      </w:r>
      <w:bookmarkEnd w:id="47"/>
      <w:bookmarkEnd w:id="48"/>
    </w:p>
    <w:p w:rsidR="000B0CA0" w:rsidRDefault="00214AE8">
      <w:pPr>
        <w:spacing w:line="600" w:lineRule="exact"/>
        <w:ind w:firstLineChars="200" w:firstLine="643"/>
        <w:outlineLvl w:val="2"/>
        <w:rPr>
          <w:rFonts w:ascii="仿宋" w:eastAsia="仿宋" w:hAnsi="仿宋"/>
          <w:color w:val="000000"/>
          <w:sz w:val="32"/>
          <w:szCs w:val="32"/>
        </w:rPr>
      </w:pPr>
      <w:bookmarkStart w:id="49" w:name="_Toc15377222"/>
      <w:r>
        <w:rPr>
          <w:rFonts w:ascii="仿宋" w:eastAsia="仿宋" w:hAnsi="仿宋" w:hint="eastAsia"/>
          <w:b/>
          <w:color w:val="000000"/>
          <w:sz w:val="32"/>
          <w:szCs w:val="32"/>
        </w:rPr>
        <w:t>（一）机关运行经费支出情况</w:t>
      </w:r>
      <w:bookmarkEnd w:id="49"/>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2018年度，黄钵乡人民政府机关运行经费支出113.8万元，比2017年增加39.66万元，上升53%，主要是办公用品增加，精准扶贫办公用品、广告宣传费增加。</w:t>
      </w:r>
    </w:p>
    <w:p w:rsidR="000B0CA0" w:rsidRDefault="00214AE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0" w:name="_Toc15377223"/>
      <w:r>
        <w:rPr>
          <w:rFonts w:ascii="仿宋" w:eastAsia="仿宋" w:hAnsi="仿宋" w:hint="eastAsia"/>
          <w:b/>
          <w:color w:val="000000"/>
          <w:sz w:val="32"/>
          <w:szCs w:val="32"/>
        </w:rPr>
        <w:t>（二）政府采购支出情况</w:t>
      </w:r>
      <w:bookmarkEnd w:id="50"/>
    </w:p>
    <w:p w:rsidR="000B0CA0" w:rsidRDefault="00214AE8">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Pr>
          <w:rFonts w:ascii="仿宋" w:eastAsia="仿宋" w:hAnsi="仿宋" w:hint="eastAsia"/>
          <w:color w:val="000000"/>
          <w:sz w:val="32"/>
          <w:szCs w:val="32"/>
        </w:rPr>
        <w:t>2018年度，黄钵乡人民政府政府采购支出总额20.29万元。</w:t>
      </w:r>
    </w:p>
    <w:p w:rsidR="000B0CA0" w:rsidRDefault="00214AE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4"/>
      <w:r>
        <w:rPr>
          <w:rFonts w:ascii="仿宋" w:eastAsia="仿宋" w:hAnsi="仿宋" w:hint="eastAsia"/>
          <w:b/>
          <w:color w:val="000000"/>
          <w:sz w:val="32"/>
          <w:szCs w:val="32"/>
        </w:rPr>
        <w:t>（三）国有资产占有使用情况</w:t>
      </w:r>
      <w:bookmarkEnd w:id="51"/>
    </w:p>
    <w:p w:rsidR="000B0CA0" w:rsidRDefault="00214AE8">
      <w:pPr>
        <w:autoSpaceDE w:val="0"/>
        <w:autoSpaceDN w:val="0"/>
        <w:adjustRightInd w:val="0"/>
        <w:spacing w:line="600" w:lineRule="exact"/>
        <w:ind w:firstLineChars="200" w:firstLine="640"/>
        <w:jc w:val="left"/>
        <w:rPr>
          <w:rFonts w:ascii="仿宋_GB2312" w:eastAsia="仿宋_GB2312"/>
          <w:color w:val="000000"/>
          <w:sz w:val="28"/>
          <w:szCs w:val="28"/>
        </w:rPr>
      </w:pPr>
      <w:r>
        <w:rPr>
          <w:rFonts w:ascii="仿宋" w:eastAsia="仿宋" w:hAnsi="仿宋" w:hint="eastAsia"/>
          <w:color w:val="000000"/>
          <w:sz w:val="32"/>
          <w:szCs w:val="32"/>
        </w:rPr>
        <w:t>截至2018年12月31日，黄钵乡人民政府公有车辆2辆，其中：一般公务用车1辆、农业用车1辆（不在编）；无单价50万元以上通用设备，无单价100万元以上专用设备</w:t>
      </w:r>
      <w:r>
        <w:rPr>
          <w:rFonts w:ascii="仿宋_GB2312" w:eastAsia="仿宋_GB2312" w:hint="eastAsia"/>
          <w:color w:val="000000"/>
          <w:sz w:val="28"/>
          <w:szCs w:val="28"/>
        </w:rPr>
        <w:t>。</w:t>
      </w:r>
    </w:p>
    <w:p w:rsidR="000B0CA0" w:rsidRDefault="000B0CA0">
      <w:pPr>
        <w:spacing w:line="600" w:lineRule="atLeast"/>
        <w:ind w:firstLineChars="200" w:firstLine="643"/>
        <w:rPr>
          <w:rFonts w:ascii="仿宋_GB2312" w:eastAsia="仿宋_GB2312"/>
          <w:b/>
          <w:color w:val="000000"/>
          <w:sz w:val="32"/>
          <w:szCs w:val="32"/>
        </w:rPr>
      </w:pPr>
    </w:p>
    <w:p w:rsidR="000B0CA0" w:rsidRDefault="00214AE8">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B0CA0" w:rsidRDefault="00214AE8">
      <w:pPr>
        <w:numPr>
          <w:ilvl w:val="0"/>
          <w:numId w:val="5"/>
        </w:numPr>
        <w:spacing w:line="600" w:lineRule="exact"/>
        <w:ind w:firstLineChars="150" w:firstLine="663"/>
        <w:jc w:val="center"/>
        <w:outlineLvl w:val="0"/>
        <w:rPr>
          <w:rStyle w:val="1Char"/>
          <w:rFonts w:ascii="黑体" w:eastAsia="黑体" w:hAnsi="黑体"/>
          <w:b w:val="0"/>
        </w:rPr>
      </w:pPr>
      <w:bookmarkStart w:id="52" w:name="_Toc15396613"/>
      <w:bookmarkStart w:id="53"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2"/>
      <w:bookmarkEnd w:id="53"/>
    </w:p>
    <w:p w:rsidR="000B0CA0" w:rsidRDefault="000B0CA0">
      <w:pPr>
        <w:spacing w:line="600" w:lineRule="exact"/>
        <w:jc w:val="left"/>
        <w:rPr>
          <w:rFonts w:ascii="宋体"/>
          <w:b/>
          <w:color w:val="000000"/>
          <w:sz w:val="44"/>
          <w:szCs w:val="44"/>
        </w:rPr>
      </w:pPr>
    </w:p>
    <w:p w:rsidR="000B0CA0" w:rsidRDefault="00214AE8">
      <w:pPr>
        <w:pStyle w:val="Default"/>
        <w:spacing w:line="560" w:lineRule="exact"/>
        <w:ind w:firstLineChars="200" w:firstLine="640"/>
        <w:rPr>
          <w:rFonts w:hAnsi="仿宋"/>
          <w:sz w:val="32"/>
          <w:szCs w:val="32"/>
        </w:rPr>
      </w:pPr>
      <w:bookmarkStart w:id="54" w:name="_Toc15377226"/>
      <w:r>
        <w:rPr>
          <w:rFonts w:hAnsi="仿宋" w:hint="eastAsia"/>
          <w:sz w:val="32"/>
          <w:szCs w:val="32"/>
        </w:rPr>
        <w:t xml:space="preserve">1.财政拨款收入：指县级财政当年拨付的资金。 </w:t>
      </w:r>
    </w:p>
    <w:p w:rsidR="000B0CA0" w:rsidRDefault="00214AE8">
      <w:pPr>
        <w:spacing w:line="600" w:lineRule="exact"/>
        <w:ind w:firstLineChars="196" w:firstLine="627"/>
        <w:rPr>
          <w:rFonts w:ascii="仿宋" w:eastAsia="仿宋" w:hAnsi="仿宋"/>
          <w:color w:val="000000"/>
          <w:sz w:val="32"/>
          <w:szCs w:val="32"/>
        </w:rPr>
      </w:pPr>
      <w:r>
        <w:rPr>
          <w:rFonts w:ascii="仿宋" w:eastAsia="仿宋" w:hAnsi="仿宋" w:hint="eastAsia"/>
          <w:color w:val="000000"/>
          <w:sz w:val="32"/>
          <w:szCs w:val="32"/>
        </w:rPr>
        <w:t>2.</w:t>
      </w:r>
      <w:r>
        <w:rPr>
          <w:rStyle w:val="a7"/>
          <w:rFonts w:ascii="仿宋" w:eastAsia="仿宋" w:hAnsi="仿宋" w:hint="eastAsia"/>
          <w:b w:val="0"/>
          <w:color w:val="000000"/>
          <w:sz w:val="32"/>
          <w:szCs w:val="32"/>
        </w:rPr>
        <w:t>一般公共服务（类）人大事务（款）行政运行（项）</w:t>
      </w:r>
      <w:r>
        <w:rPr>
          <w:rFonts w:ascii="仿宋" w:eastAsia="仿宋" w:hAnsi="仿宋" w:hint="eastAsia"/>
          <w:color w:val="000000"/>
          <w:sz w:val="32"/>
          <w:szCs w:val="32"/>
        </w:rPr>
        <w:t>指</w:t>
      </w:r>
      <w:r>
        <w:rPr>
          <w:rFonts w:ascii="仿宋" w:eastAsia="仿宋" w:hAnsi="仿宋" w:cs="宋体" w:hint="eastAsia"/>
          <w:color w:val="000000"/>
          <w:sz w:val="32"/>
          <w:szCs w:val="32"/>
        </w:rPr>
        <w:t>用于</w:t>
      </w:r>
      <w:r>
        <w:rPr>
          <w:rFonts w:ascii="仿宋" w:eastAsia="仿宋" w:hAnsi="仿宋" w:hint="eastAsia"/>
          <w:color w:val="000000"/>
          <w:sz w:val="32"/>
          <w:szCs w:val="32"/>
        </w:rPr>
        <w:t>人大机关保障正常运转的基本支出。</w:t>
      </w:r>
    </w:p>
    <w:p w:rsidR="000B0CA0" w:rsidRDefault="00214AE8">
      <w:pPr>
        <w:spacing w:line="600" w:lineRule="exact"/>
        <w:ind w:firstLineChars="196" w:firstLine="627"/>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b/>
          <w:color w:val="000000"/>
          <w:sz w:val="32"/>
          <w:szCs w:val="32"/>
        </w:rPr>
        <w:t>.</w:t>
      </w:r>
      <w:r>
        <w:rPr>
          <w:rStyle w:val="a7"/>
          <w:rFonts w:ascii="仿宋" w:eastAsia="仿宋" w:hAnsi="仿宋" w:hint="eastAsia"/>
          <w:b w:val="0"/>
          <w:color w:val="000000"/>
          <w:sz w:val="32"/>
          <w:szCs w:val="32"/>
        </w:rPr>
        <w:t>一般公共服务（类）政府办公厅（室）及相关机构事务（款）行政运行（项）</w:t>
      </w:r>
      <w:r>
        <w:rPr>
          <w:rFonts w:ascii="仿宋" w:eastAsia="仿宋" w:hAnsi="仿宋" w:hint="eastAsia"/>
          <w:color w:val="000000"/>
          <w:sz w:val="32"/>
          <w:szCs w:val="32"/>
        </w:rPr>
        <w:t>指</w:t>
      </w:r>
      <w:r>
        <w:rPr>
          <w:rFonts w:ascii="仿宋" w:eastAsia="仿宋" w:hAnsi="仿宋" w:cs="宋体" w:hint="eastAsia"/>
          <w:color w:val="000000"/>
          <w:sz w:val="32"/>
          <w:szCs w:val="32"/>
        </w:rPr>
        <w:t>用于</w:t>
      </w:r>
      <w:r>
        <w:rPr>
          <w:rFonts w:ascii="仿宋" w:eastAsia="仿宋" w:hAnsi="仿宋" w:hint="eastAsia"/>
          <w:color w:val="000000"/>
          <w:sz w:val="32"/>
          <w:szCs w:val="32"/>
        </w:rPr>
        <w:t>政府机关保障正常运转的基本支出。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4.</w:t>
      </w:r>
      <w:r>
        <w:rPr>
          <w:rStyle w:val="a7"/>
          <w:rFonts w:ascii="仿宋" w:eastAsia="仿宋" w:hAnsi="仿宋" w:hint="eastAsia"/>
          <w:b w:val="0"/>
          <w:color w:val="000000"/>
          <w:sz w:val="32"/>
          <w:szCs w:val="32"/>
        </w:rPr>
        <w:t xml:space="preserve"> 一般公共服务（类）财政事务（款）行政运行（项）</w:t>
      </w:r>
      <w:r>
        <w:rPr>
          <w:rFonts w:ascii="仿宋" w:eastAsia="仿宋" w:hAnsi="仿宋" w:hint="eastAsia"/>
          <w:color w:val="000000"/>
          <w:sz w:val="32"/>
          <w:szCs w:val="32"/>
        </w:rPr>
        <w:t>指</w:t>
      </w:r>
      <w:r>
        <w:rPr>
          <w:rFonts w:ascii="仿宋" w:eastAsia="仿宋" w:hAnsi="仿宋" w:cs="宋体" w:hint="eastAsia"/>
          <w:color w:val="000000"/>
          <w:sz w:val="32"/>
          <w:szCs w:val="32"/>
        </w:rPr>
        <w:t>用于</w:t>
      </w:r>
      <w:r>
        <w:rPr>
          <w:rFonts w:ascii="仿宋" w:eastAsia="仿宋" w:hAnsi="仿宋" w:hint="eastAsia"/>
          <w:color w:val="000000"/>
          <w:sz w:val="32"/>
          <w:szCs w:val="32"/>
        </w:rPr>
        <w:t>财政机关保障正常运转的基本支出。</w:t>
      </w:r>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Style w:val="a7"/>
          <w:rFonts w:ascii="仿宋" w:eastAsia="仿宋" w:hAnsi="仿宋" w:hint="eastAsia"/>
          <w:b w:val="0"/>
          <w:color w:val="000000"/>
          <w:sz w:val="32"/>
          <w:szCs w:val="32"/>
        </w:rPr>
        <w:t xml:space="preserve"> 一般公共服务（类）党委办公厅（室）及相关机构事务（款）行政运行（项）</w:t>
      </w:r>
      <w:r>
        <w:rPr>
          <w:rFonts w:ascii="仿宋" w:eastAsia="仿宋" w:hAnsi="仿宋" w:hint="eastAsia"/>
          <w:color w:val="000000"/>
          <w:sz w:val="32"/>
          <w:szCs w:val="32"/>
        </w:rPr>
        <w:t>指</w:t>
      </w:r>
      <w:r>
        <w:rPr>
          <w:rFonts w:ascii="仿宋" w:eastAsia="仿宋" w:hAnsi="仿宋" w:cs="宋体" w:hint="eastAsia"/>
          <w:color w:val="000000"/>
          <w:sz w:val="32"/>
          <w:szCs w:val="32"/>
        </w:rPr>
        <w:t>用于</w:t>
      </w:r>
      <w:r>
        <w:rPr>
          <w:rFonts w:ascii="仿宋" w:eastAsia="仿宋" w:hAnsi="仿宋" w:hint="eastAsia"/>
          <w:color w:val="000000"/>
          <w:sz w:val="32"/>
          <w:szCs w:val="32"/>
        </w:rPr>
        <w:t xml:space="preserve">共产党机关保障正常运转的基本支出。 </w:t>
      </w:r>
    </w:p>
    <w:p w:rsidR="000B0CA0" w:rsidRDefault="00214AE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Style w:val="a7"/>
          <w:rFonts w:ascii="仿宋" w:eastAsia="仿宋" w:hAnsi="仿宋" w:hint="eastAsia"/>
          <w:b w:val="0"/>
          <w:color w:val="000000"/>
          <w:sz w:val="32"/>
          <w:szCs w:val="32"/>
        </w:rPr>
        <w:t>文化体育与传媒支出（类）其他文化体育与传媒支出（款）其他文化体育与传媒支出（项）指用于其他文化体育与传媒方面的支出。</w:t>
      </w:r>
    </w:p>
    <w:p w:rsidR="000B0CA0" w:rsidRDefault="00214AE8">
      <w:pPr>
        <w:spacing w:line="600" w:lineRule="exact"/>
        <w:ind w:firstLineChars="200" w:firstLine="640"/>
        <w:rPr>
          <w:rFonts w:ascii="仿宋" w:eastAsia="仿宋" w:hAnsi="仿宋"/>
          <w:color w:val="000000"/>
          <w:sz w:val="32"/>
          <w:szCs w:val="32"/>
        </w:rPr>
      </w:pPr>
      <w:r>
        <w:rPr>
          <w:rStyle w:val="a7"/>
          <w:rFonts w:ascii="仿宋" w:eastAsia="仿宋" w:hAnsi="仿宋" w:hint="eastAsia"/>
          <w:b w:val="0"/>
          <w:color w:val="000000"/>
          <w:sz w:val="32"/>
          <w:szCs w:val="32"/>
        </w:rPr>
        <w:t>7.社会保障和就业（类）民政管理事务（款）老龄事务（项）指用于高龄老人的补助支出。</w:t>
      </w:r>
    </w:p>
    <w:p w:rsidR="000B0CA0" w:rsidRDefault="00214AE8">
      <w:pPr>
        <w:spacing w:line="600" w:lineRule="exact"/>
        <w:ind w:firstLine="540"/>
        <w:rPr>
          <w:rFonts w:ascii="仿宋" w:eastAsia="仿宋" w:hAnsi="仿宋"/>
          <w:color w:val="000000"/>
          <w:sz w:val="32"/>
          <w:szCs w:val="32"/>
        </w:rPr>
      </w:pPr>
      <w:r>
        <w:rPr>
          <w:rFonts w:ascii="仿宋" w:eastAsia="仿宋" w:hAnsi="仿宋" w:hint="eastAsia"/>
          <w:b/>
          <w:color w:val="000000"/>
          <w:sz w:val="32"/>
          <w:szCs w:val="32"/>
        </w:rPr>
        <w:t>8.</w:t>
      </w:r>
      <w:r>
        <w:rPr>
          <w:rStyle w:val="a7"/>
          <w:rFonts w:ascii="仿宋" w:eastAsia="仿宋" w:hAnsi="仿宋" w:hint="eastAsia"/>
          <w:b w:val="0"/>
          <w:color w:val="000000"/>
          <w:sz w:val="32"/>
          <w:szCs w:val="32"/>
        </w:rPr>
        <w:t xml:space="preserve"> 社会保障和就业（类）行政事业单位离退休（款）机关事业单位基本养老保险缴费支出（项）指用于养老保险由单位缴纳的基本养老保险费支出。</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9.</w:t>
      </w:r>
      <w:r>
        <w:rPr>
          <w:rStyle w:val="a7"/>
          <w:rFonts w:ascii="仿宋" w:eastAsia="仿宋" w:hAnsi="仿宋" w:hint="eastAsia"/>
          <w:b w:val="0"/>
          <w:color w:val="000000"/>
          <w:sz w:val="32"/>
          <w:szCs w:val="32"/>
        </w:rPr>
        <w:t xml:space="preserve"> 社会保障和就业（类）抚恤（款）义务兵优待（项）指用于义务兵优待方面的支出</w:t>
      </w:r>
      <w:r>
        <w:rPr>
          <w:rFonts w:ascii="仿宋" w:eastAsia="仿宋" w:hAnsi="仿宋" w:hint="eastAsia"/>
          <w:color w:val="000000"/>
          <w:sz w:val="32"/>
          <w:szCs w:val="32"/>
        </w:rPr>
        <w:t>。</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lastRenderedPageBreak/>
        <w:t>10.</w:t>
      </w:r>
      <w:r>
        <w:rPr>
          <w:rStyle w:val="a7"/>
          <w:rFonts w:ascii="仿宋" w:eastAsia="仿宋" w:hAnsi="仿宋" w:hint="eastAsia"/>
          <w:b w:val="0"/>
          <w:color w:val="000000"/>
          <w:sz w:val="32"/>
          <w:szCs w:val="32"/>
        </w:rPr>
        <w:t xml:space="preserve"> 社会保障和就业（类）社会福利（款）其他社会福利支出支出（项）</w:t>
      </w:r>
      <w:r>
        <w:rPr>
          <w:rFonts w:ascii="仿宋" w:eastAsia="仿宋" w:hAnsi="仿宋" w:hint="eastAsia"/>
          <w:color w:val="000000"/>
          <w:sz w:val="32"/>
          <w:szCs w:val="32"/>
        </w:rPr>
        <w:t>指用于居家养老服务人员补助。</w:t>
      </w:r>
    </w:p>
    <w:p w:rsidR="000B0CA0" w:rsidRDefault="00214AE8">
      <w:pPr>
        <w:spacing w:line="600" w:lineRule="exact"/>
        <w:ind w:firstLine="690"/>
        <w:rPr>
          <w:rFonts w:ascii="仿宋" w:eastAsia="仿宋" w:hAnsi="仿宋"/>
          <w:color w:val="000000"/>
          <w:sz w:val="32"/>
          <w:szCs w:val="32"/>
        </w:rPr>
      </w:pPr>
      <w:r>
        <w:rPr>
          <w:rFonts w:ascii="仿宋" w:eastAsia="仿宋" w:hAnsi="仿宋" w:hint="eastAsia"/>
          <w:b/>
          <w:color w:val="000000"/>
          <w:sz w:val="32"/>
          <w:szCs w:val="32"/>
        </w:rPr>
        <w:t>11.</w:t>
      </w:r>
      <w:r>
        <w:rPr>
          <w:rStyle w:val="a7"/>
          <w:rFonts w:ascii="仿宋" w:eastAsia="仿宋" w:hAnsi="仿宋" w:hint="eastAsia"/>
          <w:b w:val="0"/>
          <w:color w:val="000000"/>
          <w:sz w:val="32"/>
          <w:szCs w:val="32"/>
        </w:rPr>
        <w:t xml:space="preserve"> 社会保障和就业（类）特困人员供养（款）农村五保供养支出（项）指用于农村特困人员救助供养支出</w:t>
      </w:r>
      <w:r>
        <w:rPr>
          <w:rFonts w:ascii="仿宋" w:eastAsia="仿宋" w:hAnsi="仿宋" w:hint="eastAsia"/>
          <w:color w:val="000000"/>
          <w:sz w:val="32"/>
          <w:szCs w:val="32"/>
        </w:rPr>
        <w:t>。</w:t>
      </w:r>
    </w:p>
    <w:p w:rsidR="000B0CA0" w:rsidRDefault="00214AE8">
      <w:pPr>
        <w:spacing w:line="600" w:lineRule="exact"/>
        <w:ind w:firstLine="645"/>
        <w:rPr>
          <w:rFonts w:ascii="仿宋" w:eastAsia="仿宋" w:hAnsi="仿宋"/>
          <w:color w:val="000000"/>
          <w:sz w:val="32"/>
          <w:szCs w:val="32"/>
        </w:rPr>
      </w:pPr>
      <w:r>
        <w:rPr>
          <w:rStyle w:val="a7"/>
          <w:rFonts w:ascii="仿宋" w:eastAsia="仿宋" w:hAnsi="仿宋" w:hint="eastAsia"/>
          <w:b w:val="0"/>
          <w:color w:val="000000"/>
          <w:sz w:val="32"/>
          <w:szCs w:val="32"/>
        </w:rPr>
        <w:t>12.医疗卫生与计划生育（类）计划生育事务（款）计划生育机构（项）指其他用于计划生育管理事务方面的支出</w:t>
      </w:r>
      <w:r>
        <w:rPr>
          <w:rFonts w:ascii="仿宋" w:eastAsia="仿宋" w:hAnsi="仿宋" w:hint="eastAsia"/>
          <w:color w:val="000000"/>
          <w:sz w:val="32"/>
          <w:szCs w:val="32"/>
        </w:rPr>
        <w:t>。</w:t>
      </w:r>
    </w:p>
    <w:p w:rsidR="000B0CA0" w:rsidRDefault="00214AE8">
      <w:pPr>
        <w:spacing w:line="600" w:lineRule="exact"/>
        <w:ind w:firstLine="645"/>
        <w:rPr>
          <w:rFonts w:ascii="仿宋" w:eastAsia="仿宋" w:hAnsi="仿宋"/>
          <w:color w:val="000000"/>
          <w:sz w:val="32"/>
          <w:szCs w:val="32"/>
        </w:rPr>
      </w:pPr>
      <w:r>
        <w:rPr>
          <w:rStyle w:val="a7"/>
          <w:rFonts w:ascii="仿宋" w:eastAsia="仿宋" w:hAnsi="仿宋" w:hint="eastAsia"/>
          <w:b w:val="0"/>
          <w:color w:val="000000"/>
          <w:sz w:val="32"/>
          <w:szCs w:val="32"/>
        </w:rPr>
        <w:t>13.医疗卫生与计划生育（类）医疗保障（款）行政单位医疗（项）指用于行政单位基本医疗保险缴费支出</w:t>
      </w:r>
      <w:r>
        <w:rPr>
          <w:rFonts w:ascii="仿宋" w:eastAsia="仿宋" w:hAnsi="仿宋" w:hint="eastAsia"/>
          <w:color w:val="000000"/>
          <w:sz w:val="32"/>
          <w:szCs w:val="32"/>
        </w:rPr>
        <w:t>。</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14．</w:t>
      </w:r>
      <w:r>
        <w:rPr>
          <w:rStyle w:val="a7"/>
          <w:rFonts w:ascii="仿宋" w:eastAsia="仿宋" w:hAnsi="仿宋" w:hint="eastAsia"/>
          <w:b w:val="0"/>
          <w:color w:val="000000"/>
          <w:sz w:val="32"/>
          <w:szCs w:val="32"/>
        </w:rPr>
        <w:t>节能环保（类）污染防治（款）水体（项）指用于水污染防治方面的支出。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15. 城乡社区支出（类）城乡社区管理事务（款）行政运行（项）指用于城乡社区管理事务的基本支出。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16. 农林水支出（类）农业（款）农业生产支持补贴（项）指用于耕地地力保护补贴支出。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17. 农林水支出（类）农村综合改革（款）对村民委员会和村党支部的补助（项）指对村（社区）民委员会和村（社区）党支部的补助支出。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18. 农林水支出（类）农村综合改革（款）对村级一事一议的补助（项）指对村级公益性事业建设一事一议的补助支出。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19. 农林水支出（类）农业（款）行政运行（项）指用于农业单位的基本支出。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 农林水支出（类）农业（款）防灾救灾（项）指对</w:t>
      </w:r>
      <w:r>
        <w:rPr>
          <w:rFonts w:ascii="仿宋" w:eastAsia="仿宋" w:hAnsi="仿宋" w:hint="eastAsia"/>
          <w:color w:val="000000"/>
          <w:sz w:val="32"/>
          <w:szCs w:val="32"/>
        </w:rPr>
        <w:lastRenderedPageBreak/>
        <w:t>农业受灾情况的补助。</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21. 农林水支出（类）农业（款）其他农业支出（项）指用于其他农业方面的支出。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22. 农林水支出（类）林业（款）行政运行（项）指用于林业单位的基本支出。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23. 农林水支出（类）水利（款）行政运行（项）反映行政单位的基本支出。</w:t>
      </w:r>
    </w:p>
    <w:p w:rsidR="000B0CA0" w:rsidRDefault="00214AE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24. 住房保障支出（类）住房改革支出（款）住房公积金（项）反映行政事业单位用财政资金和其他资金安排的住房改革支出。</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25.结余分配：指事业单位按规定提取的职工福利基金、事业基金和缴纳的所得税，以及建设单位按规定应交回的基本建设竣工项目结余资金。</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26.年末结转和结余：指本年度或以前年度预算安排、因客观条件发生变化无法按原计划实施，需延迟到以后年度按有关规定继续使用的资金。</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27.基本支出：指为保障机构正常运转、完成日常工作任务而发生的人员支出和公用支出。</w:t>
      </w:r>
    </w:p>
    <w:p w:rsidR="000B0CA0" w:rsidRDefault="00214AE8">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28.项目支出：指在基本支出之外为完成特定行政任务和事业发展目标所发生的支出。 </w:t>
      </w:r>
    </w:p>
    <w:p w:rsidR="000B0CA0" w:rsidRDefault="00214AE8">
      <w:pPr>
        <w:pStyle w:val="Default"/>
        <w:spacing w:line="560" w:lineRule="exact"/>
        <w:ind w:firstLineChars="200" w:firstLine="640"/>
        <w:rPr>
          <w:rFonts w:hAnsi="仿宋"/>
          <w:sz w:val="32"/>
          <w:szCs w:val="32"/>
        </w:rPr>
      </w:pPr>
      <w:r>
        <w:rPr>
          <w:rFonts w:hAnsi="仿宋" w:hint="eastAsia"/>
          <w:sz w:val="32"/>
          <w:szCs w:val="32"/>
        </w:rPr>
        <w:t>29.“三公”经费：纳入县级财政预决算管理的“三公”经费，是指部门用财政拨款安排的因公出国（境）费、公务用车购置及运行费和公务接待费。其中，因公出国（境）费</w:t>
      </w:r>
      <w:r>
        <w:rPr>
          <w:rFonts w:hAnsi="仿宋" w:hint="eastAsia"/>
          <w:sz w:val="32"/>
          <w:szCs w:val="32"/>
        </w:rPr>
        <w:lastRenderedPageBreak/>
        <w:t>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B0CA0" w:rsidRDefault="00214AE8">
      <w:pPr>
        <w:pStyle w:val="Default"/>
        <w:spacing w:line="560" w:lineRule="exact"/>
        <w:ind w:firstLineChars="200" w:firstLine="640"/>
        <w:rPr>
          <w:rFonts w:hAnsi="仿宋"/>
          <w:sz w:val="32"/>
          <w:szCs w:val="32"/>
        </w:rPr>
      </w:pPr>
      <w:r>
        <w:rPr>
          <w:rFonts w:hAnsi="仿宋" w:hint="eastAsia"/>
          <w:sz w:val="32"/>
          <w:szCs w:val="32"/>
        </w:rPr>
        <w:t>30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B0CA0" w:rsidRDefault="00214AE8">
      <w:pPr>
        <w:spacing w:line="600" w:lineRule="exact"/>
        <w:jc w:val="center"/>
        <w:outlineLvl w:val="0"/>
        <w:rPr>
          <w:rStyle w:val="1Char"/>
          <w:rFonts w:ascii="黑体" w:eastAsia="黑体" w:hAnsi="黑体"/>
          <w:b w:val="0"/>
        </w:rPr>
      </w:pPr>
      <w:r>
        <w:rPr>
          <w:rFonts w:ascii="仿宋" w:eastAsia="仿宋" w:hAnsi="仿宋"/>
          <w:b/>
          <w:color w:val="000000"/>
          <w:sz w:val="32"/>
          <w:szCs w:val="32"/>
        </w:rPr>
        <w:br w:type="page"/>
      </w:r>
      <w:bookmarkStart w:id="55"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5"/>
    </w:p>
    <w:p w:rsidR="000B0CA0" w:rsidRDefault="000B0CA0">
      <w:pPr>
        <w:spacing w:line="600" w:lineRule="exact"/>
        <w:jc w:val="center"/>
        <w:outlineLvl w:val="0"/>
        <w:rPr>
          <w:rStyle w:val="1Char"/>
        </w:rPr>
      </w:pPr>
    </w:p>
    <w:p w:rsidR="000B0CA0" w:rsidRDefault="00214AE8">
      <w:pPr>
        <w:pStyle w:val="2"/>
        <w:rPr>
          <w:rStyle w:val="1Char"/>
          <w:rFonts w:ascii="仿宋" w:eastAsia="仿宋" w:hAnsi="仿宋"/>
          <w:sz w:val="32"/>
          <w:szCs w:val="32"/>
        </w:rPr>
      </w:pPr>
      <w:bookmarkStart w:id="56" w:name="_Toc15396615"/>
      <w:r>
        <w:rPr>
          <w:rStyle w:val="1Char"/>
          <w:rFonts w:ascii="仿宋" w:eastAsia="仿宋" w:hAnsi="仿宋" w:hint="eastAsia"/>
          <w:sz w:val="32"/>
          <w:szCs w:val="32"/>
        </w:rPr>
        <w:t>附件1</w:t>
      </w:r>
      <w:bookmarkEnd w:id="56"/>
    </w:p>
    <w:p w:rsidR="000B0CA0" w:rsidRDefault="00214AE8">
      <w:pPr>
        <w:spacing w:line="600" w:lineRule="exact"/>
        <w:jc w:val="center"/>
        <w:outlineLvl w:val="0"/>
        <w:rPr>
          <w:rFonts w:ascii="黑体" w:eastAsia="黑体" w:hAnsi="黑体" w:cs="方正小标宋简体"/>
          <w:sz w:val="36"/>
          <w:szCs w:val="36"/>
        </w:rPr>
      </w:pPr>
      <w:bookmarkStart w:id="57" w:name="_Toc15396616"/>
      <w:r>
        <w:rPr>
          <w:rFonts w:ascii="黑体" w:eastAsia="黑体" w:hAnsi="黑体" w:cs="方正小标宋简体" w:hint="eastAsia"/>
          <w:sz w:val="36"/>
          <w:szCs w:val="36"/>
        </w:rPr>
        <w:t>黄钵乡2018年部门整体支出</w:t>
      </w:r>
    </w:p>
    <w:p w:rsidR="000B0CA0" w:rsidRPr="00541E42" w:rsidRDefault="00214AE8" w:rsidP="00541E42">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绩效评价报告</w:t>
      </w:r>
      <w:bookmarkEnd w:id="57"/>
    </w:p>
    <w:p w:rsidR="000B0CA0" w:rsidRDefault="00214AE8">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（一）机构组成</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行政机构1个（黄钵乡人民政府机关），事业机构3个（分别是黄钵乡农业技术服务中心、黄钵乡社会事务服务中心、黄钵乡兽医站）属财政补助拨款。</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（二）机构职能。</w:t>
      </w:r>
    </w:p>
    <w:p w:rsidR="000B0CA0" w:rsidRDefault="00214AE8">
      <w:pPr>
        <w:spacing w:line="600" w:lineRule="exact"/>
        <w:ind w:firstLineChars="200" w:firstLine="640"/>
        <w:rPr>
          <w:rFonts w:ascii="仿宋" w:eastAsia="仿宋" w:hAnsi="仿宋"/>
          <w:sz w:val="32"/>
          <w:szCs w:val="32"/>
        </w:rPr>
      </w:pPr>
      <w:r>
        <w:rPr>
          <w:rFonts w:ascii="仿宋" w:eastAsia="仿宋" w:hAnsi="仿宋" w:hint="eastAsia"/>
          <w:sz w:val="32"/>
          <w:szCs w:val="32"/>
        </w:rPr>
        <w:t>乡党委的主要职责：一是贯彻执行党的路线方针政策和上级党组织及本乡党员代表大会的决议。二是讨论决定本乡经济建设和社会发展中的重大问题。需由乡政权机关或集体经济组织决定的问题，由乡政权机关或集体经济组织依照法律和有关规定作出决定。三是领导乡政权机关和群众组织，支持和保证这些机关的组织依照国家法律法规及各自章程充分行使职权。四是加强乡党委自身建设和以党支部为核心的村级组织建设。五是按照干部管理权限，负责对干部的教育、培养、选拔和监督工作。协助管理上级有关部门驻乡单位的干部。六是领导本乡的社会主义民主法制建设和精神文明建设，做好社会治安综合治理及计划生育工作。七是完成</w:t>
      </w:r>
      <w:r>
        <w:rPr>
          <w:rFonts w:ascii="仿宋" w:eastAsia="仿宋" w:hAnsi="仿宋" w:hint="eastAsia"/>
          <w:sz w:val="32"/>
          <w:szCs w:val="32"/>
        </w:rPr>
        <w:lastRenderedPageBreak/>
        <w:t>县委交办的工作任务。</w:t>
      </w:r>
    </w:p>
    <w:p w:rsidR="000B0CA0" w:rsidRDefault="00214AE8">
      <w:pPr>
        <w:spacing w:line="600" w:lineRule="exact"/>
        <w:ind w:firstLineChars="200" w:firstLine="640"/>
        <w:rPr>
          <w:rFonts w:ascii="仿宋" w:eastAsia="仿宋" w:hAnsi="仿宋"/>
          <w:sz w:val="32"/>
          <w:szCs w:val="32"/>
        </w:rPr>
      </w:pPr>
      <w:r>
        <w:rPr>
          <w:rFonts w:ascii="仿宋" w:eastAsia="仿宋" w:hAnsi="仿宋" w:hint="eastAsia"/>
          <w:sz w:val="32"/>
          <w:szCs w:val="32"/>
        </w:rPr>
        <w:t>乡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要坚持“立党为公，执政为民”，紧紧围绕实现和维护群众利益开展工作，突出解决人民群众最关心、最直接、最现实的利益问题。要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w:t>
      </w:r>
      <w:r>
        <w:rPr>
          <w:rFonts w:ascii="仿宋" w:eastAsia="仿宋" w:hAnsi="仿宋" w:hint="eastAsia"/>
          <w:sz w:val="32"/>
          <w:szCs w:val="32"/>
        </w:rPr>
        <w:lastRenderedPageBreak/>
        <w:t>加强农村基础设施建设，增加公共产品，提供政策、科技、市场信息和社会救济、救助服务，及时向党委、政府反映社情民意，进一步密切党和政府与人民群众的关系。六是完成县政府交办的工作任务。</w:t>
      </w:r>
    </w:p>
    <w:p w:rsidR="000B0CA0" w:rsidRDefault="00214AE8">
      <w:pPr>
        <w:spacing w:line="600" w:lineRule="exact"/>
        <w:ind w:firstLineChars="200" w:firstLine="640"/>
        <w:rPr>
          <w:rFonts w:ascii="仿宋" w:eastAsia="仿宋" w:hAnsi="仿宋"/>
          <w:sz w:val="32"/>
          <w:szCs w:val="32"/>
        </w:rPr>
      </w:pPr>
      <w:r>
        <w:rPr>
          <w:rFonts w:ascii="仿宋" w:eastAsia="仿宋" w:hAnsi="仿宋" w:hint="eastAsia"/>
          <w:sz w:val="32"/>
          <w:szCs w:val="32"/>
        </w:rPr>
        <w:t>乡事业单位承担的公益性职能主要包括：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乡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（三）人员概况。</w:t>
      </w:r>
    </w:p>
    <w:p w:rsidR="000B0CA0" w:rsidRDefault="00214AE8">
      <w:pPr>
        <w:spacing w:line="600" w:lineRule="exact"/>
        <w:ind w:firstLineChars="200" w:firstLine="640"/>
        <w:rPr>
          <w:rFonts w:ascii="仿宋" w:eastAsia="仿宋" w:hAnsi="仿宋"/>
          <w:sz w:val="32"/>
          <w:szCs w:val="32"/>
        </w:rPr>
      </w:pPr>
      <w:r>
        <w:rPr>
          <w:rFonts w:ascii="仿宋" w:eastAsia="仿宋" w:hAnsi="仿宋" w:hint="eastAsia"/>
          <w:sz w:val="32"/>
          <w:szCs w:val="32"/>
        </w:rPr>
        <w:t>黄钵乡行政编制17人、工勤编制2人、事业编制18人，合计37人编制。设党政办公室、财政所（2012年恢复）、农业技术服务中心、社会事务服务中心、兽医站；实有人员行</w:t>
      </w:r>
      <w:r>
        <w:rPr>
          <w:rFonts w:ascii="仿宋" w:eastAsia="仿宋" w:hAnsi="仿宋" w:hint="eastAsia"/>
          <w:sz w:val="32"/>
          <w:szCs w:val="32"/>
        </w:rPr>
        <w:lastRenderedPageBreak/>
        <w:t>政15人、工事业人员17人。</w:t>
      </w:r>
    </w:p>
    <w:p w:rsidR="000B0CA0" w:rsidRDefault="00214AE8">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0B0CA0" w:rsidRDefault="00214A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lang w:val="zh-CN"/>
        </w:rPr>
        <w:t>2018年度全年财政收入10023037.35元，2017年度全年财政收入为6962416.88元，与上年相比增加收入3060620.47元，增加比例为43.96%。</w:t>
      </w:r>
    </w:p>
    <w:p w:rsidR="000B0CA0" w:rsidRDefault="00214AE8">
      <w:pPr>
        <w:widowControl/>
        <w:adjustRightInd w:val="0"/>
        <w:snapToGrid w:val="0"/>
        <w:spacing w:line="540" w:lineRule="exact"/>
        <w:ind w:firstLine="720"/>
        <w:jc w:val="left"/>
        <w:rPr>
          <w:rFonts w:ascii="仿宋" w:eastAsia="仿宋" w:hAnsi="仿宋" w:cs="仿宋_GB2312"/>
          <w:sz w:val="32"/>
          <w:szCs w:val="32"/>
        </w:rPr>
      </w:pPr>
      <w:r>
        <w:rPr>
          <w:rFonts w:ascii="仿宋" w:eastAsia="仿宋" w:hAnsi="仿宋" w:cs="仿宋_GB2312"/>
          <w:sz w:val="32"/>
          <w:szCs w:val="32"/>
        </w:rPr>
        <w:t>（二）部门财政资金支出情况。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2018年全年财政支出10023037.35元，2017年全年财政支出为6962416.88元，与上年相比增加支出3060620.47元，增加比例为43.96%。</w:t>
      </w:r>
    </w:p>
    <w:p w:rsidR="000B0CA0" w:rsidRDefault="00214AE8">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0B0CA0" w:rsidRDefault="00214A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2018年行政运转支出为3699406.65元，2017年行政运转支出为2847958.08元，与上年相比增加支出851448.57元，增加比例为29.9%。</w:t>
      </w:r>
    </w:p>
    <w:p w:rsidR="000B0CA0" w:rsidRDefault="00214AE8">
      <w:pPr>
        <w:spacing w:line="580" w:lineRule="exact"/>
        <w:ind w:firstLineChars="200" w:firstLine="640"/>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我乡严格按照行政运转预算要求保障了机关的正常运转，各预算单位履行职能职责情况总体较好。</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（二）财务管理情况。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1、制度建立情况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lang w:val="zh-CN"/>
        </w:rPr>
        <w:t>我乡按照要求建立</w:t>
      </w:r>
      <w:r>
        <w:rPr>
          <w:rFonts w:ascii="仿宋" w:eastAsia="仿宋" w:hAnsi="仿宋" w:hint="eastAsia"/>
          <w:sz w:val="32"/>
          <w:szCs w:val="32"/>
        </w:rPr>
        <w:t>健全</w:t>
      </w:r>
      <w:r>
        <w:rPr>
          <w:rFonts w:ascii="仿宋" w:eastAsia="仿宋" w:hAnsi="仿宋" w:cs="宋体" w:hint="eastAsia"/>
          <w:color w:val="000000"/>
          <w:kern w:val="0"/>
          <w:sz w:val="32"/>
          <w:szCs w:val="32"/>
          <w:shd w:val="clear" w:color="auto" w:fill="FFFFFF"/>
          <w:lang w:val="zh-CN"/>
        </w:rPr>
        <w:t>了财政所人员岗位制度、</w:t>
      </w:r>
      <w:r>
        <w:rPr>
          <w:rFonts w:ascii="仿宋" w:eastAsia="仿宋" w:hAnsi="仿宋" w:hint="eastAsia"/>
          <w:sz w:val="32"/>
          <w:szCs w:val="32"/>
        </w:rPr>
        <w:t>公务卡报账制度、支农资金管理制度、固定资产管理制度及定期财产清理制度等；完善财政监督管理制度，做到环环有监督、节节操作透明；加大保密制度实施力度，确保财政工作稳定和谐；创新财政信息化管理制度，加大财政信息材料安全性保障。</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lastRenderedPageBreak/>
        <w:t>2、会计核算和账务管理情况</w:t>
      </w:r>
    </w:p>
    <w:p w:rsidR="000B0CA0" w:rsidRDefault="00214AE8">
      <w:pPr>
        <w:spacing w:line="650" w:lineRule="exact"/>
        <w:ind w:firstLineChars="200" w:firstLine="640"/>
        <w:rPr>
          <w:rFonts w:ascii="仿宋" w:eastAsia="仿宋" w:hAnsi="仿宋" w:cs="宋体"/>
          <w:color w:val="000000"/>
          <w:kern w:val="0"/>
          <w:sz w:val="32"/>
          <w:szCs w:val="32"/>
          <w:shd w:val="clear" w:color="auto" w:fill="FFFFFF"/>
        </w:rPr>
      </w:pPr>
      <w:r>
        <w:rPr>
          <w:rFonts w:ascii="仿宋" w:eastAsia="仿宋" w:hAnsi="仿宋" w:hint="eastAsia"/>
          <w:sz w:val="32"/>
          <w:szCs w:val="32"/>
        </w:rPr>
        <w:t>日常账务处理做到及时、准确，日清月结，及时归档；在财政拨款和补贴账务处理上，严格按照规定程序，专款专用；按规定支付“三公经费”；充分利用公务卡改革做好规范账务处理这一文章等。全面按照上级文件、会议要求，规范财政账务处理工作。</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3、政府采购制度执行情况</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我乡所有物资采购及工程实施，都按照政府采购要求进行实施。</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四、评价结论及建议</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（一）评价结论</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我乡在各项经费收付中，严格按照预算要求进行实施，总体情况较好。</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（二）存在问题。</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1、在项目实施中撬动群众筹资筹劳作的还不够好。</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2、在年初预算时，只是对基本运转为民生板块做了保障，对于一些突发性和临时性工作预算做的还不到位。</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（三）改进建议。</w:t>
      </w:r>
    </w:p>
    <w:p w:rsidR="000B0CA0" w:rsidRDefault="00214AE8">
      <w:pPr>
        <w:widowControl/>
        <w:adjustRightInd w:val="0"/>
        <w:snapToGrid w:val="0"/>
        <w:spacing w:line="540" w:lineRule="exact"/>
        <w:ind w:firstLine="720"/>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1、切实做好宣传工作，在项目的实施前要让所涉及群众不光是要知道项目，而是要弄懂项目，参与到项目中来，要让政府做，变为群众做。</w:t>
      </w:r>
    </w:p>
    <w:p w:rsidR="000B0CA0" w:rsidRDefault="00214AE8">
      <w:pPr>
        <w:widowControl/>
        <w:jc w:val="left"/>
        <w:rPr>
          <w:rFonts w:ascii="仿宋_GB2312" w:eastAsia="仿宋_GB2312" w:hAnsi="仿宋_GB2312" w:cs="仿宋_GB2312"/>
          <w:sz w:val="32"/>
          <w:szCs w:val="32"/>
        </w:rPr>
      </w:pPr>
      <w:r>
        <w:rPr>
          <w:rFonts w:ascii="仿宋" w:eastAsia="仿宋" w:hAnsi="仿宋" w:cs="宋体" w:hint="eastAsia"/>
          <w:color w:val="000000"/>
          <w:kern w:val="0"/>
          <w:sz w:val="32"/>
          <w:szCs w:val="32"/>
          <w:shd w:val="clear" w:color="auto" w:fill="FFFFFF"/>
          <w:lang w:val="zh-CN"/>
        </w:rPr>
        <w:t>2、加强各项调研，增强对未发生事项的预见性，使预算做的更细化。</w:t>
      </w:r>
      <w:r>
        <w:rPr>
          <w:rFonts w:ascii="仿宋_GB2312" w:eastAsia="仿宋_GB2312" w:hAnsi="仿宋_GB2312" w:cs="仿宋_GB2312"/>
          <w:sz w:val="32"/>
          <w:szCs w:val="32"/>
        </w:rPr>
        <w:br w:type="page"/>
      </w:r>
    </w:p>
    <w:tbl>
      <w:tblPr>
        <w:tblW w:w="9980" w:type="dxa"/>
        <w:tblInd w:w="83" w:type="dxa"/>
        <w:tblLayout w:type="fixed"/>
        <w:tblLook w:val="04A0"/>
      </w:tblPr>
      <w:tblGrid>
        <w:gridCol w:w="820"/>
        <w:gridCol w:w="960"/>
        <w:gridCol w:w="960"/>
        <w:gridCol w:w="3280"/>
        <w:gridCol w:w="3460"/>
        <w:gridCol w:w="500"/>
      </w:tblGrid>
      <w:tr w:rsidR="000B0CA0">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18"/>
                <w:szCs w:val="18"/>
              </w:rPr>
            </w:pPr>
            <w:r>
              <w:rPr>
                <w:rFonts w:ascii="宋体" w:hAnsi="宋体" w:cs="宋体" w:hint="eastAsia"/>
                <w:b/>
                <w:bCs/>
                <w:kern w:val="0"/>
                <w:sz w:val="18"/>
                <w:szCs w:val="18"/>
              </w:rPr>
              <w:lastRenderedPageBreak/>
              <w:t>一级指标</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0CA0" w:rsidRDefault="00214AE8">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0CA0" w:rsidRDefault="00214AE8">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280" w:type="dxa"/>
            <w:tcBorders>
              <w:top w:val="single" w:sz="4" w:space="0" w:color="auto"/>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18"/>
                <w:szCs w:val="18"/>
              </w:rPr>
            </w:pPr>
            <w:r>
              <w:rPr>
                <w:rFonts w:ascii="宋体" w:hAnsi="宋体" w:cs="宋体" w:hint="eastAsia"/>
                <w:b/>
                <w:bCs/>
                <w:kern w:val="0"/>
                <w:sz w:val="18"/>
                <w:szCs w:val="18"/>
              </w:rPr>
              <w:t>指标解释</w:t>
            </w:r>
          </w:p>
        </w:tc>
        <w:tc>
          <w:tcPr>
            <w:tcW w:w="3460" w:type="dxa"/>
            <w:tcBorders>
              <w:top w:val="single" w:sz="4" w:space="0" w:color="auto"/>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18"/>
                <w:szCs w:val="18"/>
              </w:rPr>
            </w:pPr>
            <w:r>
              <w:rPr>
                <w:rFonts w:ascii="宋体" w:hAnsi="宋体" w:cs="宋体" w:hint="eastAsia"/>
                <w:b/>
                <w:bCs/>
                <w:kern w:val="0"/>
                <w:sz w:val="18"/>
                <w:szCs w:val="18"/>
              </w:rPr>
              <w:t>备 注</w:t>
            </w:r>
          </w:p>
        </w:tc>
        <w:tc>
          <w:tcPr>
            <w:tcW w:w="500" w:type="dxa"/>
            <w:tcBorders>
              <w:top w:val="single" w:sz="4" w:space="0" w:color="auto"/>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自评分</w:t>
            </w:r>
          </w:p>
        </w:tc>
      </w:tr>
      <w:tr w:rsidR="000B0CA0">
        <w:trPr>
          <w:trHeight w:val="810"/>
        </w:trPr>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t>预算编制</w:t>
            </w:r>
            <w:r>
              <w:rPr>
                <w:rFonts w:ascii="宋体" w:hAnsi="宋体" w:cs="宋体" w:hint="eastAsia"/>
                <w:kern w:val="0"/>
                <w:sz w:val="18"/>
                <w:szCs w:val="18"/>
              </w:rPr>
              <w:br/>
              <w:t>（10分）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报送时效（1分）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基础信息更新（1分）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部门是否按照市级部门预算编制通知和有关要求，按时完成基础、项目库报送工作</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超过规定5个工作日内扣0.5分，10个工作日内扣1分，以此类推，直至扣完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78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编制质量（2分）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预算编制准确（1分）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（预算资金总来源-中期评估调整取消资金-预算结余注销资金）÷预算资金总来源×指标分值</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其中：预算资金总来源是指市级年初预算与执行中追加预算（不含当年上级专款）总和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66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部门预算审查（1分）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根据市人大财经工委对预算草案审查结果进行考核</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对预工委审查后提出并确需修改的问题，每个问题扣0.02分，直至扣完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82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绩效目标（5分）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部门整体绩效目标（2分）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部门整体绩效目标编制完整、合理</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部门整体绩效目标能完整、合理反映部门年度职责履行情况的得分，否则不得分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72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重点项目绩效目标（3分）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项目绩效目标编制明确、量化</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项目支出绩效目标编制不明确和量化的发现一个口0.5分，直至扣完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73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转移支付提前下达（1分）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转移支付提前下达（1分）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按规定提前下达转移支付</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未按规定提前下达转移支付的，按比例进行扣分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102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专项转移支付分地区分项目编制（1分）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专项转移支付分地区分项目编制（1分）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按规定分地区分项目编制专项转移支付</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未按规定编制的，按比例进行扣分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720"/>
        </w:trPr>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t>预算执行</w:t>
            </w:r>
            <w:r>
              <w:rPr>
                <w:rFonts w:ascii="宋体" w:hAnsi="宋体" w:cs="宋体" w:hint="eastAsia"/>
                <w:kern w:val="0"/>
                <w:sz w:val="18"/>
                <w:szCs w:val="18"/>
              </w:rPr>
              <w:br/>
              <w:t>（20分）</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执行进度（10分）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省级财力专项预算分配时限（4分）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按规定及时分配省级财力专项预算</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按《预算法》规定时限完成分配的考核得分，否则不得分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57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中央专款分配合规率（3分）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按《预算法》规定在一个月内分配中央专款</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（1-未按规定时间在一个月内分配的中央专款规模÷中央专款总规模）×指标分值</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55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部门预算执行进度（3分）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部门按要求严格预算执行管理</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部门预算实际列支数÷部门预算总额×指标分值</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72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预算调整（4分）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执行中期评估（4分）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部门中期评估调整取消资金÷(中期评估调整取消资金+预算结余注销资金×指标分值</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当中期评估调整取消资金与结余注销资金之和为零时，得满分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51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行政成本（6分）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节能降耗（3分）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严格执行节能降耗</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根据机关事务管理局节能考核换算得分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78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“三公”经费（3分）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严格执行“三公经费”预算</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部门“三公”经费决算数一项超预算扣1分，两项超预算扣2分，以此类推，直至扣完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765"/>
        </w:trPr>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lastRenderedPageBreak/>
              <w:t>综合管理（40分）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债务管理（2分）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债务还本付息（2分）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按规定做好政府性债务还本付息工作</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实际还本付息金额÷应付金额×指标分值</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81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t>非税收入执收情况（4分）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非税收入征收情况（2分）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是否按照规定的项目、标准、征收方式执收非税收入、非税收入项目设立的权限和缓减免的依据，对非税收入进行缓减免</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发现有未按规定的非税收入项目、标准执收非税收入或有违反规定缓减免非税收入的，发现一次扣0.5分，直至扣完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91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非税收入上缴情况（2分）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是否及时足额将非税收入缴入财政</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发现未及时足额将非税收入缴入财政的或则截留、挪用非税收入的，发现一次扣0.5分，直至扣完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105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t>政府采购实施计划（4分）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政府采购实施计划编制（2分）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实施计划与政府采购预算的一致性</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（1-调整或细化资金/政府采购预算资金）×分值</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112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政府采购实施计划执行（2分）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执行的实施计划与备案的实施计划的一致性</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（1-实施计划本案后的调整或细化资金/实施计划备案后的资金）×分值</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102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资产管理（6分）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资产管理信息系统建设情况（2分）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考核部门和单位将国有资产纳入资产信息系统管理情况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①未将所属单位国有资产纳入系统管理，每少一个单位扣1分。②未将资产变动情况及时录入系统，每次扣0.5分。③未落实人员负责管理系统，扣1分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129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行政事业单位资产清查开展情况（2分）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考核行政事业单位按要求及时、准确、全面开展资产清查工作情况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①未在规定时间内完成资产清查任务，扣1分。②资产清查结果与财政组织复核的结果误差超过10%的，扣1分。③未及时更新资产管理信息系统，导致系统资产数据与上报财政的资产清查结果不一致，扣1分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100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行政事业单位资产报表上报情况（2分）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考核行政事业单位上报国有资产报表数据的真实性、准确性、全面性</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①未落实专人负责资产报表，未及时上报资产报表，扣1分。②报表填报不规范，内容不完整，数据不真实，扣1分。③未提交分析报告，对资产变动情况未作分析说明，扣1分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100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内控制度管理（2分）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内部控制制度健全完整（2分）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考核部门内部控制制度的设置和执行情况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内部控制制度健全完整并执行良好的得分，否则不得分。在本年度内因内控制度不健全或执行不到位，造成单位出现廉政风险或发生重大责任事故的不得分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1</w:t>
            </w:r>
          </w:p>
        </w:tc>
      </w:tr>
      <w:tr w:rsidR="000B0CA0">
        <w:trPr>
          <w:trHeight w:val="105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信息公开（6分）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预算公开（2分）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除涉密信息外，各部门要在财政部门批复后二十日内向社会公开本部门预算（含所有财政资金安排的“三公”经费、机关运行经费的安排、使用情况等）</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按市级财政通知要求公开预算，未按要求公开的，发现一处口0.5分，直至扣完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94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决算公开（2分）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除涉密信息外，各部门要在财政部门批复后二十日内向社会公开本部门决算（含所有财政资金安排的“三公”经费、</w:t>
            </w:r>
            <w:r>
              <w:rPr>
                <w:rFonts w:ascii="宋体" w:hAnsi="宋体" w:cs="宋体" w:hint="eastAsia"/>
                <w:kern w:val="0"/>
                <w:sz w:val="18"/>
                <w:szCs w:val="18"/>
              </w:rPr>
              <w:lastRenderedPageBreak/>
              <w:t>机关运行经费的安排、使用情况等）</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lastRenderedPageBreak/>
              <w:t>未按要求公开的，发现一处扣0.5分，直至扣完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79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绩效信息公开（2分）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按要求公开部门整体支出绩效自评报告及其他按要求应公开的绩效信息</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未按要求公开的，发现一处扣0.5分，直至扣完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81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绩效评价（10分）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评价项目覆盖率（2分）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部门实施绩效评价项目数量占部门申报绩效目标项目数量的比重，用以反映和考核部门实施绩效评价项目资金覆盖情况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评价覆盖率=实施绩效评价项目数量/申报绩效目标数量×100%</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54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评价层次（2分）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部门（单位）是否对下级预算单位开展整体绩效评价</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实施评价下级预算单位的得分，否则不得分</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76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评价结果报告（2分）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部门是否按要求向财政部门报告自评报告等相关绩效信息</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未按要求报送的，发现一处扣0.5分，直至扣完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51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整改完成率（4分）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部门是否按要求针对绩效评价发现问题制定整改措施，并整改落实到位</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完成率=应制定整改措施的项目数量/部门实际制定整改措施项目数量×100%</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3</w:t>
            </w:r>
          </w:p>
        </w:tc>
      </w:tr>
      <w:tr w:rsidR="000B0CA0">
        <w:trPr>
          <w:trHeight w:val="96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依法接受财政监督（6分）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是否按要求开展自查自纠（2分）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根据相关自查自纠报告、报表报送时效和质量进行考核</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未在规定时间内报送自查自纠相关材料（包括：纸质和电子版）的，扣0.5分；报告内容不完整，扣1分；报表质量差（如：数据、逻辑、勾稽关系错误）等扣0.5分；直至扣完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85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重点检查发现违规违纪问题（2分）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根据检查组提供的工作底稿、检查报告等资料进行考核</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专项检查发现的违纪违规问题，每个问题扣0.5分，直至扣完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990"/>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存在问题整改是否到位（2分）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根据相关整改报告、凭证依据等相关证明材料进行考核</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未在规定时间内完成整改，并提供相关证明材料的，每个问题扣0.5分，直至扣完</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2</w:t>
            </w:r>
          </w:p>
        </w:tc>
      </w:tr>
      <w:tr w:rsidR="000B0CA0">
        <w:trPr>
          <w:trHeight w:val="780"/>
        </w:trPr>
        <w:tc>
          <w:tcPr>
            <w:tcW w:w="82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t>整体效益（30分）</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部门整体绩效（30分）</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部门职责履行结果（10分）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履行法定职责，完成市委、市政府决策部署和重大工作任务完成情况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根据市政府部门绩效评估结果换算</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7</w:t>
            </w:r>
          </w:p>
        </w:tc>
      </w:tr>
      <w:tr w:rsidR="000B0CA0">
        <w:trPr>
          <w:trHeight w:val="106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重点项目绩效评价结果（10分）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部门实施重大项目的经济、社会效益</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根据市级财政部门组织实施项目绩效评价结果换算</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8</w:t>
            </w:r>
          </w:p>
        </w:tc>
      </w:tr>
      <w:tr w:rsidR="000B0CA0">
        <w:trPr>
          <w:trHeight w:val="1005"/>
        </w:trPr>
        <w:tc>
          <w:tcPr>
            <w:tcW w:w="82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vMerge/>
            <w:tcBorders>
              <w:top w:val="nil"/>
              <w:left w:val="single" w:sz="4" w:space="0" w:color="auto"/>
              <w:bottom w:val="single" w:sz="4" w:space="0" w:color="auto"/>
              <w:right w:val="single" w:sz="4" w:space="0" w:color="auto"/>
            </w:tcBorders>
            <w:vAlign w:val="center"/>
          </w:tcPr>
          <w:p w:rsidR="000B0CA0" w:rsidRDefault="000B0CA0">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服务对象满意度（10分）</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密切联系群众、服务群众情况，办理人大代表建议、政协提案情况，妥善处理群众来信来访、化解社会矛盾情况，加强政风行风建设、解决损害群众利益情况</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根据市政府部门绩效评估结果换算</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8</w:t>
            </w:r>
          </w:p>
        </w:tc>
      </w:tr>
      <w:tr w:rsidR="000B0CA0">
        <w:trPr>
          <w:trHeight w:val="780"/>
        </w:trPr>
        <w:tc>
          <w:tcPr>
            <w:tcW w:w="820" w:type="dxa"/>
            <w:tcBorders>
              <w:top w:val="nil"/>
              <w:left w:val="single" w:sz="4" w:space="0" w:color="auto"/>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kern w:val="0"/>
                <w:sz w:val="18"/>
                <w:szCs w:val="18"/>
              </w:rPr>
            </w:pPr>
            <w:r>
              <w:rPr>
                <w:rFonts w:ascii="宋体" w:hAnsi="宋体" w:cs="宋体" w:hint="eastAsia"/>
                <w:kern w:val="0"/>
                <w:sz w:val="18"/>
                <w:szCs w:val="18"/>
              </w:rPr>
              <w:lastRenderedPageBreak/>
              <w:t>合计</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28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460" w:type="dxa"/>
            <w:tcBorders>
              <w:top w:val="nil"/>
              <w:left w:val="nil"/>
              <w:bottom w:val="single" w:sz="4" w:space="0" w:color="auto"/>
              <w:right w:val="single" w:sz="4" w:space="0" w:color="auto"/>
            </w:tcBorders>
            <w:shd w:val="clear" w:color="auto" w:fill="auto"/>
            <w:vAlign w:val="center"/>
          </w:tcPr>
          <w:p w:rsidR="000B0CA0" w:rsidRDefault="00214AE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4" w:space="0" w:color="auto"/>
              <w:right w:val="single" w:sz="4" w:space="0" w:color="auto"/>
            </w:tcBorders>
            <w:shd w:val="clear" w:color="auto" w:fill="auto"/>
            <w:vAlign w:val="center"/>
          </w:tcPr>
          <w:p w:rsidR="000B0CA0" w:rsidRDefault="00214AE8">
            <w:pPr>
              <w:widowControl/>
              <w:jc w:val="center"/>
              <w:rPr>
                <w:rFonts w:ascii="宋体" w:hAnsi="宋体" w:cs="宋体"/>
                <w:b/>
                <w:bCs/>
                <w:kern w:val="0"/>
                <w:sz w:val="24"/>
              </w:rPr>
            </w:pPr>
            <w:r>
              <w:rPr>
                <w:rFonts w:ascii="宋体" w:hAnsi="宋体" w:cs="宋体" w:hint="eastAsia"/>
                <w:b/>
                <w:bCs/>
                <w:kern w:val="0"/>
                <w:sz w:val="24"/>
              </w:rPr>
              <w:t>85</w:t>
            </w:r>
          </w:p>
        </w:tc>
      </w:tr>
      <w:tr w:rsidR="000B0CA0">
        <w:trPr>
          <w:trHeight w:val="525"/>
        </w:trPr>
        <w:tc>
          <w:tcPr>
            <w:tcW w:w="9480" w:type="dxa"/>
            <w:gridSpan w:val="5"/>
            <w:tcBorders>
              <w:top w:val="nil"/>
              <w:left w:val="nil"/>
              <w:bottom w:val="nil"/>
              <w:right w:val="nil"/>
            </w:tcBorders>
            <w:shd w:val="clear" w:color="auto" w:fill="auto"/>
            <w:vAlign w:val="center"/>
          </w:tcPr>
          <w:p w:rsidR="000B0CA0" w:rsidRDefault="00214AE8">
            <w:pPr>
              <w:widowControl/>
              <w:jc w:val="left"/>
              <w:rPr>
                <w:rFonts w:ascii="宋体" w:hAnsi="宋体" w:cs="宋体"/>
                <w:b/>
                <w:bCs/>
                <w:kern w:val="0"/>
                <w:sz w:val="18"/>
                <w:szCs w:val="18"/>
              </w:rPr>
            </w:pPr>
            <w:r>
              <w:rPr>
                <w:rFonts w:ascii="宋体" w:hAnsi="宋体" w:cs="宋体" w:hint="eastAsia"/>
                <w:b/>
                <w:bCs/>
                <w:kern w:val="0"/>
                <w:sz w:val="18"/>
                <w:szCs w:val="18"/>
              </w:rPr>
              <w:t>注：若某部门不存在某项评价内容或评价指标，则改评价内容或评价指标不计入该部门考核评价范围，即该部门评价总分=不含该评价内容或指标的评价总分/（100-该评价内容或指标所占分值）×100。</w:t>
            </w:r>
          </w:p>
        </w:tc>
        <w:tc>
          <w:tcPr>
            <w:tcW w:w="500" w:type="dxa"/>
            <w:tcBorders>
              <w:top w:val="nil"/>
              <w:left w:val="nil"/>
              <w:bottom w:val="nil"/>
              <w:right w:val="nil"/>
            </w:tcBorders>
            <w:shd w:val="clear" w:color="auto" w:fill="auto"/>
            <w:vAlign w:val="center"/>
          </w:tcPr>
          <w:p w:rsidR="000B0CA0" w:rsidRDefault="000B0CA0">
            <w:pPr>
              <w:widowControl/>
              <w:jc w:val="left"/>
              <w:rPr>
                <w:rFonts w:ascii="宋体" w:hAnsi="宋体" w:cs="宋体"/>
                <w:kern w:val="0"/>
                <w:sz w:val="24"/>
              </w:rPr>
            </w:pPr>
          </w:p>
        </w:tc>
      </w:tr>
    </w:tbl>
    <w:p w:rsidR="000B0CA0" w:rsidRDefault="000B0CA0">
      <w:pPr>
        <w:widowControl/>
        <w:jc w:val="left"/>
        <w:rPr>
          <w:rFonts w:ascii="仿宋_GB2312" w:eastAsia="仿宋_GB2312" w:hAnsi="仿宋_GB2312" w:cs="仿宋_GB2312"/>
          <w:sz w:val="32"/>
          <w:szCs w:val="32"/>
        </w:rPr>
      </w:pPr>
    </w:p>
    <w:p w:rsidR="000B0CA0" w:rsidRDefault="000B0CA0">
      <w:pPr>
        <w:spacing w:line="600" w:lineRule="exact"/>
        <w:jc w:val="center"/>
        <w:outlineLvl w:val="0"/>
        <w:rPr>
          <w:rFonts w:ascii="黑体" w:eastAsia="黑体" w:hAnsi="黑体"/>
          <w:color w:val="000000"/>
          <w:sz w:val="44"/>
          <w:szCs w:val="44"/>
        </w:rPr>
      </w:pPr>
      <w:bookmarkStart w:id="58" w:name="_Toc15396618"/>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0B0CA0">
      <w:pPr>
        <w:spacing w:line="600" w:lineRule="exact"/>
        <w:jc w:val="center"/>
        <w:outlineLvl w:val="0"/>
        <w:rPr>
          <w:rFonts w:ascii="黑体" w:eastAsia="黑体" w:hAnsi="黑体"/>
          <w:color w:val="000000"/>
          <w:sz w:val="44"/>
          <w:szCs w:val="44"/>
        </w:rPr>
      </w:pPr>
    </w:p>
    <w:p w:rsidR="000B0CA0" w:rsidRDefault="00214AE8">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4"/>
      <w:bookmarkEnd w:id="58"/>
    </w:p>
    <w:p w:rsidR="000B0CA0" w:rsidRDefault="000B0CA0">
      <w:pPr>
        <w:spacing w:line="600" w:lineRule="exact"/>
        <w:jc w:val="center"/>
        <w:outlineLvl w:val="0"/>
        <w:rPr>
          <w:rFonts w:ascii="仿宋" w:eastAsia="仿宋" w:hAnsi="仿宋"/>
          <w:b/>
          <w:color w:val="000000"/>
          <w:sz w:val="44"/>
          <w:szCs w:val="44"/>
        </w:rPr>
      </w:pPr>
    </w:p>
    <w:p w:rsidR="000B0CA0" w:rsidRDefault="00214AE8">
      <w:pPr>
        <w:pStyle w:val="2"/>
        <w:rPr>
          <w:rFonts w:ascii="仿宋" w:eastAsia="仿宋" w:hAnsi="仿宋"/>
          <w:color w:val="000000"/>
        </w:rPr>
      </w:pPr>
      <w:bookmarkStart w:id="59" w:name="_Toc15396619"/>
      <w:r>
        <w:rPr>
          <w:rFonts w:ascii="仿宋" w:eastAsia="仿宋" w:hAnsi="仿宋" w:hint="eastAsia"/>
          <w:b w:val="0"/>
          <w:color w:val="000000"/>
        </w:rPr>
        <w:t>一、收</w:t>
      </w:r>
      <w:r>
        <w:rPr>
          <w:rStyle w:val="2Char"/>
          <w:rFonts w:ascii="仿宋" w:eastAsia="仿宋" w:hAnsi="仿宋" w:hint="eastAsia"/>
        </w:rPr>
        <w:t>入支出决算总表</w:t>
      </w:r>
      <w:bookmarkEnd w:id="59"/>
    </w:p>
    <w:p w:rsidR="000B0CA0" w:rsidRDefault="00214AE8">
      <w:pPr>
        <w:pStyle w:val="2"/>
        <w:rPr>
          <w:rFonts w:ascii="仿宋" w:eastAsia="仿宋" w:hAnsi="仿宋"/>
          <w:color w:val="000000"/>
        </w:rPr>
      </w:pPr>
      <w:bookmarkStart w:id="60" w:name="_Toc15396620"/>
      <w:r>
        <w:rPr>
          <w:rFonts w:ascii="仿宋" w:eastAsia="仿宋" w:hAnsi="仿宋" w:hint="eastAsia"/>
          <w:b w:val="0"/>
          <w:color w:val="000000"/>
        </w:rPr>
        <w:t>二、收</w:t>
      </w:r>
      <w:r>
        <w:rPr>
          <w:rStyle w:val="2Char"/>
          <w:rFonts w:ascii="仿宋" w:eastAsia="仿宋" w:hAnsi="仿宋" w:hint="eastAsia"/>
        </w:rPr>
        <w:t>入总表</w:t>
      </w:r>
      <w:bookmarkEnd w:id="60"/>
    </w:p>
    <w:p w:rsidR="000B0CA0" w:rsidRDefault="00214AE8">
      <w:pPr>
        <w:pStyle w:val="2"/>
        <w:rPr>
          <w:rFonts w:ascii="仿宋" w:eastAsia="仿宋" w:hAnsi="仿宋"/>
          <w:color w:val="000000"/>
        </w:rPr>
      </w:pPr>
      <w:bookmarkStart w:id="6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1"/>
    </w:p>
    <w:p w:rsidR="000B0CA0" w:rsidRDefault="00214AE8">
      <w:pPr>
        <w:pStyle w:val="2"/>
        <w:rPr>
          <w:rFonts w:ascii="仿宋" w:eastAsia="仿宋" w:hAnsi="仿宋"/>
          <w:b w:val="0"/>
          <w:color w:val="000000"/>
        </w:rPr>
      </w:pPr>
      <w:bookmarkStart w:id="6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2"/>
    </w:p>
    <w:p w:rsidR="000B0CA0" w:rsidRDefault="00214AE8">
      <w:pPr>
        <w:pStyle w:val="2"/>
        <w:rPr>
          <w:rFonts w:ascii="仿宋" w:eastAsia="仿宋" w:hAnsi="仿宋"/>
          <w:color w:val="000000"/>
        </w:rPr>
      </w:pPr>
      <w:bookmarkStart w:id="6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3"/>
    </w:p>
    <w:p w:rsidR="000B0CA0" w:rsidRDefault="00214AE8">
      <w:pPr>
        <w:pStyle w:val="2"/>
        <w:rPr>
          <w:rFonts w:ascii="仿宋" w:eastAsia="仿宋" w:hAnsi="仿宋"/>
          <w:color w:val="000000"/>
        </w:rPr>
      </w:pPr>
      <w:bookmarkStart w:id="64"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4"/>
    </w:p>
    <w:p w:rsidR="000B0CA0" w:rsidRDefault="00214AE8">
      <w:pPr>
        <w:pStyle w:val="2"/>
        <w:rPr>
          <w:rFonts w:ascii="仿宋" w:eastAsia="仿宋" w:hAnsi="仿宋"/>
          <w:color w:val="000000"/>
        </w:rPr>
      </w:pPr>
      <w:bookmarkStart w:id="6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5"/>
    </w:p>
    <w:p w:rsidR="000B0CA0" w:rsidRDefault="00214AE8">
      <w:pPr>
        <w:pStyle w:val="2"/>
        <w:rPr>
          <w:rFonts w:ascii="仿宋" w:eastAsia="仿宋" w:hAnsi="仿宋"/>
          <w:color w:val="000000"/>
        </w:rPr>
      </w:pPr>
      <w:bookmarkStart w:id="6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6"/>
    </w:p>
    <w:p w:rsidR="000B0CA0" w:rsidRDefault="00214AE8">
      <w:pPr>
        <w:pStyle w:val="2"/>
        <w:rPr>
          <w:rFonts w:ascii="仿宋" w:eastAsia="仿宋" w:hAnsi="仿宋"/>
          <w:color w:val="000000"/>
        </w:rPr>
      </w:pPr>
      <w:bookmarkStart w:id="6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7"/>
    </w:p>
    <w:p w:rsidR="000B0CA0" w:rsidRDefault="00214AE8">
      <w:pPr>
        <w:pStyle w:val="2"/>
        <w:rPr>
          <w:rFonts w:ascii="仿宋" w:eastAsia="仿宋" w:hAnsi="仿宋"/>
          <w:color w:val="000000"/>
        </w:rPr>
      </w:pPr>
      <w:bookmarkStart w:id="6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8"/>
    </w:p>
    <w:p w:rsidR="000B0CA0" w:rsidRDefault="00214AE8">
      <w:pPr>
        <w:pStyle w:val="2"/>
        <w:rPr>
          <w:rFonts w:ascii="仿宋" w:eastAsia="仿宋" w:hAnsi="仿宋"/>
          <w:color w:val="000000"/>
        </w:rPr>
      </w:pPr>
      <w:bookmarkStart w:id="6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9"/>
    </w:p>
    <w:p w:rsidR="000B0CA0" w:rsidRDefault="00214AE8">
      <w:pPr>
        <w:pStyle w:val="2"/>
        <w:rPr>
          <w:rFonts w:ascii="仿宋" w:eastAsia="仿宋" w:hAnsi="仿宋"/>
          <w:color w:val="000000"/>
        </w:rPr>
      </w:pPr>
      <w:bookmarkStart w:id="7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0"/>
    </w:p>
    <w:p w:rsidR="000B0CA0" w:rsidRDefault="00214AE8">
      <w:pPr>
        <w:pStyle w:val="2"/>
        <w:rPr>
          <w:rFonts w:ascii="仿宋" w:eastAsia="仿宋" w:hAnsi="仿宋"/>
          <w:color w:val="000000" w:themeColor="text1"/>
        </w:rPr>
      </w:pPr>
      <w:bookmarkStart w:id="7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1"/>
    </w:p>
    <w:sectPr w:rsidR="000B0CA0" w:rsidSect="000B0CA0">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171" w:rsidRDefault="00D43171" w:rsidP="000B0CA0">
      <w:r>
        <w:separator/>
      </w:r>
    </w:p>
  </w:endnote>
  <w:endnote w:type="continuationSeparator" w:id="1">
    <w:p w:rsidR="00D43171" w:rsidRDefault="00D43171" w:rsidP="000B0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B0CA0" w:rsidRDefault="00113C6D">
        <w:pPr>
          <w:pStyle w:val="a5"/>
          <w:jc w:val="center"/>
        </w:pPr>
        <w:r>
          <w:fldChar w:fldCharType="begin"/>
        </w:r>
        <w:r w:rsidR="00214AE8">
          <w:instrText>PAGE   \* MERGEFORMAT</w:instrText>
        </w:r>
        <w:r>
          <w:fldChar w:fldCharType="separate"/>
        </w:r>
        <w:r w:rsidR="00750F70" w:rsidRPr="00750F70">
          <w:rPr>
            <w:noProof/>
            <w:lang w:val="zh-CN"/>
          </w:rPr>
          <w:t>2</w:t>
        </w:r>
        <w:r>
          <w:fldChar w:fldCharType="end"/>
        </w:r>
      </w:p>
    </w:sdtContent>
  </w:sdt>
  <w:p w:rsidR="000B0CA0" w:rsidRDefault="000B0C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171" w:rsidRDefault="00D43171" w:rsidP="000B0CA0">
      <w:r>
        <w:separator/>
      </w:r>
    </w:p>
  </w:footnote>
  <w:footnote w:type="continuationSeparator" w:id="1">
    <w:p w:rsidR="00D43171" w:rsidRDefault="00D43171" w:rsidP="000B0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A0" w:rsidRDefault="000B0CA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A047D"/>
    <w:multiLevelType w:val="singleLevel"/>
    <w:tmpl w:val="E2FA047D"/>
    <w:lvl w:ilvl="0">
      <w:start w:val="3"/>
      <w:numFmt w:val="chineseCounting"/>
      <w:suff w:val="space"/>
      <w:lvlText w:val="第%1部分"/>
      <w:lvlJc w:val="left"/>
      <w:rPr>
        <w:rFonts w:hint="eastAsia"/>
      </w:rPr>
    </w:lvl>
  </w:abstractNum>
  <w:abstractNum w:abstractNumId="1">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21DE76A4"/>
    <w:multiLevelType w:val="multilevel"/>
    <w:tmpl w:val="21DE76A4"/>
    <w:lvl w:ilvl="0">
      <w:start w:val="9"/>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6487A"/>
    <w:rsid w:val="00065F8F"/>
    <w:rsid w:val="000768F2"/>
    <w:rsid w:val="00090CEE"/>
    <w:rsid w:val="0009184B"/>
    <w:rsid w:val="0009593C"/>
    <w:rsid w:val="000B047F"/>
    <w:rsid w:val="000B07F3"/>
    <w:rsid w:val="000B0CA0"/>
    <w:rsid w:val="000B5923"/>
    <w:rsid w:val="000B5A48"/>
    <w:rsid w:val="000B6FF3"/>
    <w:rsid w:val="000C3467"/>
    <w:rsid w:val="000C3CA6"/>
    <w:rsid w:val="000D1267"/>
    <w:rsid w:val="000D1D50"/>
    <w:rsid w:val="000D5782"/>
    <w:rsid w:val="000E6613"/>
    <w:rsid w:val="000E7119"/>
    <w:rsid w:val="00113C6D"/>
    <w:rsid w:val="00114E9B"/>
    <w:rsid w:val="00122DC5"/>
    <w:rsid w:val="00146E55"/>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30E0"/>
    <w:rsid w:val="00204B7A"/>
    <w:rsid w:val="0021101A"/>
    <w:rsid w:val="00214AE8"/>
    <w:rsid w:val="00220536"/>
    <w:rsid w:val="00235629"/>
    <w:rsid w:val="00260C38"/>
    <w:rsid w:val="002616C0"/>
    <w:rsid w:val="002662AA"/>
    <w:rsid w:val="00280496"/>
    <w:rsid w:val="00281D03"/>
    <w:rsid w:val="00295495"/>
    <w:rsid w:val="002B2613"/>
    <w:rsid w:val="002B3EE6"/>
    <w:rsid w:val="002B5092"/>
    <w:rsid w:val="002F1818"/>
    <w:rsid w:val="002F567B"/>
    <w:rsid w:val="003216A9"/>
    <w:rsid w:val="0037013F"/>
    <w:rsid w:val="00380C92"/>
    <w:rsid w:val="003A484F"/>
    <w:rsid w:val="003B0BE0"/>
    <w:rsid w:val="003B0C1B"/>
    <w:rsid w:val="003B688C"/>
    <w:rsid w:val="003C0291"/>
    <w:rsid w:val="003C39AE"/>
    <w:rsid w:val="003C7B60"/>
    <w:rsid w:val="003D1FB2"/>
    <w:rsid w:val="003D552A"/>
    <w:rsid w:val="003D66DA"/>
    <w:rsid w:val="003E1310"/>
    <w:rsid w:val="003E6F55"/>
    <w:rsid w:val="003F4764"/>
    <w:rsid w:val="00406254"/>
    <w:rsid w:val="004223DE"/>
    <w:rsid w:val="00434489"/>
    <w:rsid w:val="00437085"/>
    <w:rsid w:val="00440AEC"/>
    <w:rsid w:val="00443880"/>
    <w:rsid w:val="004464F4"/>
    <w:rsid w:val="00471401"/>
    <w:rsid w:val="00473F31"/>
    <w:rsid w:val="0048263A"/>
    <w:rsid w:val="00487E5D"/>
    <w:rsid w:val="004A14CB"/>
    <w:rsid w:val="004A711F"/>
    <w:rsid w:val="004B199D"/>
    <w:rsid w:val="004B4690"/>
    <w:rsid w:val="004D4BA6"/>
    <w:rsid w:val="004E0A2D"/>
    <w:rsid w:val="004E206B"/>
    <w:rsid w:val="004E6DF7"/>
    <w:rsid w:val="004E713F"/>
    <w:rsid w:val="004F0FBD"/>
    <w:rsid w:val="00505A47"/>
    <w:rsid w:val="00512FDA"/>
    <w:rsid w:val="00520DA0"/>
    <w:rsid w:val="00525495"/>
    <w:rsid w:val="00541E42"/>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924E5"/>
    <w:rsid w:val="006A3141"/>
    <w:rsid w:val="006A5E34"/>
    <w:rsid w:val="006A7E3E"/>
    <w:rsid w:val="006B2422"/>
    <w:rsid w:val="006B2B9A"/>
    <w:rsid w:val="006C1937"/>
    <w:rsid w:val="006C73CB"/>
    <w:rsid w:val="006D0593"/>
    <w:rsid w:val="006F020C"/>
    <w:rsid w:val="006F236D"/>
    <w:rsid w:val="007127B7"/>
    <w:rsid w:val="007179CE"/>
    <w:rsid w:val="00731922"/>
    <w:rsid w:val="007416B6"/>
    <w:rsid w:val="00746F48"/>
    <w:rsid w:val="0074766A"/>
    <w:rsid w:val="00750F70"/>
    <w:rsid w:val="0075404D"/>
    <w:rsid w:val="0076182A"/>
    <w:rsid w:val="00763D17"/>
    <w:rsid w:val="00767B7E"/>
    <w:rsid w:val="007770C3"/>
    <w:rsid w:val="00784D24"/>
    <w:rsid w:val="00785FBA"/>
    <w:rsid w:val="00786E4A"/>
    <w:rsid w:val="007875EB"/>
    <w:rsid w:val="007904F6"/>
    <w:rsid w:val="0079426B"/>
    <w:rsid w:val="007D312A"/>
    <w:rsid w:val="007D3F19"/>
    <w:rsid w:val="007D69FE"/>
    <w:rsid w:val="007E23B0"/>
    <w:rsid w:val="007F1991"/>
    <w:rsid w:val="007F2C2F"/>
    <w:rsid w:val="007F55FC"/>
    <w:rsid w:val="007F5665"/>
    <w:rsid w:val="00800112"/>
    <w:rsid w:val="00810813"/>
    <w:rsid w:val="008253BB"/>
    <w:rsid w:val="0083706E"/>
    <w:rsid w:val="008423A5"/>
    <w:rsid w:val="00850625"/>
    <w:rsid w:val="00853718"/>
    <w:rsid w:val="00855221"/>
    <w:rsid w:val="00860645"/>
    <w:rsid w:val="00871F71"/>
    <w:rsid w:val="00885AF4"/>
    <w:rsid w:val="008939CD"/>
    <w:rsid w:val="008B3282"/>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625B0"/>
    <w:rsid w:val="00963AAF"/>
    <w:rsid w:val="0097099F"/>
    <w:rsid w:val="00971997"/>
    <w:rsid w:val="00971FFC"/>
    <w:rsid w:val="00973AB0"/>
    <w:rsid w:val="0098660A"/>
    <w:rsid w:val="009931C3"/>
    <w:rsid w:val="009B2C43"/>
    <w:rsid w:val="009B4EAE"/>
    <w:rsid w:val="009B7573"/>
    <w:rsid w:val="009C196E"/>
    <w:rsid w:val="009C22F4"/>
    <w:rsid w:val="009C2E98"/>
    <w:rsid w:val="009D3447"/>
    <w:rsid w:val="009D4711"/>
    <w:rsid w:val="009F1185"/>
    <w:rsid w:val="009F18CD"/>
    <w:rsid w:val="009F2A13"/>
    <w:rsid w:val="00A01146"/>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C3D9D"/>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CB9"/>
    <w:rsid w:val="00BB4DF0"/>
    <w:rsid w:val="00BC289F"/>
    <w:rsid w:val="00BC40E7"/>
    <w:rsid w:val="00BC5361"/>
    <w:rsid w:val="00BC5460"/>
    <w:rsid w:val="00BC6B50"/>
    <w:rsid w:val="00BC7D82"/>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43171"/>
    <w:rsid w:val="00D51276"/>
    <w:rsid w:val="00D7035F"/>
    <w:rsid w:val="00DA1CC6"/>
    <w:rsid w:val="00DA65AC"/>
    <w:rsid w:val="00DB1913"/>
    <w:rsid w:val="00DC410D"/>
    <w:rsid w:val="00DC68CA"/>
    <w:rsid w:val="00DC7CBA"/>
    <w:rsid w:val="00DD73B7"/>
    <w:rsid w:val="00DF28BC"/>
    <w:rsid w:val="00DF34B9"/>
    <w:rsid w:val="00E01053"/>
    <w:rsid w:val="00E07ACF"/>
    <w:rsid w:val="00E331A1"/>
    <w:rsid w:val="00E33202"/>
    <w:rsid w:val="00E336A9"/>
    <w:rsid w:val="00E50007"/>
    <w:rsid w:val="00E50624"/>
    <w:rsid w:val="00E53273"/>
    <w:rsid w:val="00E568DF"/>
    <w:rsid w:val="00E64269"/>
    <w:rsid w:val="00E82267"/>
    <w:rsid w:val="00EA010F"/>
    <w:rsid w:val="00EB291C"/>
    <w:rsid w:val="00ED1B63"/>
    <w:rsid w:val="00ED3C1F"/>
    <w:rsid w:val="00ED4085"/>
    <w:rsid w:val="00ED420E"/>
    <w:rsid w:val="00EE2F57"/>
    <w:rsid w:val="00EF4C34"/>
    <w:rsid w:val="00EF77C6"/>
    <w:rsid w:val="00F05438"/>
    <w:rsid w:val="00F1361C"/>
    <w:rsid w:val="00F160C7"/>
    <w:rsid w:val="00F16E36"/>
    <w:rsid w:val="00F36D8F"/>
    <w:rsid w:val="00F417B1"/>
    <w:rsid w:val="00F602DF"/>
    <w:rsid w:val="00F67635"/>
    <w:rsid w:val="00F71315"/>
    <w:rsid w:val="00F81FD9"/>
    <w:rsid w:val="00F841AA"/>
    <w:rsid w:val="00F91319"/>
    <w:rsid w:val="00FA23E8"/>
    <w:rsid w:val="00FD3CC1"/>
    <w:rsid w:val="00FE2788"/>
    <w:rsid w:val="00FF1E02"/>
    <w:rsid w:val="00FF30B4"/>
    <w:rsid w:val="0B9B3D0C"/>
    <w:rsid w:val="0C060559"/>
    <w:rsid w:val="0FDC7648"/>
    <w:rsid w:val="10C055FF"/>
    <w:rsid w:val="16BB723D"/>
    <w:rsid w:val="240371BF"/>
    <w:rsid w:val="24B8104E"/>
    <w:rsid w:val="29FD04D3"/>
    <w:rsid w:val="319F7F4E"/>
    <w:rsid w:val="3E124C8C"/>
    <w:rsid w:val="3EDA122B"/>
    <w:rsid w:val="53BD4B6D"/>
    <w:rsid w:val="5DEE5127"/>
    <w:rsid w:val="722004BF"/>
    <w:rsid w:val="77E95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A0"/>
    <w:pPr>
      <w:widowControl w:val="0"/>
      <w:jc w:val="both"/>
    </w:pPr>
    <w:rPr>
      <w:kern w:val="2"/>
      <w:sz w:val="21"/>
      <w:szCs w:val="24"/>
    </w:rPr>
  </w:style>
  <w:style w:type="paragraph" w:styleId="1">
    <w:name w:val="heading 1"/>
    <w:basedOn w:val="a"/>
    <w:next w:val="a"/>
    <w:link w:val="1Char"/>
    <w:uiPriority w:val="9"/>
    <w:qFormat/>
    <w:rsid w:val="000B0CA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0C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B0C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B0CA0"/>
    <w:pPr>
      <w:spacing w:beforeLines="30"/>
    </w:pPr>
    <w:rPr>
      <w:rFonts w:ascii="仿宋_GB2312" w:eastAsia="仿宋_GB2312"/>
      <w:kern w:val="0"/>
      <w:sz w:val="30"/>
    </w:rPr>
  </w:style>
  <w:style w:type="paragraph" w:styleId="30">
    <w:name w:val="toc 3"/>
    <w:basedOn w:val="a"/>
    <w:next w:val="a"/>
    <w:uiPriority w:val="39"/>
    <w:unhideWhenUsed/>
    <w:qFormat/>
    <w:rsid w:val="000B0CA0"/>
    <w:pPr>
      <w:tabs>
        <w:tab w:val="right" w:leader="dot" w:pos="8296"/>
      </w:tabs>
      <w:ind w:leftChars="400" w:left="840"/>
    </w:pPr>
  </w:style>
  <w:style w:type="paragraph" w:styleId="a4">
    <w:name w:val="Balloon Text"/>
    <w:basedOn w:val="a"/>
    <w:link w:val="Char0"/>
    <w:uiPriority w:val="99"/>
    <w:unhideWhenUsed/>
    <w:qFormat/>
    <w:rsid w:val="000B0CA0"/>
    <w:rPr>
      <w:sz w:val="18"/>
      <w:szCs w:val="18"/>
    </w:rPr>
  </w:style>
  <w:style w:type="paragraph" w:styleId="a5">
    <w:name w:val="footer"/>
    <w:basedOn w:val="a"/>
    <w:link w:val="Char1"/>
    <w:uiPriority w:val="99"/>
    <w:qFormat/>
    <w:rsid w:val="000B0CA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B0CA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B0CA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B0CA0"/>
    <w:pPr>
      <w:tabs>
        <w:tab w:val="right" w:leader="dot" w:pos="8296"/>
      </w:tabs>
      <w:ind w:leftChars="200" w:left="420"/>
    </w:pPr>
  </w:style>
  <w:style w:type="character" w:styleId="a7">
    <w:name w:val="Strong"/>
    <w:basedOn w:val="a0"/>
    <w:uiPriority w:val="22"/>
    <w:qFormat/>
    <w:rsid w:val="000B0CA0"/>
    <w:rPr>
      <w:b/>
    </w:rPr>
  </w:style>
  <w:style w:type="character" w:styleId="a8">
    <w:name w:val="Hyperlink"/>
    <w:basedOn w:val="a0"/>
    <w:uiPriority w:val="99"/>
    <w:unhideWhenUsed/>
    <w:qFormat/>
    <w:rsid w:val="000B0CA0"/>
    <w:rPr>
      <w:color w:val="0000FF" w:themeColor="hyperlink"/>
      <w:u w:val="single"/>
    </w:rPr>
  </w:style>
  <w:style w:type="character" w:customStyle="1" w:styleId="HeaderChar">
    <w:name w:val="Header Char"/>
    <w:basedOn w:val="a0"/>
    <w:uiPriority w:val="99"/>
    <w:semiHidden/>
    <w:qFormat/>
    <w:rsid w:val="000B0CA0"/>
    <w:rPr>
      <w:rFonts w:ascii="Times New Roman" w:hAnsi="Times New Roman"/>
      <w:sz w:val="18"/>
      <w:szCs w:val="18"/>
    </w:rPr>
  </w:style>
  <w:style w:type="character" w:customStyle="1" w:styleId="Char2">
    <w:name w:val="页眉 Char"/>
    <w:link w:val="a6"/>
    <w:uiPriority w:val="99"/>
    <w:semiHidden/>
    <w:qFormat/>
    <w:locked/>
    <w:rsid w:val="000B0CA0"/>
    <w:rPr>
      <w:sz w:val="18"/>
    </w:rPr>
  </w:style>
  <w:style w:type="character" w:customStyle="1" w:styleId="FooterChar">
    <w:name w:val="Footer Char"/>
    <w:basedOn w:val="a0"/>
    <w:uiPriority w:val="99"/>
    <w:semiHidden/>
    <w:qFormat/>
    <w:rsid w:val="000B0CA0"/>
    <w:rPr>
      <w:rFonts w:ascii="Times New Roman" w:hAnsi="Times New Roman"/>
      <w:sz w:val="18"/>
      <w:szCs w:val="18"/>
    </w:rPr>
  </w:style>
  <w:style w:type="character" w:customStyle="1" w:styleId="Char1">
    <w:name w:val="页脚 Char"/>
    <w:link w:val="a5"/>
    <w:uiPriority w:val="99"/>
    <w:qFormat/>
    <w:locked/>
    <w:rsid w:val="000B0CA0"/>
    <w:rPr>
      <w:sz w:val="18"/>
    </w:rPr>
  </w:style>
  <w:style w:type="character" w:customStyle="1" w:styleId="BodyTextChar">
    <w:name w:val="Body Text Char"/>
    <w:basedOn w:val="a0"/>
    <w:uiPriority w:val="99"/>
    <w:semiHidden/>
    <w:qFormat/>
    <w:rsid w:val="000B0CA0"/>
    <w:rPr>
      <w:rFonts w:ascii="Times New Roman" w:hAnsi="Times New Roman"/>
      <w:szCs w:val="24"/>
    </w:rPr>
  </w:style>
  <w:style w:type="character" w:customStyle="1" w:styleId="Char">
    <w:name w:val="正文文本 Char"/>
    <w:link w:val="a3"/>
    <w:uiPriority w:val="99"/>
    <w:qFormat/>
    <w:locked/>
    <w:rsid w:val="000B0CA0"/>
    <w:rPr>
      <w:rFonts w:ascii="仿宋_GB2312" w:eastAsia="仿宋_GB2312" w:hAnsi="Times New Roman"/>
      <w:sz w:val="24"/>
    </w:rPr>
  </w:style>
  <w:style w:type="paragraph" w:customStyle="1" w:styleId="Default">
    <w:name w:val="Default"/>
    <w:qFormat/>
    <w:rsid w:val="000B0CA0"/>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0B0CA0"/>
    <w:pPr>
      <w:ind w:firstLineChars="200" w:firstLine="420"/>
    </w:pPr>
  </w:style>
  <w:style w:type="character" w:customStyle="1" w:styleId="1Char">
    <w:name w:val="标题 1 Char"/>
    <w:basedOn w:val="a0"/>
    <w:link w:val="1"/>
    <w:uiPriority w:val="9"/>
    <w:qFormat/>
    <w:rsid w:val="000B0CA0"/>
    <w:rPr>
      <w:rFonts w:ascii="Times New Roman" w:hAnsi="Times New Roman"/>
      <w:b/>
      <w:bCs/>
      <w:kern w:val="44"/>
      <w:sz w:val="44"/>
      <w:szCs w:val="44"/>
    </w:rPr>
  </w:style>
  <w:style w:type="character" w:customStyle="1" w:styleId="2Char">
    <w:name w:val="标题 2 Char"/>
    <w:basedOn w:val="a0"/>
    <w:link w:val="2"/>
    <w:uiPriority w:val="9"/>
    <w:qFormat/>
    <w:rsid w:val="000B0CA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B0CA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0B0CA0"/>
    <w:rPr>
      <w:rFonts w:ascii="Times New Roman" w:hAnsi="Times New Roman"/>
      <w:kern w:val="2"/>
      <w:sz w:val="18"/>
      <w:szCs w:val="18"/>
    </w:rPr>
  </w:style>
  <w:style w:type="character" w:customStyle="1" w:styleId="3Char">
    <w:name w:val="标题 3 Char"/>
    <w:basedOn w:val="a0"/>
    <w:link w:val="3"/>
    <w:uiPriority w:val="9"/>
    <w:qFormat/>
    <w:rsid w:val="000B0CA0"/>
    <w:rPr>
      <w:rFonts w:ascii="Times New Roman" w:hAnsi="Times New Roman"/>
      <w:b/>
      <w:bCs/>
      <w:kern w:val="2"/>
      <w:sz w:val="32"/>
      <w:szCs w:val="32"/>
    </w:rPr>
  </w:style>
  <w:style w:type="paragraph" w:styleId="a9">
    <w:name w:val="List Paragraph"/>
    <w:basedOn w:val="a"/>
    <w:uiPriority w:val="99"/>
    <w:unhideWhenUsed/>
    <w:qFormat/>
    <w:rsid w:val="000B0C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2.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___3.xlsx"/></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manualLayout>
          <c:layoutTarget val="inner"/>
          <c:xMode val="edge"/>
          <c:yMode val="edge"/>
          <c:x val="8.7444444444444422E-2"/>
          <c:y val="0.1729166666666673"/>
          <c:w val="0.88200000000000001"/>
          <c:h val="0.60680555555555771"/>
        </c:manualLayout>
      </c:layout>
      <c:barChart>
        <c:barDir val="col"/>
        <c:grouping val="clustered"/>
        <c:ser>
          <c:idx val="0"/>
          <c:order val="0"/>
          <c:tx>
            <c:strRef>
              <c:f>[工作簿1]Sheet1!$A$6</c:f>
              <c:strCache>
                <c:ptCount val="1"/>
                <c:pt idx="0">
                  <c:v>2017年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[工作簿1]Sheet1!$B$5:$C$5</c:f>
              <c:strCache>
                <c:ptCount val="2"/>
                <c:pt idx="0">
                  <c:v>收入</c:v>
                </c:pt>
                <c:pt idx="1">
                  <c:v>支出</c:v>
                </c:pt>
              </c:strCache>
            </c:strRef>
          </c:cat>
          <c:val>
            <c:numRef>
              <c:f>[工作簿1]Sheet1!$B$6:$C$6</c:f>
              <c:numCache>
                <c:formatCode>General</c:formatCode>
                <c:ptCount val="2"/>
                <c:pt idx="0">
                  <c:v>696.24</c:v>
                </c:pt>
                <c:pt idx="1">
                  <c:v>696.24</c:v>
                </c:pt>
              </c:numCache>
            </c:numRef>
          </c:val>
        </c:ser>
        <c:ser>
          <c:idx val="1"/>
          <c:order val="1"/>
          <c:tx>
            <c:strRef>
              <c:f>[工作簿1]Sheet1!$A$7</c:f>
              <c:strCache>
                <c:ptCount val="1"/>
                <c:pt idx="0">
                  <c:v>2018年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[工作簿1]Sheet1!$B$5:$C$5</c:f>
              <c:strCache>
                <c:ptCount val="2"/>
                <c:pt idx="0">
                  <c:v>收入</c:v>
                </c:pt>
                <c:pt idx="1">
                  <c:v>支出</c:v>
                </c:pt>
              </c:strCache>
            </c:strRef>
          </c:cat>
          <c:val>
            <c:numRef>
              <c:f>[工作簿1]Sheet1!$B$7:$C$7</c:f>
              <c:numCache>
                <c:formatCode>General</c:formatCode>
                <c:ptCount val="2"/>
                <c:pt idx="0">
                  <c:v>1002.31</c:v>
                </c:pt>
                <c:pt idx="1">
                  <c:v>1002.31</c:v>
                </c:pt>
              </c:numCache>
            </c:numRef>
          </c:val>
        </c:ser>
        <c:dLbls>
          <c:showVal val="1"/>
        </c:dLbls>
        <c:gapWidth val="219"/>
        <c:overlap val="-27"/>
        <c:axId val="97023488"/>
        <c:axId val="97025408"/>
      </c:barChart>
      <c:catAx>
        <c:axId val="970234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025408"/>
        <c:crosses val="autoZero"/>
        <c:auto val="1"/>
        <c:lblAlgn val="ctr"/>
        <c:lblOffset val="100"/>
      </c:catAx>
      <c:valAx>
        <c:axId val="97025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702348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年收入决算</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[工作簿1]Sheet1!$C$9:$C$10</c:f>
              <c:strCache>
                <c:ptCount val="2"/>
                <c:pt idx="0">
                  <c:v>一般公共预算财政拨款收入</c:v>
                </c:pt>
                <c:pt idx="1">
                  <c:v>政府性基金预算财政拨款收入</c:v>
                </c:pt>
              </c:strCache>
            </c:strRef>
          </c:cat>
          <c:val>
            <c:numRef>
              <c:f>[工作簿1]Sheet1!$D$9:$D$10</c:f>
              <c:numCache>
                <c:formatCode>0.00%</c:formatCode>
                <c:ptCount val="2"/>
                <c:pt idx="0">
                  <c:v>0.96190000000000064</c:v>
                </c:pt>
                <c:pt idx="1">
                  <c:v>3.8100000000000009E-2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年支出决算</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[工作簿1]Sheet1!$C$9:$C$10</c:f>
              <c:strCache>
                <c:ptCount val="2"/>
                <c:pt idx="0">
                  <c:v>基本支出</c:v>
                </c:pt>
                <c:pt idx="1">
                  <c:v>项目支出</c:v>
                </c:pt>
              </c:strCache>
            </c:strRef>
          </c:cat>
          <c:val>
            <c:numRef>
              <c:f>[工作簿1]Sheet1!$D$9:$D$10</c:f>
              <c:numCache>
                <c:formatCode>0.00%</c:formatCode>
                <c:ptCount val="2"/>
                <c:pt idx="0">
                  <c:v>0.48260000000000008</c:v>
                </c:pt>
                <c:pt idx="1">
                  <c:v>0.51739999999999997</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财政拨款收入支出总计（万元） </a:t>
            </a:r>
          </a:p>
        </c:rich>
      </c:tx>
    </c:title>
    <c:plotArea>
      <c:layout/>
      <c:barChart>
        <c:barDir val="col"/>
        <c:grouping val="clustered"/>
        <c:ser>
          <c:idx val="0"/>
          <c:order val="0"/>
          <c:tx>
            <c:strRef>
              <c:f>Sheet1!$B$1</c:f>
              <c:strCache>
                <c:ptCount val="1"/>
                <c:pt idx="0">
                  <c:v>系列 1</c:v>
                </c:pt>
              </c:strCache>
            </c:strRef>
          </c:tx>
          <c:cat>
            <c:strRef>
              <c:f>Sheet1!$A$2:$A$3</c:f>
              <c:strCache>
                <c:ptCount val="2"/>
                <c:pt idx="0">
                  <c:v>2017年</c:v>
                </c:pt>
                <c:pt idx="1">
                  <c:v>2018年</c:v>
                </c:pt>
              </c:strCache>
            </c:strRef>
          </c:cat>
          <c:val>
            <c:numRef>
              <c:f>Sheet1!$B$2:$B$3</c:f>
              <c:numCache>
                <c:formatCode>General</c:formatCode>
                <c:ptCount val="2"/>
                <c:pt idx="0">
                  <c:v>696.24</c:v>
                </c:pt>
                <c:pt idx="1">
                  <c:v>1002.31</c:v>
                </c:pt>
              </c:numCache>
            </c:numRef>
          </c:val>
        </c:ser>
        <c:axId val="97425280"/>
        <c:axId val="97497088"/>
      </c:barChart>
      <c:catAx>
        <c:axId val="97425280"/>
        <c:scaling>
          <c:orientation val="minMax"/>
        </c:scaling>
        <c:axPos val="b"/>
        <c:tickLblPos val="nextTo"/>
        <c:crossAx val="97497088"/>
        <c:crosses val="autoZero"/>
        <c:auto val="1"/>
        <c:lblAlgn val="ctr"/>
        <c:lblOffset val="100"/>
      </c:catAx>
      <c:valAx>
        <c:axId val="97497088"/>
        <c:scaling>
          <c:orientation val="minMax"/>
        </c:scaling>
        <c:axPos val="l"/>
        <c:majorGridlines/>
        <c:numFmt formatCode="General" sourceLinked="1"/>
        <c:tickLblPos val="nextTo"/>
        <c:crossAx val="9742528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一般公共预算财政拨款支出（万元） </a:t>
            </a:r>
          </a:p>
        </c:rich>
      </c:tx>
    </c:title>
    <c:plotArea>
      <c:layout>
        <c:manualLayout>
          <c:layoutTarget val="inner"/>
          <c:xMode val="edge"/>
          <c:yMode val="edge"/>
          <c:x val="8.5614800798588075E-2"/>
          <c:y val="0.19608883254918233"/>
          <c:w val="0.87585883271935194"/>
          <c:h val="0.68306152133460096"/>
        </c:manualLayout>
      </c:layout>
      <c:barChart>
        <c:barDir val="col"/>
        <c:grouping val="clustered"/>
        <c:ser>
          <c:idx val="0"/>
          <c:order val="0"/>
          <c:tx>
            <c:strRef>
              <c:f>Sheet1!$B$1</c:f>
              <c:strCache>
                <c:ptCount val="1"/>
                <c:pt idx="0">
                  <c:v>系列 1</c:v>
                </c:pt>
              </c:strCache>
            </c:strRef>
          </c:tx>
          <c:cat>
            <c:strRef>
              <c:f>Sheet1!$A$2:$A$3</c:f>
              <c:strCache>
                <c:ptCount val="2"/>
                <c:pt idx="0">
                  <c:v>2017年</c:v>
                </c:pt>
                <c:pt idx="1">
                  <c:v>2018年</c:v>
                </c:pt>
              </c:strCache>
            </c:strRef>
          </c:cat>
          <c:val>
            <c:numRef>
              <c:f>Sheet1!$B$2:$B$3</c:f>
              <c:numCache>
                <c:formatCode>General</c:formatCode>
                <c:ptCount val="2"/>
                <c:pt idx="0">
                  <c:v>678.28000000000054</c:v>
                </c:pt>
                <c:pt idx="1">
                  <c:v>964.22</c:v>
                </c:pt>
              </c:numCache>
            </c:numRef>
          </c:val>
        </c:ser>
        <c:axId val="101074432"/>
        <c:axId val="101075968"/>
      </c:barChart>
      <c:catAx>
        <c:axId val="101074432"/>
        <c:scaling>
          <c:orientation val="minMax"/>
        </c:scaling>
        <c:axPos val="b"/>
        <c:tickLblPos val="nextTo"/>
        <c:crossAx val="101075968"/>
        <c:crosses val="autoZero"/>
        <c:auto val="1"/>
        <c:lblAlgn val="ctr"/>
        <c:lblOffset val="100"/>
      </c:catAx>
      <c:valAx>
        <c:axId val="101075968"/>
        <c:scaling>
          <c:orientation val="minMax"/>
        </c:scaling>
        <c:axPos val="l"/>
        <c:majorGridlines/>
        <c:numFmt formatCode="General" sourceLinked="1"/>
        <c:tickLblPos val="nextTo"/>
        <c:crossAx val="101074432"/>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800" b="1" i="0" u="none" strike="noStrike" baseline="0"/>
              <a:t>一般公共预算财政拨款支出决算结构</a:t>
            </a:r>
            <a:endParaRPr lang="zh-CN" altLang="en-US"/>
          </a:p>
        </c:rich>
      </c:tx>
    </c:title>
    <c:plotArea>
      <c:layout>
        <c:manualLayout>
          <c:layoutTarget val="inner"/>
          <c:xMode val="edge"/>
          <c:yMode val="edge"/>
          <c:x val="8.5614800798588075E-2"/>
          <c:y val="0.19608883254918233"/>
          <c:w val="0.87585883271935194"/>
          <c:h val="0.68306152133460096"/>
        </c:manualLayout>
      </c:layout>
      <c:barChart>
        <c:barDir val="col"/>
        <c:grouping val="clustered"/>
        <c:ser>
          <c:idx val="0"/>
          <c:order val="0"/>
          <c:tx>
            <c:strRef>
              <c:f>Sheet1!$B$1</c:f>
              <c:strCache>
                <c:ptCount val="1"/>
                <c:pt idx="0">
                  <c:v>系列 1</c:v>
                </c:pt>
              </c:strCache>
            </c:strRef>
          </c:tx>
          <c:cat>
            <c:strRef>
              <c:f>Sheet1!$A$2:$A$9</c:f>
              <c:strCache>
                <c:ptCount val="8"/>
                <c:pt idx="0">
                  <c:v>一般公共服务支出</c:v>
                </c:pt>
                <c:pt idx="1">
                  <c:v>文化体育与传媒支出</c:v>
                </c:pt>
                <c:pt idx="2">
                  <c:v>社会保障和就业支出</c:v>
                </c:pt>
                <c:pt idx="3">
                  <c:v>医疗卫生支出</c:v>
                </c:pt>
                <c:pt idx="4">
                  <c:v>节能环保支出</c:v>
                </c:pt>
                <c:pt idx="5">
                  <c:v>城乡社区支出</c:v>
                </c:pt>
                <c:pt idx="6">
                  <c:v>农林水支出</c:v>
                </c:pt>
                <c:pt idx="7">
                  <c:v>住房保障支出</c:v>
                </c:pt>
              </c:strCache>
            </c:strRef>
          </c:cat>
          <c:val>
            <c:numRef>
              <c:f>Sheet1!$B$2:$B$9</c:f>
              <c:numCache>
                <c:formatCode>0.00%</c:formatCode>
                <c:ptCount val="8"/>
                <c:pt idx="0">
                  <c:v>0.33270000000000038</c:v>
                </c:pt>
                <c:pt idx="1">
                  <c:v>2.0999999999999999E-3</c:v>
                </c:pt>
                <c:pt idx="2">
                  <c:v>0.1123</c:v>
                </c:pt>
                <c:pt idx="3">
                  <c:v>1.4900000000000005E-2</c:v>
                </c:pt>
                <c:pt idx="4">
                  <c:v>8.0000000000000123E-4</c:v>
                </c:pt>
                <c:pt idx="5">
                  <c:v>6.2000000000000093E-3</c:v>
                </c:pt>
                <c:pt idx="6">
                  <c:v>0.49200000000000038</c:v>
                </c:pt>
                <c:pt idx="7">
                  <c:v>3.9000000000000014E-2</c:v>
                </c:pt>
              </c:numCache>
            </c:numRef>
          </c:val>
        </c:ser>
        <c:axId val="108069248"/>
        <c:axId val="108071168"/>
      </c:barChart>
      <c:catAx>
        <c:axId val="108069248"/>
        <c:scaling>
          <c:orientation val="minMax"/>
        </c:scaling>
        <c:axPos val="b"/>
        <c:tickLblPos val="nextTo"/>
        <c:crossAx val="108071168"/>
        <c:crosses val="autoZero"/>
        <c:auto val="1"/>
        <c:lblAlgn val="ctr"/>
        <c:lblOffset val="100"/>
      </c:catAx>
      <c:valAx>
        <c:axId val="108071168"/>
        <c:scaling>
          <c:orientation val="minMax"/>
        </c:scaling>
        <c:axPos val="l"/>
        <c:majorGridlines/>
        <c:numFmt formatCode="0.00%" sourceLinked="1"/>
        <c:tickLblPos val="nextTo"/>
        <c:crossAx val="108069248"/>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2018</a:t>
            </a:r>
            <a:r>
              <a:rPr altLang="en-US"/>
              <a:t>年三公经费财政拨款支出结构图</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[工作簿1]Sheet1!$C$9:$C$10</c:f>
              <c:strCache>
                <c:ptCount val="2"/>
                <c:pt idx="0">
                  <c:v>公务用车运行维护费</c:v>
                </c:pt>
                <c:pt idx="1">
                  <c:v>公务接待费</c:v>
                </c:pt>
              </c:strCache>
            </c:strRef>
          </c:cat>
          <c:val>
            <c:numRef>
              <c:f>[工作簿1]Sheet1!$D$9:$D$10</c:f>
              <c:numCache>
                <c:formatCode>General</c:formatCode>
                <c:ptCount val="2"/>
                <c:pt idx="0">
                  <c:v>2.4299999999999997</c:v>
                </c:pt>
                <c:pt idx="1">
                  <c:v>4</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drawings/drawing1.xml><?xml version="1.0" encoding="utf-8"?>
<c:userShapes xmlns:c="http://schemas.openxmlformats.org/drawingml/2006/chart">
  <cdr:relSizeAnchor xmlns:cdr="http://schemas.openxmlformats.org/drawingml/2006/chartDrawing">
    <cdr:from>
      <cdr:x>0.24347</cdr:x>
      <cdr:y>0.38593</cdr:y>
    </cdr:from>
    <cdr:to>
      <cdr:x>0.41943</cdr:x>
      <cdr:y>0.48353</cdr:y>
    </cdr:to>
    <cdr:sp macro="" textlink="">
      <cdr:nvSpPr>
        <cdr:cNvPr id="2" name="TextBox 1"/>
        <cdr:cNvSpPr txBox="1"/>
      </cdr:nvSpPr>
      <cdr:spPr>
        <a:xfrm xmlns:a="http://schemas.openxmlformats.org/drawingml/2006/main">
          <a:off x="1283676" y="1186455"/>
          <a:ext cx="927720" cy="3000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696.24</a:t>
          </a:r>
          <a:endParaRPr lang="zh-CN" altLang="en-US" sz="1100"/>
        </a:p>
      </cdr:txBody>
    </cdr:sp>
  </cdr:relSizeAnchor>
  <cdr:relSizeAnchor xmlns:cdr="http://schemas.openxmlformats.org/drawingml/2006/chartDrawing">
    <cdr:from>
      <cdr:x>0.58377</cdr:x>
      <cdr:y>0.19519</cdr:y>
    </cdr:from>
    <cdr:to>
      <cdr:x>0.78302</cdr:x>
      <cdr:y>0.32383</cdr:y>
    </cdr:to>
    <cdr:sp macro="" textlink="">
      <cdr:nvSpPr>
        <cdr:cNvPr id="3" name="TextBox 2"/>
        <cdr:cNvSpPr txBox="1"/>
      </cdr:nvSpPr>
      <cdr:spPr>
        <a:xfrm xmlns:a="http://schemas.openxmlformats.org/drawingml/2006/main">
          <a:off x="3078991" y="600502"/>
          <a:ext cx="1050878" cy="3957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1002.31</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0.2448</cdr:x>
      <cdr:y>0.37706</cdr:y>
    </cdr:from>
    <cdr:to>
      <cdr:x>0.42075</cdr:x>
      <cdr:y>0.47465</cdr:y>
    </cdr:to>
    <cdr:sp macro="" textlink="">
      <cdr:nvSpPr>
        <cdr:cNvPr id="2" name="TextBox 1"/>
        <cdr:cNvSpPr txBox="1"/>
      </cdr:nvSpPr>
      <cdr:spPr>
        <a:xfrm xmlns:a="http://schemas.openxmlformats.org/drawingml/2006/main">
          <a:off x="1291135" y="1160060"/>
          <a:ext cx="928047"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678.28</a:t>
          </a:r>
          <a:endParaRPr lang="zh-CN" altLang="en-US" sz="1100"/>
        </a:p>
      </cdr:txBody>
    </cdr:sp>
  </cdr:relSizeAnchor>
  <cdr:relSizeAnchor xmlns:cdr="http://schemas.openxmlformats.org/drawingml/2006/chartDrawing">
    <cdr:from>
      <cdr:x>0.66657</cdr:x>
      <cdr:y>0.24842</cdr:y>
    </cdr:from>
    <cdr:to>
      <cdr:x>0.86582</cdr:x>
      <cdr:y>0.37706</cdr:y>
    </cdr:to>
    <cdr:sp macro="" textlink="">
      <cdr:nvSpPr>
        <cdr:cNvPr id="3" name="TextBox 2"/>
        <cdr:cNvSpPr txBox="1"/>
      </cdr:nvSpPr>
      <cdr:spPr>
        <a:xfrm xmlns:a="http://schemas.openxmlformats.org/drawingml/2006/main">
          <a:off x="3515719" y="764275"/>
          <a:ext cx="1050878" cy="3957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964.22</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0.10507</cdr:x>
      <cdr:y>0.31496</cdr:y>
    </cdr:from>
    <cdr:to>
      <cdr:x>0.28102</cdr:x>
      <cdr:y>0.41255</cdr:y>
    </cdr:to>
    <cdr:sp macro="" textlink="">
      <cdr:nvSpPr>
        <cdr:cNvPr id="2" name="TextBox 1"/>
        <cdr:cNvSpPr txBox="1"/>
      </cdr:nvSpPr>
      <cdr:spPr>
        <a:xfrm xmlns:a="http://schemas.openxmlformats.org/drawingml/2006/main">
          <a:off x="554156" y="968992"/>
          <a:ext cx="928047"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33.27%</a:t>
          </a:r>
          <a:r>
            <a:rPr lang="zh-CN"/>
            <a:t> </a:t>
          </a:r>
          <a:endParaRPr lang="zh-CN" altLang="en-US" sz="1100"/>
        </a:p>
      </cdr:txBody>
    </cdr:sp>
  </cdr:relSizeAnchor>
  <cdr:relSizeAnchor xmlns:cdr="http://schemas.openxmlformats.org/drawingml/2006/chartDrawing">
    <cdr:from>
      <cdr:x>0.75714</cdr:x>
      <cdr:y>0.19519</cdr:y>
    </cdr:from>
    <cdr:to>
      <cdr:x>0.95638</cdr:x>
      <cdr:y>0.32383</cdr:y>
    </cdr:to>
    <cdr:sp macro="" textlink="">
      <cdr:nvSpPr>
        <cdr:cNvPr id="3" name="TextBox 2"/>
        <cdr:cNvSpPr txBox="1"/>
      </cdr:nvSpPr>
      <cdr:spPr>
        <a:xfrm xmlns:a="http://schemas.openxmlformats.org/drawingml/2006/main">
          <a:off x="3993390" y="600502"/>
          <a:ext cx="1050878" cy="3957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49.20%</a:t>
          </a:r>
          <a:r>
            <a:rPr lang="en-US"/>
            <a:t> </a:t>
          </a:r>
          <a:endParaRPr lang="zh-CN" altLang="en-US" sz="1100"/>
        </a:p>
      </cdr:txBody>
    </cdr:sp>
  </cdr:relSizeAnchor>
  <cdr:relSizeAnchor xmlns:cdr="http://schemas.openxmlformats.org/drawingml/2006/chartDrawing">
    <cdr:from>
      <cdr:x>0.21892</cdr:x>
      <cdr:y>0.51901</cdr:y>
    </cdr:from>
    <cdr:to>
      <cdr:x>0.35865</cdr:x>
      <cdr:y>0.60774</cdr:y>
    </cdr:to>
    <cdr:sp macro="" textlink="">
      <cdr:nvSpPr>
        <cdr:cNvPr id="5" name="TextBox 4"/>
        <cdr:cNvSpPr txBox="1"/>
      </cdr:nvSpPr>
      <cdr:spPr>
        <a:xfrm xmlns:a="http://schemas.openxmlformats.org/drawingml/2006/main">
          <a:off x="1154656" y="1596788"/>
          <a:ext cx="736979" cy="2729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0.21%</a:t>
          </a:r>
          <a:r>
            <a:rPr lang="en-US"/>
            <a:t> </a:t>
          </a:r>
          <a:endParaRPr lang="zh-CN" altLang="en-US" sz="1100"/>
        </a:p>
      </cdr:txBody>
    </cdr:sp>
  </cdr:relSizeAnchor>
  <cdr:relSizeAnchor xmlns:cdr="http://schemas.openxmlformats.org/drawingml/2006/chartDrawing">
    <cdr:from>
      <cdr:x>0.32242</cdr:x>
      <cdr:y>0.46135</cdr:y>
    </cdr:from>
    <cdr:to>
      <cdr:x>0.46215</cdr:x>
      <cdr:y>0.55894</cdr:y>
    </cdr:to>
    <cdr:sp macro="" textlink="">
      <cdr:nvSpPr>
        <cdr:cNvPr id="6" name="TextBox 5"/>
        <cdr:cNvSpPr txBox="1"/>
      </cdr:nvSpPr>
      <cdr:spPr>
        <a:xfrm xmlns:a="http://schemas.openxmlformats.org/drawingml/2006/main">
          <a:off x="1700568" y="1419368"/>
          <a:ext cx="736979"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11.23%</a:t>
          </a:r>
          <a:r>
            <a:rPr lang="en-US"/>
            <a:t> </a:t>
          </a:r>
          <a:endParaRPr lang="zh-CN" altLang="en-US" sz="1100"/>
        </a:p>
      </cdr:txBody>
    </cdr:sp>
  </cdr:relSizeAnchor>
  <cdr:relSizeAnchor xmlns:cdr="http://schemas.openxmlformats.org/drawingml/2006/chartDrawing">
    <cdr:from>
      <cdr:x>0.44404</cdr:x>
      <cdr:y>0.50571</cdr:y>
    </cdr:from>
    <cdr:to>
      <cdr:x>0.56048</cdr:x>
      <cdr:y>0.59886</cdr:y>
    </cdr:to>
    <cdr:sp macro="" textlink="">
      <cdr:nvSpPr>
        <cdr:cNvPr id="7" name="TextBox 6"/>
        <cdr:cNvSpPr txBox="1"/>
      </cdr:nvSpPr>
      <cdr:spPr>
        <a:xfrm xmlns:a="http://schemas.openxmlformats.org/drawingml/2006/main">
          <a:off x="2342013" y="1555845"/>
          <a:ext cx="614149" cy="2866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1.49%</a:t>
          </a:r>
          <a:r>
            <a:rPr lang="en-US"/>
            <a:t> </a:t>
          </a:r>
          <a:endParaRPr lang="zh-CN" altLang="en-US" sz="1100"/>
        </a:p>
      </cdr:txBody>
    </cdr:sp>
  </cdr:relSizeAnchor>
  <cdr:relSizeAnchor xmlns:cdr="http://schemas.openxmlformats.org/drawingml/2006/chartDrawing">
    <cdr:from>
      <cdr:x>0.59412</cdr:x>
      <cdr:y>0.55894</cdr:y>
    </cdr:from>
    <cdr:to>
      <cdr:x>0.76749</cdr:x>
      <cdr:y>0.85615</cdr:y>
    </cdr:to>
    <cdr:sp macro="" textlink="">
      <cdr:nvSpPr>
        <cdr:cNvPr id="8" name="TextBox 7"/>
        <cdr:cNvSpPr txBox="1"/>
      </cdr:nvSpPr>
      <cdr:spPr>
        <a:xfrm xmlns:a="http://schemas.openxmlformats.org/drawingml/2006/main">
          <a:off x="3133583" y="1719618"/>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0.55272</cdr:x>
      <cdr:y>0.53232</cdr:y>
    </cdr:from>
    <cdr:to>
      <cdr:x>0.67951</cdr:x>
      <cdr:y>0.60774</cdr:y>
    </cdr:to>
    <cdr:sp macro="" textlink="">
      <cdr:nvSpPr>
        <cdr:cNvPr id="9" name="TextBox 8"/>
        <cdr:cNvSpPr txBox="1"/>
      </cdr:nvSpPr>
      <cdr:spPr>
        <a:xfrm xmlns:a="http://schemas.openxmlformats.org/drawingml/2006/main">
          <a:off x="2915219" y="1637732"/>
          <a:ext cx="668740" cy="2320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0.08%</a:t>
          </a:r>
          <a:r>
            <a:rPr lang="en-US"/>
            <a:t> </a:t>
          </a:r>
          <a:endParaRPr lang="zh-CN" altLang="en-US" sz="1100"/>
        </a:p>
      </cdr:txBody>
    </cdr:sp>
  </cdr:relSizeAnchor>
  <cdr:relSizeAnchor xmlns:cdr="http://schemas.openxmlformats.org/drawingml/2006/chartDrawing">
    <cdr:from>
      <cdr:x>0.6614</cdr:x>
      <cdr:y>0.51014</cdr:y>
    </cdr:from>
    <cdr:to>
      <cdr:x>0.82442</cdr:x>
      <cdr:y>0.61217</cdr:y>
    </cdr:to>
    <cdr:sp macro="" textlink="">
      <cdr:nvSpPr>
        <cdr:cNvPr id="11" name="TextBox 10"/>
        <cdr:cNvSpPr txBox="1"/>
      </cdr:nvSpPr>
      <cdr:spPr>
        <a:xfrm xmlns:a="http://schemas.openxmlformats.org/drawingml/2006/main">
          <a:off x="3488425" y="1569493"/>
          <a:ext cx="859809" cy="313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0.62%</a:t>
          </a:r>
          <a:r>
            <a:rPr lang="en-US"/>
            <a:t> </a:t>
          </a:r>
          <a:endParaRPr lang="zh-CN" altLang="en-US" sz="1100"/>
        </a:p>
      </cdr:txBody>
    </cdr:sp>
  </cdr:relSizeAnchor>
  <cdr:relSizeAnchor xmlns:cdr="http://schemas.openxmlformats.org/drawingml/2006/chartDrawing">
    <cdr:from>
      <cdr:x>0.87099</cdr:x>
      <cdr:y>0.50127</cdr:y>
    </cdr:from>
    <cdr:to>
      <cdr:x>0.97967</cdr:x>
      <cdr:y>0.58556</cdr:y>
    </cdr:to>
    <cdr:sp macro="" textlink="">
      <cdr:nvSpPr>
        <cdr:cNvPr id="12" name="TextBox 11"/>
        <cdr:cNvSpPr txBox="1"/>
      </cdr:nvSpPr>
      <cdr:spPr>
        <a:xfrm xmlns:a="http://schemas.openxmlformats.org/drawingml/2006/main">
          <a:off x="4593893" y="1542197"/>
          <a:ext cx="573206" cy="2593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0" i="0" u="none" strike="noStrike">
              <a:latin typeface="+mn-lt"/>
              <a:ea typeface="+mn-ea"/>
              <a:cs typeface="+mn-cs"/>
            </a:rPr>
            <a:t>3.90%</a:t>
          </a:r>
          <a:r>
            <a:rPr lang="en-US"/>
            <a:t> </a:t>
          </a:r>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1681A-7C1C-45BE-9B8E-418B70DC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33</Pages>
  <Words>2261</Words>
  <Characters>12892</Characters>
  <Application>Microsoft Office Word</Application>
  <DocSecurity>0</DocSecurity>
  <Lines>107</Lines>
  <Paragraphs>30</Paragraphs>
  <ScaleCrop>false</ScaleCrop>
  <Company>四川省财政厅</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微软中国</cp:lastModifiedBy>
  <cp:revision>10</cp:revision>
  <cp:lastPrinted>2019-10-14T08:31:00Z</cp:lastPrinted>
  <dcterms:created xsi:type="dcterms:W3CDTF">2019-11-04T09:49:00Z</dcterms:created>
  <dcterms:modified xsi:type="dcterms:W3CDTF">2019-11-05T01:21:00Z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