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475"/>
      <w:bookmarkStart w:id="3" w:name="_Toc15377193"/>
      <w:bookmarkStart w:id="4" w:name="_Toc15378441"/>
      <w:bookmarkStart w:id="5" w:name="_Toc15396597"/>
      <w:r>
        <w:rPr>
          <w:rFonts w:ascii="黑体" w:hAnsi="黑体" w:eastAsia="黑体" w:cs="黑体"/>
          <w:color w:val="000000"/>
          <w:sz w:val="72"/>
          <w:szCs w:val="72"/>
        </w:rPr>
        <w:t>2018</w:t>
      </w:r>
      <w:r>
        <w:rPr>
          <w:rFonts w:hint="eastAsia" w:ascii="方正小标宋简体" w:hAnsi="宋体" w:eastAsia="方正小标宋简体" w:cs="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476"/>
      <w:bookmarkStart w:id="8" w:name="_Toc15377194"/>
      <w:bookmarkStart w:id="9" w:name="_Toc15396598"/>
      <w:bookmarkStart w:id="10" w:name="_Toc15377426"/>
      <w:r>
        <w:rPr>
          <w:rFonts w:hint="eastAsia" w:ascii="方正小标宋简体" w:hAnsi="宋体" w:eastAsia="方正小标宋简体" w:cs="方正小标宋简体"/>
          <w:color w:val="000000"/>
          <w:sz w:val="72"/>
          <w:szCs w:val="72"/>
        </w:rPr>
        <w:t>四川省乐山市井研县</w:t>
      </w:r>
      <w:bookmarkStart w:id="11" w:name="_Toc15306268"/>
      <w:bookmarkEnd w:id="0"/>
      <w:r>
        <w:rPr>
          <w:rFonts w:hint="eastAsia" w:ascii="方正小标宋简体" w:hAnsi="宋体" w:eastAsia="方正小标宋简体" w:cs="方正小标宋简体"/>
          <w:color w:val="000000"/>
          <w:sz w:val="72"/>
          <w:szCs w:val="72"/>
        </w:rPr>
        <w:t>中国共产党井研县委员会人民政府接待办公室决算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s="黑体"/>
          <w:color w:val="000000"/>
          <w:sz w:val="48"/>
          <w:szCs w:val="48"/>
        </w:rPr>
        <w:t>目录</w:t>
      </w:r>
    </w:p>
    <w:p>
      <w:pPr>
        <w:widowControl/>
        <w:jc w:val="center"/>
        <w:rPr>
          <w:rFonts w:ascii="黑体" w:hAnsi="黑体" w:eastAsia="黑体"/>
          <w:sz w:val="28"/>
          <w:szCs w:val="28"/>
        </w:rPr>
      </w:pPr>
      <w:r>
        <w:rPr>
          <w:rFonts w:ascii="黑体" w:hAnsi="黑体" w:eastAsia="黑体" w:cs="黑体"/>
          <w:color w:val="000000"/>
          <w:sz w:val="48"/>
          <w:szCs w:val="48"/>
        </w:rPr>
        <w:fldChar w:fldCharType="begin"/>
      </w:r>
      <w:r>
        <w:rPr>
          <w:rFonts w:ascii="黑体" w:hAnsi="黑体" w:eastAsia="黑体" w:cs="黑体"/>
          <w:color w:val="000000"/>
          <w:sz w:val="48"/>
          <w:szCs w:val="48"/>
        </w:rPr>
        <w:instrText xml:space="preserve"> TOC \o "1-2" \h \z \u </w:instrText>
      </w:r>
      <w:r>
        <w:rPr>
          <w:rFonts w:ascii="黑体" w:hAnsi="黑体" w:eastAsia="黑体" w:cs="黑体"/>
          <w:color w:val="000000"/>
          <w:sz w:val="48"/>
          <w:szCs w:val="48"/>
        </w:rPr>
        <w:fldChar w:fldCharType="separate"/>
      </w:r>
    </w:p>
    <w:p>
      <w:pPr>
        <w:pStyle w:val="10"/>
        <w:rPr>
          <w:rFonts w:cs="Times New Roman"/>
        </w:rPr>
      </w:pPr>
      <w:r>
        <w:rPr>
          <w:rFonts w:hint="eastAsia"/>
        </w:rPr>
        <w:t>公开时间：</w:t>
      </w:r>
      <w:r>
        <w:t>2019</w:t>
      </w:r>
      <w:r>
        <w:rPr>
          <w:rFonts w:hint="eastAsia"/>
        </w:rPr>
        <w:t>年</w:t>
      </w:r>
      <w:r>
        <w:t>10</w:t>
      </w:r>
      <w:r>
        <w:rPr>
          <w:rFonts w:hint="eastAsia"/>
        </w:rPr>
        <w:t>月</w:t>
      </w:r>
      <w:r>
        <w:t>30</w:t>
      </w:r>
      <w:r>
        <w:rPr>
          <w:rFonts w:hint="eastAsia"/>
        </w:rPr>
        <w:t>日</w:t>
      </w:r>
    </w:p>
    <w:p/>
    <w:p>
      <w:pPr>
        <w:pStyle w:val="10"/>
        <w:rPr>
          <w:rFonts w:cs="Times New Roman"/>
        </w:rPr>
      </w:pPr>
      <w:r>
        <w:fldChar w:fldCharType="begin"/>
      </w:r>
      <w:r>
        <w:instrText xml:space="preserve"> HYPERLINK \l "_Toc15396599" </w:instrText>
      </w:r>
      <w:r>
        <w:fldChar w:fldCharType="separate"/>
      </w:r>
      <w:r>
        <w:rPr>
          <w:rStyle w:val="14"/>
          <w:rFonts w:hint="eastAsia"/>
        </w:rPr>
        <w:t>第一部分</w:t>
      </w:r>
      <w:r>
        <w:rPr>
          <w:rStyle w:val="14"/>
        </w:rPr>
        <w:t xml:space="preserve"> </w:t>
      </w:r>
      <w:r>
        <w:rPr>
          <w:rStyle w:val="14"/>
          <w:rFonts w:hint="eastAsia"/>
        </w:rPr>
        <w:t>部门概况</w:t>
      </w:r>
      <w:r>
        <w:rPr>
          <w:rFonts w:cs="Times New Roman"/>
        </w:rPr>
        <w:tab/>
      </w:r>
      <w:r>
        <w:t>4</w:t>
      </w:r>
      <w:r>
        <w:fldChar w:fldCharType="end"/>
      </w:r>
    </w:p>
    <w:p>
      <w:pPr>
        <w:pStyle w:val="11"/>
        <w:ind w:left="31680"/>
        <w:rPr>
          <w:rFonts w:ascii="仿宋" w:hAnsi="仿宋" w:eastAsia="仿宋"/>
          <w:sz w:val="28"/>
          <w:szCs w:val="28"/>
        </w:rPr>
      </w:pPr>
      <w:r>
        <w:fldChar w:fldCharType="begin"/>
      </w:r>
      <w:r>
        <w:instrText xml:space="preserve"> HYPERLINK \l "_Toc15396600" </w:instrText>
      </w:r>
      <w:r>
        <w:fldChar w:fldCharType="separate"/>
      </w:r>
      <w:r>
        <w:rPr>
          <w:rStyle w:val="14"/>
          <w:rFonts w:hint="eastAsia" w:ascii="仿宋" w:hAnsi="仿宋" w:eastAsia="仿宋" w:cs="仿宋"/>
          <w:sz w:val="28"/>
          <w:szCs w:val="28"/>
        </w:rPr>
        <w:t>一、基本职能及主要工作</w:t>
      </w:r>
      <w:r>
        <w:rPr>
          <w:rFonts w:ascii="仿宋" w:hAnsi="仿宋" w:eastAsia="仿宋"/>
          <w:sz w:val="28"/>
          <w:szCs w:val="28"/>
        </w:rPr>
        <w:tab/>
      </w:r>
      <w:r>
        <w:rPr>
          <w:rFonts w:ascii="仿宋" w:hAnsi="仿宋" w:eastAsia="仿宋" w:cs="仿宋"/>
          <w:sz w:val="28"/>
          <w:szCs w:val="28"/>
        </w:rPr>
        <w:t>4</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"_Toc15396601" </w:instrText>
      </w:r>
      <w:r>
        <w:fldChar w:fldCharType="separate"/>
      </w:r>
      <w:r>
        <w:rPr>
          <w:rStyle w:val="14"/>
          <w:rFonts w:hint="eastAsia" w:ascii="仿宋" w:hAnsi="仿宋" w:eastAsia="仿宋" w:cs="仿宋"/>
          <w:sz w:val="28"/>
          <w:szCs w:val="28"/>
        </w:rPr>
        <w:t>二、机构设置</w:t>
      </w:r>
      <w:r>
        <w:rPr>
          <w:rFonts w:ascii="仿宋" w:hAnsi="仿宋" w:eastAsia="仿宋"/>
          <w:sz w:val="28"/>
          <w:szCs w:val="28"/>
        </w:rPr>
        <w:tab/>
      </w:r>
      <w:r>
        <w:rPr>
          <w:rFonts w:ascii="仿宋" w:hAnsi="仿宋" w:eastAsia="仿宋" w:cs="仿宋"/>
          <w:sz w:val="28"/>
          <w:szCs w:val="28"/>
        </w:rPr>
        <w:t>4</w:t>
      </w:r>
      <w:r>
        <w:rPr>
          <w:rFonts w:ascii="仿宋" w:hAnsi="仿宋" w:eastAsia="仿宋" w:cs="仿宋"/>
          <w:sz w:val="28"/>
          <w:szCs w:val="28"/>
        </w:rPr>
        <w:fldChar w:fldCharType="end"/>
      </w:r>
    </w:p>
    <w:p>
      <w:pPr>
        <w:pStyle w:val="10"/>
        <w:rPr>
          <w:rFonts w:cs="Times New Roman"/>
        </w:rPr>
      </w:pPr>
      <w:r>
        <w:fldChar w:fldCharType="begin"/>
      </w:r>
      <w:r>
        <w:instrText xml:space="preserve"> HYPERLINK \l "_Toc15396602" </w:instrText>
      </w:r>
      <w:r>
        <w:fldChar w:fldCharType="separate"/>
      </w:r>
      <w:r>
        <w:rPr>
          <w:rStyle w:val="14"/>
          <w:rFonts w:hint="eastAsia"/>
        </w:rPr>
        <w:t>第二部分</w:t>
      </w:r>
      <w:r>
        <w:rPr>
          <w:rStyle w:val="14"/>
        </w:rPr>
        <w:t xml:space="preserve"> 2018</w:t>
      </w:r>
      <w:r>
        <w:rPr>
          <w:rStyle w:val="14"/>
          <w:rFonts w:hint="eastAsia"/>
        </w:rPr>
        <w:t>年度部门决算情况说明</w:t>
      </w:r>
      <w:r>
        <w:rPr>
          <w:rFonts w:cs="Times New Roman"/>
        </w:rPr>
        <w:tab/>
      </w:r>
      <w:r>
        <w:t>5</w:t>
      </w:r>
      <w:r>
        <w:fldChar w:fldCharType="end"/>
      </w:r>
    </w:p>
    <w:p>
      <w:pPr>
        <w:pStyle w:val="11"/>
        <w:ind w:left="31680"/>
        <w:rPr>
          <w:rFonts w:ascii="仿宋" w:hAnsi="仿宋" w:eastAsia="仿宋"/>
          <w:sz w:val="28"/>
          <w:szCs w:val="28"/>
        </w:rPr>
      </w:pPr>
      <w:r>
        <w:fldChar w:fldCharType="begin"/>
      </w:r>
      <w:r>
        <w:instrText xml:space="preserve"> HYPERLINK \l "_Toc15396603" </w:instrText>
      </w:r>
      <w:r>
        <w:fldChar w:fldCharType="separate"/>
      </w:r>
      <w:r>
        <w:rPr>
          <w:rStyle w:val="14"/>
          <w:rFonts w:hint="eastAsia" w:ascii="仿宋" w:hAnsi="仿宋" w:eastAsia="仿宋" w:cs="仿宋"/>
          <w:sz w:val="28"/>
          <w:szCs w:val="28"/>
        </w:rPr>
        <w:t>一、收入支出决算总体情况说明</w:t>
      </w:r>
      <w:r>
        <w:rPr>
          <w:rFonts w:ascii="仿宋" w:hAnsi="仿宋" w:eastAsia="仿宋"/>
          <w:sz w:val="28"/>
          <w:szCs w:val="28"/>
        </w:rPr>
        <w:tab/>
      </w:r>
      <w:r>
        <w:rPr>
          <w:rFonts w:ascii="仿宋" w:hAnsi="仿宋" w:eastAsia="仿宋" w:cs="仿宋"/>
          <w:sz w:val="28"/>
          <w:szCs w:val="28"/>
        </w:rPr>
        <w:t>5</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"_Toc15396604" </w:instrText>
      </w:r>
      <w:r>
        <w:fldChar w:fldCharType="separate"/>
      </w:r>
      <w:r>
        <w:rPr>
          <w:rStyle w:val="14"/>
          <w:rFonts w:hint="eastAsia" w:ascii="仿宋" w:hAnsi="仿宋" w:eastAsia="仿宋" w:cs="仿宋"/>
          <w:sz w:val="28"/>
          <w:szCs w:val="28"/>
        </w:rPr>
        <w:t>二、收入决算情况说明</w:t>
      </w:r>
      <w:r>
        <w:rPr>
          <w:rFonts w:ascii="仿宋" w:hAnsi="仿宋" w:eastAsia="仿宋"/>
          <w:sz w:val="28"/>
          <w:szCs w:val="28"/>
        </w:rPr>
        <w:tab/>
      </w:r>
      <w:r>
        <w:rPr>
          <w:rFonts w:ascii="仿宋" w:hAnsi="仿宋" w:eastAsia="仿宋" w:cs="仿宋"/>
          <w:sz w:val="28"/>
          <w:szCs w:val="28"/>
        </w:rPr>
        <w:t>5</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"_Toc15396605" </w:instrText>
      </w:r>
      <w:r>
        <w:fldChar w:fldCharType="separate"/>
      </w:r>
      <w:r>
        <w:rPr>
          <w:rStyle w:val="14"/>
          <w:rFonts w:hint="eastAsia" w:ascii="仿宋" w:hAnsi="仿宋" w:eastAsia="仿宋" w:cs="仿宋"/>
          <w:sz w:val="28"/>
          <w:szCs w:val="28"/>
        </w:rPr>
        <w:t>三、支出决算情况说明</w:t>
      </w:r>
      <w:r>
        <w:rPr>
          <w:rFonts w:ascii="仿宋" w:hAnsi="仿宋" w:eastAsia="仿宋"/>
          <w:sz w:val="28"/>
          <w:szCs w:val="28"/>
        </w:rPr>
        <w:tab/>
      </w:r>
      <w:r>
        <w:rPr>
          <w:rFonts w:ascii="仿宋" w:hAnsi="仿宋" w:eastAsia="仿宋" w:cs="仿宋"/>
          <w:sz w:val="28"/>
          <w:szCs w:val="28"/>
        </w:rPr>
        <w:t>6</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"_Toc15396606" </w:instrText>
      </w:r>
      <w:r>
        <w:fldChar w:fldCharType="separate"/>
      </w:r>
      <w:r>
        <w:rPr>
          <w:rStyle w:val="14"/>
          <w:rFonts w:hint="eastAsia" w:ascii="仿宋" w:hAnsi="仿宋" w:eastAsia="仿宋" w:cs="仿宋"/>
          <w:sz w:val="28"/>
          <w:szCs w:val="28"/>
        </w:rPr>
        <w:t>四、财政拨款收入支出决算总体情况说明</w:t>
      </w:r>
      <w:r>
        <w:rPr>
          <w:rFonts w:ascii="仿宋" w:hAnsi="仿宋" w:eastAsia="仿宋"/>
          <w:sz w:val="28"/>
          <w:szCs w:val="28"/>
        </w:rPr>
        <w:tab/>
      </w:r>
      <w:r>
        <w:rPr>
          <w:rFonts w:ascii="仿宋" w:hAnsi="仿宋" w:eastAsia="仿宋" w:cs="仿宋"/>
          <w:sz w:val="28"/>
          <w:szCs w:val="28"/>
        </w:rPr>
        <w:t>6</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"_Toc15396607" </w:instrText>
      </w:r>
      <w:r>
        <w:fldChar w:fldCharType="separate"/>
      </w:r>
      <w:r>
        <w:rPr>
          <w:rStyle w:val="14"/>
          <w:rFonts w:hint="eastAsia" w:ascii="仿宋" w:hAnsi="仿宋" w:eastAsia="仿宋" w:cs="仿宋"/>
          <w:sz w:val="28"/>
          <w:szCs w:val="28"/>
        </w:rPr>
        <w:t>五、一般公共预算财政拨款支出决算情况说明</w:t>
      </w:r>
      <w:r>
        <w:rPr>
          <w:rFonts w:ascii="仿宋" w:hAnsi="仿宋" w:eastAsia="仿宋"/>
          <w:sz w:val="28"/>
          <w:szCs w:val="28"/>
        </w:rPr>
        <w:tab/>
      </w:r>
      <w:r>
        <w:rPr>
          <w:rFonts w:ascii="仿宋" w:hAnsi="仿宋" w:eastAsia="仿宋" w:cs="仿宋"/>
          <w:sz w:val="28"/>
          <w:szCs w:val="28"/>
        </w:rPr>
        <w:t>7</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"_Toc15396608" </w:instrText>
      </w:r>
      <w:r>
        <w:fldChar w:fldCharType="separate"/>
      </w:r>
      <w:r>
        <w:rPr>
          <w:rStyle w:val="14"/>
          <w:rFonts w:hint="eastAsia" w:ascii="仿宋" w:hAnsi="仿宋" w:eastAsia="仿宋" w:cs="仿宋"/>
          <w:sz w:val="28"/>
          <w:szCs w:val="28"/>
        </w:rPr>
        <w:t>六、一般公共预算财政拨款基本支出决算情况说明</w:t>
      </w:r>
      <w:r>
        <w:rPr>
          <w:rFonts w:ascii="仿宋" w:hAnsi="仿宋" w:eastAsia="仿宋"/>
          <w:sz w:val="28"/>
          <w:szCs w:val="28"/>
        </w:rPr>
        <w:tab/>
      </w:r>
      <w:r>
        <w:rPr>
          <w:rFonts w:ascii="仿宋" w:hAnsi="仿宋" w:eastAsia="仿宋" w:cs="仿宋"/>
          <w:sz w:val="28"/>
          <w:szCs w:val="28"/>
        </w:rPr>
        <w:t>10</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"_Toc15396609" </w:instrText>
      </w:r>
      <w:r>
        <w:fldChar w:fldCharType="separate"/>
      </w:r>
      <w:r>
        <w:rPr>
          <w:rStyle w:val="14"/>
          <w:rFonts w:hint="eastAsia" w:ascii="仿宋" w:hAnsi="仿宋" w:eastAsia="仿宋" w:cs="仿宋"/>
          <w:sz w:val="28"/>
          <w:szCs w:val="28"/>
        </w:rPr>
        <w:t>七、“三公”经费财政拨款支出决算情况说明</w:t>
      </w:r>
      <w:r>
        <w:rPr>
          <w:rFonts w:ascii="仿宋" w:hAnsi="仿宋" w:eastAsia="仿宋"/>
          <w:sz w:val="28"/>
          <w:szCs w:val="28"/>
        </w:rPr>
        <w:tab/>
      </w:r>
      <w:r>
        <w:rPr>
          <w:rFonts w:ascii="仿宋" w:hAnsi="仿宋" w:eastAsia="仿宋" w:cs="仿宋"/>
          <w:sz w:val="28"/>
          <w:szCs w:val="28"/>
        </w:rPr>
        <w:t>10</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"_Toc15396610" </w:instrText>
      </w:r>
      <w:r>
        <w:fldChar w:fldCharType="separate"/>
      </w:r>
      <w:r>
        <w:rPr>
          <w:rStyle w:val="14"/>
          <w:rFonts w:hint="eastAsia" w:ascii="仿宋" w:hAnsi="仿宋" w:eastAsia="仿宋" w:cs="仿宋"/>
          <w:sz w:val="28"/>
          <w:szCs w:val="28"/>
        </w:rPr>
        <w:t>八、政府性基金预算支出决算情况说明</w:t>
      </w:r>
      <w:r>
        <w:rPr>
          <w:rFonts w:ascii="仿宋" w:hAnsi="仿宋" w:eastAsia="仿宋"/>
          <w:sz w:val="28"/>
          <w:szCs w:val="28"/>
        </w:rPr>
        <w:tab/>
      </w:r>
      <w:r>
        <w:rPr>
          <w:rFonts w:ascii="仿宋" w:hAnsi="仿宋" w:eastAsia="仿宋" w:cs="仿宋"/>
          <w:sz w:val="28"/>
          <w:szCs w:val="28"/>
        </w:rPr>
        <w:t>12</w:t>
      </w:r>
      <w:r>
        <w:rPr>
          <w:rFonts w:ascii="仿宋" w:hAnsi="仿宋" w:eastAsia="仿宋" w:cs="仿宋"/>
          <w:sz w:val="28"/>
          <w:szCs w:val="28"/>
        </w:rPr>
        <w:fldChar w:fldCharType="end"/>
      </w:r>
    </w:p>
    <w:p>
      <w:pPr>
        <w:pStyle w:val="11"/>
        <w:ind w:left="31680"/>
      </w:pPr>
      <w:r>
        <w:fldChar w:fldCharType="begin"/>
      </w:r>
      <w:r>
        <w:instrText xml:space="preserve"> HYPERLINK \l "_Toc15396611" </w:instrText>
      </w:r>
      <w:r>
        <w:fldChar w:fldCharType="separate"/>
      </w:r>
      <w:r>
        <w:rPr>
          <w:rStyle w:val="14"/>
          <w:rFonts w:hint="eastAsia" w:ascii="仿宋" w:hAnsi="仿宋" w:eastAsia="仿宋" w:cs="仿宋"/>
          <w:sz w:val="28"/>
          <w:szCs w:val="28"/>
        </w:rPr>
        <w:t>九、</w:t>
      </w:r>
      <w:r>
        <w:rPr>
          <w:rStyle w:val="14"/>
          <w:rFonts w:ascii="仿宋" w:hAnsi="仿宋" w:eastAsia="仿宋" w:cs="仿宋"/>
          <w:sz w:val="28"/>
          <w:szCs w:val="28"/>
        </w:rPr>
        <w:t xml:space="preserve"> </w:t>
      </w:r>
      <w:r>
        <w:rPr>
          <w:rStyle w:val="14"/>
          <w:rFonts w:hint="eastAsia" w:ascii="仿宋" w:hAnsi="仿宋" w:eastAsia="仿宋" w:cs="仿宋"/>
          <w:sz w:val="28"/>
          <w:szCs w:val="28"/>
        </w:rPr>
        <w:t>国有资本经营预算支出决算情况说明</w:t>
      </w:r>
      <w:r>
        <w:rPr>
          <w:rFonts w:ascii="仿宋" w:hAnsi="仿宋" w:eastAsia="仿宋"/>
          <w:sz w:val="28"/>
          <w:szCs w:val="28"/>
        </w:rPr>
        <w:tab/>
      </w:r>
      <w:r>
        <w:rPr>
          <w:rFonts w:ascii="仿宋" w:hAnsi="仿宋" w:eastAsia="仿宋" w:cs="仿宋"/>
          <w:sz w:val="28"/>
          <w:szCs w:val="28"/>
        </w:rPr>
        <w:t>12</w:t>
      </w:r>
      <w:r>
        <w:rPr>
          <w:rFonts w:ascii="仿宋" w:hAnsi="仿宋" w:eastAsia="仿宋" w:cs="仿宋"/>
          <w:sz w:val="28"/>
          <w:szCs w:val="28"/>
        </w:rPr>
        <w:fldChar w:fldCharType="end"/>
      </w:r>
    </w:p>
    <w:p>
      <w:pPr>
        <w:pStyle w:val="27"/>
        <w:spacing w:line="580" w:lineRule="exact"/>
        <w:ind w:firstLineChars="0"/>
        <w:rPr>
          <w:rStyle w:val="17"/>
          <w:rFonts w:ascii="仿宋" w:hAnsi="仿宋" w:eastAsia="仿宋" w:cs="Times New Roman"/>
          <w:b w:val="0"/>
          <w:bCs w:val="0"/>
          <w:sz w:val="28"/>
          <w:szCs w:val="28"/>
        </w:rPr>
      </w:pPr>
      <w:r>
        <w:rPr>
          <w:rFonts w:hint="eastAsia" w:ascii="仿宋" w:hAnsi="仿宋" w:eastAsia="仿宋" w:cs="仿宋"/>
          <w:sz w:val="28"/>
          <w:szCs w:val="28"/>
        </w:rPr>
        <w:t>十、预算绩效情况说明</w:t>
      </w:r>
      <w:r>
        <w:rPr>
          <w:rFonts w:ascii="仿宋" w:hAnsi="仿宋" w:eastAsia="仿宋" w:cs="仿宋"/>
          <w:sz w:val="28"/>
          <w:szCs w:val="28"/>
        </w:rPr>
        <w:t xml:space="preserve">                                   12</w:t>
      </w:r>
    </w:p>
    <w:p>
      <w:pPr>
        <w:ind w:firstLine="31680" w:firstLineChars="200"/>
      </w:pPr>
    </w:p>
    <w:p>
      <w:pPr>
        <w:pStyle w:val="11"/>
        <w:ind w:left="31680"/>
        <w:rPr>
          <w:rFonts w:ascii="仿宋" w:hAnsi="仿宋" w:eastAsia="仿宋"/>
          <w:sz w:val="28"/>
          <w:szCs w:val="28"/>
        </w:rPr>
      </w:pPr>
      <w:r>
        <w:fldChar w:fldCharType="begin"/>
      </w:r>
      <w:r>
        <w:instrText xml:space="preserve"> HYPERLINK \l "_Toc15396612" </w:instrText>
      </w:r>
      <w:r>
        <w:fldChar w:fldCharType="separate"/>
      </w:r>
      <w:r>
        <w:rPr>
          <w:rStyle w:val="14"/>
          <w:rFonts w:hint="eastAsia" w:ascii="仿宋" w:hAnsi="仿宋" w:eastAsia="仿宋" w:cs="仿宋"/>
          <w:sz w:val="28"/>
          <w:szCs w:val="28"/>
        </w:rPr>
        <w:t>十一、其他重要事项的情况说明</w:t>
      </w:r>
      <w:r>
        <w:rPr>
          <w:rFonts w:ascii="仿宋" w:hAnsi="仿宋" w:eastAsia="仿宋"/>
          <w:sz w:val="28"/>
          <w:szCs w:val="28"/>
        </w:rPr>
        <w:tab/>
      </w:r>
      <w:r>
        <w:rPr>
          <w:rFonts w:ascii="仿宋" w:hAnsi="仿宋" w:eastAsia="仿宋" w:cs="仿宋"/>
          <w:sz w:val="28"/>
          <w:szCs w:val="28"/>
        </w:rPr>
        <w:t>15</w:t>
      </w:r>
      <w:r>
        <w:rPr>
          <w:rFonts w:ascii="仿宋" w:hAnsi="仿宋" w:eastAsia="仿宋" w:cs="仿宋"/>
          <w:sz w:val="28"/>
          <w:szCs w:val="28"/>
        </w:rPr>
        <w:fldChar w:fldCharType="end"/>
      </w:r>
    </w:p>
    <w:p>
      <w:pPr>
        <w:pStyle w:val="10"/>
        <w:rPr>
          <w:rFonts w:cs="Times New Roman"/>
        </w:rPr>
      </w:pPr>
      <w:r>
        <w:fldChar w:fldCharType="begin"/>
      </w:r>
      <w:r>
        <w:instrText xml:space="preserve"> HYPERLINK \l "_Toc15396613" </w:instrText>
      </w:r>
      <w:r>
        <w:fldChar w:fldCharType="separate"/>
      </w:r>
      <w:r>
        <w:rPr>
          <w:rStyle w:val="14"/>
          <w:rFonts w:hint="eastAsia"/>
          <w:kern w:val="44"/>
        </w:rPr>
        <w:t>第三部分</w:t>
      </w:r>
      <w:r>
        <w:rPr>
          <w:rStyle w:val="14"/>
        </w:rPr>
        <w:t xml:space="preserve"> </w:t>
      </w:r>
      <w:r>
        <w:rPr>
          <w:rStyle w:val="14"/>
          <w:rFonts w:hint="eastAsia"/>
        </w:rPr>
        <w:t>名</w:t>
      </w:r>
      <w:r>
        <w:rPr>
          <w:rStyle w:val="14"/>
          <w:rFonts w:hint="eastAsia"/>
          <w:kern w:val="44"/>
        </w:rPr>
        <w:t>词解释</w:t>
      </w:r>
      <w:r>
        <w:rPr>
          <w:rFonts w:cs="Times New Roman"/>
        </w:rPr>
        <w:tab/>
      </w:r>
      <w:r>
        <w:t>16</w:t>
      </w:r>
      <w:r>
        <w:fldChar w:fldCharType="end"/>
      </w:r>
    </w:p>
    <w:p>
      <w:pPr>
        <w:pStyle w:val="10"/>
        <w:rPr>
          <w:rFonts w:cs="Times New Roman"/>
        </w:rPr>
      </w:pPr>
      <w:r>
        <w:fldChar w:fldCharType="begin"/>
      </w:r>
      <w:r>
        <w:instrText xml:space="preserve"> HYPERLINK \l "_Toc15396614" </w:instrText>
      </w:r>
      <w:r>
        <w:fldChar w:fldCharType="separate"/>
      </w:r>
      <w:r>
        <w:rPr>
          <w:rStyle w:val="14"/>
          <w:rFonts w:hint="eastAsia"/>
        </w:rPr>
        <w:t>第</w:t>
      </w:r>
      <w:r>
        <w:rPr>
          <w:rStyle w:val="14"/>
          <w:rFonts w:hint="eastAsia"/>
          <w:kern w:val="44"/>
        </w:rPr>
        <w:t>四部分</w:t>
      </w:r>
      <w:r>
        <w:rPr>
          <w:rStyle w:val="14"/>
          <w:kern w:val="44"/>
        </w:rPr>
        <w:t xml:space="preserve"> </w:t>
      </w:r>
      <w:r>
        <w:rPr>
          <w:rStyle w:val="14"/>
          <w:rFonts w:hint="eastAsia"/>
          <w:kern w:val="44"/>
        </w:rPr>
        <w:t>附件</w:t>
      </w:r>
      <w:r>
        <w:rPr>
          <w:rFonts w:cs="Times New Roman"/>
        </w:rPr>
        <w:tab/>
      </w:r>
      <w:r>
        <w:t>18</w:t>
      </w:r>
      <w:r>
        <w:fldChar w:fldCharType="end"/>
      </w:r>
    </w:p>
    <w:p>
      <w:pPr>
        <w:pStyle w:val="11"/>
        <w:ind w:left="31680"/>
        <w:rPr>
          <w:rFonts w:ascii="仿宋" w:hAnsi="仿宋" w:eastAsia="仿宋"/>
          <w:sz w:val="28"/>
          <w:szCs w:val="28"/>
        </w:rPr>
      </w:pPr>
      <w:r>
        <w:fldChar w:fldCharType="begin"/>
      </w:r>
      <w:r>
        <w:instrText xml:space="preserve"> HYPERLINK \l "_Toc15396615" </w:instrText>
      </w:r>
      <w:r>
        <w:fldChar w:fldCharType="separate"/>
      </w:r>
      <w:r>
        <w:rPr>
          <w:rStyle w:val="14"/>
          <w:rFonts w:hint="eastAsia" w:ascii="仿宋" w:hAnsi="仿宋" w:eastAsia="仿宋" w:cs="仿宋"/>
          <w:kern w:val="44"/>
          <w:sz w:val="28"/>
          <w:szCs w:val="28"/>
        </w:rPr>
        <w:t>附件</w:t>
      </w:r>
      <w:r>
        <w:rPr>
          <w:rStyle w:val="14"/>
          <w:rFonts w:ascii="仿宋" w:hAnsi="仿宋" w:eastAsia="仿宋" w:cs="仿宋"/>
          <w:kern w:val="44"/>
          <w:sz w:val="28"/>
          <w:szCs w:val="28"/>
        </w:rPr>
        <w:t>1</w:t>
      </w:r>
      <w:r>
        <w:rPr>
          <w:rFonts w:ascii="仿宋" w:hAnsi="仿宋" w:eastAsia="仿宋"/>
          <w:sz w:val="28"/>
          <w:szCs w:val="28"/>
        </w:rPr>
        <w:tab/>
      </w:r>
      <w:r>
        <w:rPr>
          <w:rFonts w:ascii="仿宋" w:hAnsi="仿宋" w:eastAsia="仿宋" w:cs="仿宋"/>
          <w:sz w:val="28"/>
          <w:szCs w:val="28"/>
        </w:rPr>
        <w:t>18</w:t>
      </w:r>
      <w:r>
        <w:rPr>
          <w:rFonts w:ascii="仿宋" w:hAnsi="仿宋" w:eastAsia="仿宋" w:cs="仿宋"/>
          <w:sz w:val="28"/>
          <w:szCs w:val="28"/>
        </w:rPr>
        <w:fldChar w:fldCharType="end"/>
      </w:r>
    </w:p>
    <w:p>
      <w:pPr>
        <w:pStyle w:val="11"/>
        <w:ind w:left="31680"/>
        <w:rPr>
          <w:rFonts w:ascii="仿宋" w:hAnsi="仿宋" w:eastAsia="仿宋"/>
          <w:sz w:val="28"/>
          <w:szCs w:val="28"/>
        </w:rPr>
      </w:pPr>
    </w:p>
    <w:p>
      <w:pPr>
        <w:pStyle w:val="10"/>
        <w:rPr>
          <w:rFonts w:cs="Times New Roman"/>
        </w:rPr>
      </w:pPr>
      <w:r>
        <w:fldChar w:fldCharType="begin"/>
      </w:r>
      <w:r>
        <w:instrText xml:space="preserve"> HYPERLINK \l "_Toc15396618" </w:instrText>
      </w:r>
      <w:r>
        <w:fldChar w:fldCharType="separate"/>
      </w:r>
      <w:r>
        <w:rPr>
          <w:rStyle w:val="14"/>
          <w:rFonts w:hint="eastAsia"/>
        </w:rPr>
        <w:t>第</w:t>
      </w:r>
      <w:r>
        <w:rPr>
          <w:rStyle w:val="14"/>
          <w:rFonts w:hint="eastAsia"/>
          <w:kern w:val="44"/>
        </w:rPr>
        <w:t>五部分</w:t>
      </w:r>
      <w:r>
        <w:rPr>
          <w:rStyle w:val="14"/>
          <w:kern w:val="44"/>
        </w:rPr>
        <w:t xml:space="preserve"> </w:t>
      </w:r>
      <w:r>
        <w:rPr>
          <w:rStyle w:val="14"/>
          <w:rFonts w:hint="eastAsia"/>
          <w:kern w:val="44"/>
        </w:rPr>
        <w:t>附表</w:t>
      </w:r>
      <w:r>
        <w:rPr>
          <w:rFonts w:cs="Times New Roman"/>
        </w:rPr>
        <w:tab/>
      </w:r>
      <w:r>
        <w:t>21</w:t>
      </w:r>
      <w:r>
        <w:fldChar w:fldCharType="end"/>
      </w:r>
    </w:p>
    <w:p>
      <w:pPr>
        <w:pStyle w:val="11"/>
        <w:ind w:left="31680"/>
        <w:rPr>
          <w:rFonts w:ascii="仿宋" w:hAnsi="仿宋" w:eastAsia="仿宋"/>
          <w:sz w:val="28"/>
          <w:szCs w:val="28"/>
        </w:rPr>
      </w:pPr>
      <w:r>
        <w:rPr>
          <w:rFonts w:hint="eastAsia" w:ascii="仿宋" w:hAnsi="仿宋" w:eastAsia="仿宋" w:cs="仿宋"/>
          <w:sz w:val="28"/>
          <w:szCs w:val="28"/>
        </w:rPr>
        <w:t>一、</w:t>
      </w:r>
      <w:r>
        <w:fldChar w:fldCharType="begin"/>
      </w:r>
      <w:r>
        <w:instrText xml:space="preserve"> HYPERLINK \l "_Toc15396619" </w:instrText>
      </w:r>
      <w:r>
        <w:fldChar w:fldCharType="separate"/>
      </w:r>
      <w:r>
        <w:rPr>
          <w:rStyle w:val="14"/>
          <w:rFonts w:hint="eastAsia" w:ascii="仿宋" w:hAnsi="仿宋" w:eastAsia="仿宋" w:cs="仿宋"/>
          <w:sz w:val="28"/>
          <w:szCs w:val="28"/>
        </w:rPr>
        <w:t>收入支出决算总表</w:t>
      </w:r>
      <w:r>
        <w:rPr>
          <w:rFonts w:ascii="仿宋" w:hAnsi="仿宋" w:eastAsia="仿宋"/>
          <w:sz w:val="28"/>
          <w:szCs w:val="28"/>
        </w:rPr>
        <w:tab/>
      </w:r>
      <w:r>
        <w:rPr>
          <w:rFonts w:ascii="仿宋" w:hAnsi="仿宋" w:eastAsia="仿宋" w:cs="仿宋"/>
          <w:sz w:val="28"/>
          <w:szCs w:val="28"/>
        </w:rPr>
        <w:t>21</w:t>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二、</w:t>
      </w:r>
      <w:r>
        <w:fldChar w:fldCharType="begin"/>
      </w:r>
      <w:r>
        <w:instrText xml:space="preserve"> HYPERLINK \l "_Toc15396620" </w:instrText>
      </w:r>
      <w:r>
        <w:fldChar w:fldCharType="separate"/>
      </w:r>
      <w:r>
        <w:rPr>
          <w:rStyle w:val="14"/>
          <w:rFonts w:hint="eastAsia" w:ascii="仿宋" w:hAnsi="仿宋" w:eastAsia="仿宋" w:cs="仿宋"/>
          <w:sz w:val="28"/>
          <w:szCs w:val="28"/>
        </w:rPr>
        <w:t>收入总表</w:t>
      </w:r>
      <w:r>
        <w:rPr>
          <w:rFonts w:ascii="仿宋" w:hAnsi="仿宋" w:eastAsia="仿宋"/>
          <w:sz w:val="28"/>
          <w:szCs w:val="28"/>
        </w:rPr>
        <w:tab/>
      </w:r>
      <w:r>
        <w:rPr>
          <w:rFonts w:ascii="仿宋" w:hAnsi="仿宋" w:eastAsia="仿宋" w:cs="仿宋"/>
          <w:sz w:val="28"/>
          <w:szCs w:val="28"/>
        </w:rPr>
        <w:t>21</w:t>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三、</w:t>
      </w:r>
      <w:r>
        <w:fldChar w:fldCharType="begin"/>
      </w:r>
      <w:r>
        <w:instrText xml:space="preserve"> HYPERLINK \l "_Toc15396621" </w:instrText>
      </w:r>
      <w:r>
        <w:fldChar w:fldCharType="separate"/>
      </w:r>
      <w:r>
        <w:rPr>
          <w:rStyle w:val="14"/>
          <w:rFonts w:hint="eastAsia" w:ascii="仿宋" w:hAnsi="仿宋" w:eastAsia="仿宋" w:cs="仿宋"/>
          <w:sz w:val="28"/>
          <w:szCs w:val="28"/>
        </w:rPr>
        <w:t>支出总表</w:t>
      </w:r>
      <w:r>
        <w:rPr>
          <w:rFonts w:ascii="仿宋" w:hAnsi="仿宋" w:eastAsia="仿宋"/>
          <w:sz w:val="28"/>
          <w:szCs w:val="28"/>
        </w:rPr>
        <w:tab/>
      </w:r>
      <w:r>
        <w:rPr>
          <w:rFonts w:ascii="仿宋" w:hAnsi="仿宋" w:eastAsia="仿宋" w:cs="仿宋"/>
          <w:sz w:val="28"/>
          <w:szCs w:val="28"/>
        </w:rPr>
        <w:t>21</w:t>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四、</w:t>
      </w:r>
      <w:r>
        <w:fldChar w:fldCharType="begin"/>
      </w:r>
      <w:r>
        <w:instrText xml:space="preserve"> HYPERLINK \l "_Toc15396622" </w:instrText>
      </w:r>
      <w:r>
        <w:fldChar w:fldCharType="separate"/>
      </w:r>
      <w:r>
        <w:rPr>
          <w:rStyle w:val="14"/>
          <w:rFonts w:hint="eastAsia" w:ascii="仿宋" w:hAnsi="仿宋" w:eastAsia="仿宋" w:cs="仿宋"/>
          <w:sz w:val="28"/>
          <w:szCs w:val="28"/>
        </w:rPr>
        <w:t>财政拨款收入支出决算总表</w:t>
      </w:r>
      <w:r>
        <w:rPr>
          <w:rFonts w:ascii="仿宋" w:hAnsi="仿宋" w:eastAsia="仿宋"/>
          <w:sz w:val="28"/>
          <w:szCs w:val="28"/>
        </w:rPr>
        <w:tab/>
      </w:r>
      <w:r>
        <w:rPr>
          <w:rFonts w:ascii="仿宋" w:hAnsi="仿宋" w:eastAsia="仿宋" w:cs="仿宋"/>
          <w:sz w:val="28"/>
          <w:szCs w:val="28"/>
        </w:rPr>
        <w:t>21</w:t>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五、</w:t>
      </w:r>
      <w:r>
        <w:fldChar w:fldCharType="begin"/>
      </w:r>
      <w:r>
        <w:instrText xml:space="preserve"> HYPERLINK \l "_Toc15396623" </w:instrText>
      </w:r>
      <w:r>
        <w:fldChar w:fldCharType="separate"/>
      </w:r>
      <w:r>
        <w:rPr>
          <w:rFonts w:hint="eastAsia" w:ascii="仿宋" w:hAnsi="仿宋" w:eastAsia="仿宋" w:cs="仿宋"/>
          <w:sz w:val="28"/>
          <w:szCs w:val="28"/>
        </w:rPr>
        <w:t>财政拨款支出决算明细表（政府经济分类科目）</w:t>
      </w:r>
      <w:r>
        <w:rPr>
          <w:rFonts w:ascii="仿宋" w:hAnsi="仿宋" w:eastAsia="仿宋"/>
          <w:sz w:val="28"/>
          <w:szCs w:val="28"/>
        </w:rPr>
        <w:tab/>
      </w:r>
      <w:r>
        <w:rPr>
          <w:rFonts w:ascii="仿宋" w:hAnsi="仿宋" w:eastAsia="仿宋" w:cs="仿宋"/>
          <w:sz w:val="28"/>
          <w:szCs w:val="28"/>
        </w:rPr>
        <w:t>21</w:t>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六、</w:t>
      </w:r>
      <w:r>
        <w:fldChar w:fldCharType="begin"/>
      </w:r>
      <w:r>
        <w:instrText xml:space="preserve"> HYPERLINK \l "_Toc15396624" </w:instrText>
      </w:r>
      <w:r>
        <w:fldChar w:fldCharType="separate"/>
      </w:r>
      <w:r>
        <w:rPr>
          <w:rStyle w:val="14"/>
          <w:rFonts w:hint="eastAsia" w:ascii="仿宋" w:hAnsi="仿宋" w:eastAsia="仿宋" w:cs="仿宋"/>
          <w:sz w:val="28"/>
          <w:szCs w:val="28"/>
        </w:rPr>
        <w:t>一般公共预算财政拨款支出决算表</w:t>
      </w:r>
      <w:r>
        <w:rPr>
          <w:rFonts w:ascii="仿宋" w:hAnsi="仿宋" w:eastAsia="仿宋"/>
          <w:sz w:val="28"/>
          <w:szCs w:val="28"/>
        </w:rPr>
        <w:tab/>
      </w:r>
      <w:r>
        <w:rPr>
          <w:rFonts w:ascii="仿宋" w:hAnsi="仿宋" w:eastAsia="仿宋" w:cs="仿宋"/>
          <w:sz w:val="28"/>
          <w:szCs w:val="28"/>
        </w:rPr>
        <w:t>21</w:t>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七、</w:t>
      </w:r>
      <w:r>
        <w:fldChar w:fldCharType="begin"/>
      </w:r>
      <w:r>
        <w:instrText xml:space="preserve"> HYPERLINK \l "_Toc15396625" </w:instrText>
      </w:r>
      <w:r>
        <w:fldChar w:fldCharType="separate"/>
      </w:r>
      <w:r>
        <w:rPr>
          <w:rStyle w:val="14"/>
          <w:rFonts w:hint="eastAsia" w:ascii="仿宋" w:hAnsi="仿宋" w:eastAsia="仿宋" w:cs="仿宋"/>
          <w:sz w:val="28"/>
          <w:szCs w:val="28"/>
        </w:rPr>
        <w:t>一般公共预算财政拨款支出决算明细表</w:t>
      </w:r>
      <w:r>
        <w:rPr>
          <w:rFonts w:ascii="仿宋" w:hAnsi="仿宋" w:eastAsia="仿宋"/>
          <w:sz w:val="28"/>
          <w:szCs w:val="28"/>
        </w:rPr>
        <w:tab/>
      </w:r>
      <w:r>
        <w:rPr>
          <w:rFonts w:ascii="仿宋" w:hAnsi="仿宋" w:eastAsia="仿宋" w:cs="仿宋"/>
          <w:sz w:val="28"/>
          <w:szCs w:val="28"/>
        </w:rPr>
        <w:t>21</w:t>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八、</w:t>
      </w:r>
      <w:r>
        <w:fldChar w:fldCharType="begin"/>
      </w:r>
      <w:r>
        <w:instrText xml:space="preserve"> HYPERLINK \l "_Toc15396626" </w:instrText>
      </w:r>
      <w:r>
        <w:fldChar w:fldCharType="separate"/>
      </w:r>
      <w:r>
        <w:rPr>
          <w:rStyle w:val="14"/>
          <w:rFonts w:hint="eastAsia" w:ascii="仿宋" w:hAnsi="仿宋" w:eastAsia="仿宋" w:cs="仿宋"/>
          <w:sz w:val="28"/>
          <w:szCs w:val="28"/>
        </w:rPr>
        <w:t>一般公共预算财政拨款基本支出决算表</w:t>
      </w:r>
      <w:r>
        <w:rPr>
          <w:rFonts w:ascii="仿宋" w:hAnsi="仿宋" w:eastAsia="仿宋"/>
          <w:sz w:val="28"/>
          <w:szCs w:val="28"/>
        </w:rPr>
        <w:tab/>
      </w:r>
      <w:r>
        <w:rPr>
          <w:rFonts w:ascii="仿宋" w:hAnsi="仿宋" w:eastAsia="仿宋" w:cs="仿宋"/>
          <w:sz w:val="28"/>
          <w:szCs w:val="28"/>
        </w:rPr>
        <w:t>21</w:t>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九、</w:t>
      </w:r>
      <w:r>
        <w:fldChar w:fldCharType="begin"/>
      </w:r>
      <w:r>
        <w:instrText xml:space="preserve"> HYPERLINK \l "_Toc15396627" </w:instrText>
      </w:r>
      <w:r>
        <w:fldChar w:fldCharType="separate"/>
      </w:r>
      <w:r>
        <w:rPr>
          <w:rStyle w:val="14"/>
          <w:rFonts w:hint="eastAsia" w:ascii="仿宋" w:hAnsi="仿宋" w:eastAsia="仿宋" w:cs="仿宋"/>
          <w:sz w:val="28"/>
          <w:szCs w:val="28"/>
        </w:rPr>
        <w:t>一般公共预算财政拨款项目支出决算表</w:t>
      </w:r>
      <w:r>
        <w:rPr>
          <w:rFonts w:ascii="仿宋" w:hAnsi="仿宋" w:eastAsia="仿宋"/>
          <w:sz w:val="28"/>
          <w:szCs w:val="28"/>
        </w:rPr>
        <w:tab/>
      </w:r>
      <w:r>
        <w:rPr>
          <w:rFonts w:ascii="仿宋" w:hAnsi="仿宋" w:eastAsia="仿宋" w:cs="仿宋"/>
          <w:sz w:val="28"/>
          <w:szCs w:val="28"/>
        </w:rPr>
        <w:t>21</w:t>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十、</w:t>
      </w:r>
      <w:r>
        <w:fldChar w:fldCharType="begin"/>
      </w:r>
      <w:r>
        <w:instrText xml:space="preserve"> HYPERLINK \l "_Toc15396628" </w:instrText>
      </w:r>
      <w:r>
        <w:fldChar w:fldCharType="separate"/>
      </w:r>
      <w:r>
        <w:rPr>
          <w:rStyle w:val="14"/>
          <w:rFonts w:hint="eastAsia" w:ascii="仿宋" w:hAnsi="仿宋" w:eastAsia="仿宋" w:cs="仿宋"/>
          <w:sz w:val="28"/>
          <w:szCs w:val="28"/>
        </w:rPr>
        <w:t>一般公共预算财政拨款“三公”经费支出决算表</w:t>
      </w:r>
      <w:r>
        <w:rPr>
          <w:rFonts w:ascii="仿宋" w:hAnsi="仿宋" w:eastAsia="仿宋"/>
          <w:sz w:val="28"/>
          <w:szCs w:val="28"/>
        </w:rPr>
        <w:tab/>
      </w:r>
      <w:r>
        <w:rPr>
          <w:rFonts w:ascii="仿宋" w:hAnsi="仿宋" w:eastAsia="仿宋" w:cs="仿宋"/>
          <w:sz w:val="28"/>
          <w:szCs w:val="28"/>
        </w:rPr>
        <w:t>21</w:t>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十一、</w:t>
      </w:r>
      <w:r>
        <w:fldChar w:fldCharType="begin"/>
      </w:r>
      <w:r>
        <w:instrText xml:space="preserve"> HYPERLINK \l "_Toc15396629" </w:instrText>
      </w:r>
      <w:r>
        <w:fldChar w:fldCharType="separate"/>
      </w:r>
      <w:r>
        <w:rPr>
          <w:rStyle w:val="14"/>
          <w:rFonts w:hint="eastAsia" w:ascii="仿宋" w:hAnsi="仿宋" w:eastAsia="仿宋" w:cs="仿宋"/>
          <w:sz w:val="28"/>
          <w:szCs w:val="28"/>
        </w:rPr>
        <w:t>政府性基金预算财政拨款收入支出决算表</w:t>
      </w:r>
      <w:r>
        <w:rPr>
          <w:rFonts w:ascii="仿宋" w:hAnsi="仿宋" w:eastAsia="仿宋"/>
          <w:sz w:val="28"/>
          <w:szCs w:val="28"/>
        </w:rPr>
        <w:tab/>
      </w:r>
      <w:r>
        <w:rPr>
          <w:rFonts w:ascii="仿宋" w:hAnsi="仿宋" w:eastAsia="仿宋" w:cs="仿宋"/>
          <w:sz w:val="28"/>
          <w:szCs w:val="28"/>
        </w:rPr>
        <w:t>21</w:t>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十二、</w:t>
      </w:r>
      <w:r>
        <w:fldChar w:fldCharType="begin"/>
      </w:r>
      <w:r>
        <w:instrText xml:space="preserve"> HYPERLINK \l "_Toc15396630" </w:instrText>
      </w:r>
      <w:r>
        <w:fldChar w:fldCharType="separate"/>
      </w:r>
      <w:r>
        <w:rPr>
          <w:rStyle w:val="14"/>
          <w:rFonts w:hint="eastAsia" w:ascii="仿宋" w:hAnsi="仿宋" w:eastAsia="仿宋" w:cs="仿宋"/>
          <w:sz w:val="28"/>
          <w:szCs w:val="28"/>
        </w:rPr>
        <w:t>政府性基金预算财政拨款“三公”经费支出决算表</w:t>
      </w:r>
      <w:r>
        <w:rPr>
          <w:rFonts w:ascii="仿宋" w:hAnsi="仿宋" w:eastAsia="仿宋"/>
          <w:sz w:val="28"/>
          <w:szCs w:val="28"/>
        </w:rPr>
        <w:tab/>
      </w:r>
      <w:r>
        <w:rPr>
          <w:rFonts w:ascii="仿宋" w:hAnsi="仿宋" w:eastAsia="仿宋" w:cs="仿宋"/>
          <w:sz w:val="28"/>
          <w:szCs w:val="28"/>
        </w:rPr>
        <w:t>21</w:t>
      </w:r>
      <w:r>
        <w:rPr>
          <w:rFonts w:ascii="仿宋" w:hAnsi="仿宋" w:eastAsia="仿宋" w:cs="仿宋"/>
          <w:sz w:val="28"/>
          <w:szCs w:val="28"/>
        </w:rPr>
        <w:fldChar w:fldCharType="end"/>
      </w:r>
    </w:p>
    <w:p>
      <w:pPr>
        <w:pStyle w:val="11"/>
        <w:ind w:left="31680"/>
        <w:rPr>
          <w:rFonts w:ascii="仿宋" w:hAnsi="仿宋" w:eastAsia="仿宋"/>
          <w:sz w:val="24"/>
          <w:szCs w:val="24"/>
        </w:rPr>
      </w:pPr>
      <w:r>
        <w:rPr>
          <w:rFonts w:hint="eastAsia" w:ascii="仿宋" w:hAnsi="仿宋" w:eastAsia="仿宋" w:cs="仿宋"/>
          <w:sz w:val="28"/>
          <w:szCs w:val="28"/>
        </w:rPr>
        <w:t>十三、</w:t>
      </w:r>
      <w:r>
        <w:fldChar w:fldCharType="begin"/>
      </w:r>
      <w:r>
        <w:instrText xml:space="preserve"> HYPERLINK \l "_Toc15396631" </w:instrText>
      </w:r>
      <w:r>
        <w:fldChar w:fldCharType="separate"/>
      </w:r>
      <w:r>
        <w:rPr>
          <w:rStyle w:val="14"/>
          <w:rFonts w:hint="eastAsia" w:ascii="仿宋" w:hAnsi="仿宋" w:eastAsia="仿宋" w:cs="仿宋"/>
          <w:sz w:val="28"/>
          <w:szCs w:val="28"/>
        </w:rPr>
        <w:t>国有资本经营预算支出决算表</w:t>
      </w:r>
      <w:r>
        <w:rPr>
          <w:rFonts w:ascii="仿宋" w:hAnsi="仿宋" w:eastAsia="仿宋"/>
          <w:sz w:val="28"/>
          <w:szCs w:val="28"/>
        </w:rPr>
        <w:tab/>
      </w:r>
      <w:r>
        <w:rPr>
          <w:rFonts w:ascii="仿宋" w:hAnsi="仿宋" w:eastAsia="仿宋" w:cs="仿宋"/>
          <w:sz w:val="28"/>
          <w:szCs w:val="28"/>
        </w:rPr>
        <w:t>21</w:t>
      </w:r>
      <w:r>
        <w:rPr>
          <w:rFonts w:ascii="仿宋" w:hAnsi="仿宋" w:eastAsia="仿宋" w:cs="仿宋"/>
          <w:sz w:val="28"/>
          <w:szCs w:val="28"/>
        </w:rPr>
        <w:fldChar w:fldCharType="end"/>
      </w:r>
    </w:p>
    <w:p>
      <w:pPr>
        <w:widowControl/>
        <w:jc w:val="left"/>
        <w:rPr>
          <w:rFonts w:ascii="仿宋" w:hAnsi="仿宋" w:eastAsia="仿宋"/>
          <w:color w:val="000000"/>
          <w:sz w:val="24"/>
          <w:szCs w:val="24"/>
        </w:rPr>
      </w:pPr>
      <w:r>
        <w:rPr>
          <w:rFonts w:ascii="黑体" w:hAnsi="黑体" w:eastAsia="黑体" w:cs="黑体"/>
          <w:color w:val="000000"/>
          <w:sz w:val="48"/>
          <w:szCs w:val="48"/>
        </w:rPr>
        <w:fldChar w:fldCharType="end"/>
      </w:r>
    </w:p>
    <w:p>
      <w:pPr>
        <w:widowControl/>
        <w:jc w:val="left"/>
        <w:rPr>
          <w:rFonts w:ascii="黑体" w:hAnsi="黑体" w:eastAsia="黑体"/>
          <w:kern w:val="44"/>
          <w:sz w:val="44"/>
          <w:szCs w:val="44"/>
        </w:rPr>
      </w:pPr>
      <w:bookmarkStart w:id="12" w:name="_Toc15396599"/>
      <w:bookmarkStart w:id="13" w:name="_Toc15377196"/>
      <w:r>
        <w:rPr>
          <w:rFonts w:ascii="黑体" w:hAnsi="黑体" w:eastAsia="黑体"/>
          <w:b/>
          <w:bCs/>
        </w:rPr>
        <w:br w:type="page"/>
      </w:r>
    </w:p>
    <w:p>
      <w:pPr>
        <w:pStyle w:val="2"/>
        <w:jc w:val="center"/>
        <w:rPr>
          <w:rStyle w:val="16"/>
          <w:rFonts w:ascii="黑体" w:hAnsi="黑体" w:eastAsia="黑体"/>
          <w:b/>
          <w:bCs/>
        </w:rPr>
      </w:pPr>
      <w:r>
        <w:rPr>
          <w:rFonts w:hint="eastAsia" w:ascii="黑体" w:hAnsi="黑体" w:eastAsia="黑体" w:cs="黑体"/>
          <w:b w:val="0"/>
          <w:bCs w:val="0"/>
        </w:rPr>
        <w:t>第一部分</w:t>
      </w:r>
      <w:r>
        <w:rPr>
          <w:rFonts w:ascii="黑体" w:hAnsi="黑体" w:eastAsia="黑体" w:cs="黑体"/>
          <w:b w:val="0"/>
          <w:bCs w:val="0"/>
        </w:rPr>
        <w:t xml:space="preserve"> </w:t>
      </w:r>
      <w:r>
        <w:rPr>
          <w:rStyle w:val="16"/>
          <w:rFonts w:hint="eastAsia" w:ascii="黑体" w:hAnsi="黑体" w:eastAsia="黑体" w:cs="黑体"/>
          <w:b w:val="0"/>
          <w:bCs w:val="0"/>
        </w:rPr>
        <w:t>部门概况</w:t>
      </w:r>
      <w:bookmarkEnd w:id="12"/>
      <w:bookmarkEnd w:id="13"/>
    </w:p>
    <w:p>
      <w:pPr>
        <w:widowControl/>
        <w:jc w:val="left"/>
        <w:rPr>
          <w:rFonts w:ascii="黑体" w:eastAsia="黑体"/>
          <w:color w:val="000000"/>
          <w:sz w:val="32"/>
          <w:szCs w:val="32"/>
        </w:rPr>
      </w:pPr>
    </w:p>
    <w:p>
      <w:pPr>
        <w:pStyle w:val="3"/>
        <w:rPr>
          <w:rStyle w:val="17"/>
          <w:rFonts w:ascii="仿宋" w:hAnsi="仿宋" w:eastAsia="仿宋" w:cs="Times New Roman"/>
          <w:b w:val="0"/>
          <w:bCs w:val="0"/>
        </w:rPr>
      </w:pPr>
      <w:bookmarkStart w:id="14" w:name="_Toc15377197"/>
      <w:bookmarkStart w:id="15" w:name="_Toc15396600"/>
      <w:r>
        <w:rPr>
          <w:rFonts w:hint="eastAsia" w:ascii="黑体" w:hAnsi="黑体" w:eastAsia="黑体" w:cs="黑体"/>
          <w:b w:val="0"/>
          <w:bCs w:val="0"/>
          <w:color w:val="000000"/>
        </w:rPr>
        <w:t>一、基</w:t>
      </w:r>
      <w:r>
        <w:rPr>
          <w:rStyle w:val="17"/>
          <w:rFonts w:hint="eastAsia" w:ascii="黑体" w:hAnsi="黑体" w:eastAsia="黑体" w:cs="黑体"/>
          <w:b w:val="0"/>
          <w:bCs w:val="0"/>
        </w:rPr>
        <w:t>本职能及主要工作</w:t>
      </w:r>
      <w:bookmarkEnd w:id="14"/>
      <w:bookmarkEnd w:id="15"/>
    </w:p>
    <w:p>
      <w:pPr>
        <w:pStyle w:val="5"/>
        <w:adjustRightInd w:val="0"/>
        <w:snapToGrid w:val="0"/>
        <w:spacing w:before="93" w:line="600" w:lineRule="exact"/>
        <w:ind w:firstLine="31680" w:firstLineChars="210"/>
        <w:outlineLvl w:val="2"/>
        <w:rPr>
          <w:rFonts w:ascii="仿宋" w:hAnsi="仿宋" w:eastAsia="仿宋" w:cs="Times New Roman"/>
          <w:color w:val="000000"/>
          <w:sz w:val="32"/>
          <w:szCs w:val="32"/>
        </w:rPr>
      </w:pPr>
      <w:bookmarkStart w:id="16" w:name="_Toc15377198"/>
      <w:bookmarkStart w:id="17" w:name="_Toc15378445"/>
      <w:r>
        <w:rPr>
          <w:rFonts w:hint="eastAsia" w:ascii="仿宋" w:hAnsi="仿宋" w:eastAsia="仿宋" w:cs="仿宋"/>
          <w:color w:val="000000"/>
          <w:sz w:val="32"/>
          <w:szCs w:val="32"/>
        </w:rPr>
        <w:t>（一）主要职能。</w:t>
      </w:r>
    </w:p>
    <w:p>
      <w:pPr>
        <w:pStyle w:val="5"/>
        <w:adjustRightInd w:val="0"/>
        <w:snapToGrid w:val="0"/>
        <w:spacing w:before="93" w:line="560" w:lineRule="exact"/>
        <w:ind w:firstLine="31680" w:firstLineChars="209"/>
        <w:rPr>
          <w:rFonts w:ascii="Times New Roman" w:cs="Times New Roman"/>
          <w:color w:val="000000"/>
          <w:sz w:val="32"/>
          <w:szCs w:val="32"/>
        </w:rPr>
      </w:pPr>
      <w:r>
        <w:rPr>
          <w:rFonts w:hint="eastAsia" w:ascii="Times New Roman"/>
          <w:color w:val="000000"/>
          <w:sz w:val="32"/>
          <w:szCs w:val="32"/>
        </w:rPr>
        <w:t>一是贯彻执行党和国家关于政务接待工作的方针政策；二是负责县委、县人大、县政府、县政协的接待工作，安排内宾的食宿、交通以及参观、考察、会议、洽谈活动；负责协调组织县级关于部门介绍情况、汇报工作；三是参与协助县级重要会议、重要活动的接待服务工作；四是负责对乡镇、部门政务接待的业务指导。五是负责我县内部接待经费的统一管理和使用。六是负责与全国城市接待部门联谊会的联络、交流工作；七是负责县主要领导批准的在乐山、成都等地公务接待工作和外出政务活动的联络工作；八是完成领导交办的其他工作。</w:t>
      </w:r>
    </w:p>
    <w:bookmarkEnd w:id="16"/>
    <w:bookmarkEnd w:id="17"/>
    <w:p>
      <w:pPr>
        <w:pStyle w:val="5"/>
        <w:adjustRightInd w:val="0"/>
        <w:snapToGrid w:val="0"/>
        <w:spacing w:before="93" w:line="600" w:lineRule="exact"/>
        <w:ind w:firstLine="31680" w:firstLineChars="210"/>
        <w:outlineLvl w:val="2"/>
        <w:rPr>
          <w:rFonts w:ascii="仿宋" w:hAnsi="仿宋" w:eastAsia="仿宋" w:cs="Times New Roman"/>
          <w:color w:val="000000"/>
          <w:sz w:val="32"/>
          <w:szCs w:val="32"/>
        </w:rPr>
      </w:pPr>
      <w:bookmarkStart w:id="18" w:name="_Toc15377199"/>
      <w:bookmarkStart w:id="19" w:name="_Toc15378446"/>
      <w:r>
        <w:rPr>
          <w:rFonts w:hint="eastAsia" w:ascii="仿宋" w:hAnsi="仿宋" w:eastAsia="仿宋" w:cs="仿宋"/>
          <w:color w:val="000000"/>
          <w:sz w:val="32"/>
          <w:szCs w:val="32"/>
        </w:rPr>
        <w:t>（二）</w:t>
      </w:r>
      <w:r>
        <w:rPr>
          <w:rFonts w:ascii="仿宋" w:hAnsi="仿宋" w:eastAsia="仿宋" w:cs="仿宋"/>
          <w:color w:val="000000"/>
          <w:sz w:val="32"/>
          <w:szCs w:val="32"/>
        </w:rPr>
        <w:t>2018</w:t>
      </w:r>
      <w:r>
        <w:rPr>
          <w:rFonts w:hint="eastAsia" w:ascii="仿宋" w:hAnsi="仿宋" w:eastAsia="仿宋" w:cs="仿宋"/>
          <w:color w:val="000000"/>
          <w:sz w:val="32"/>
          <w:szCs w:val="32"/>
        </w:rPr>
        <w:t>年重点工作完成情况。</w:t>
      </w:r>
      <w:bookmarkEnd w:id="18"/>
      <w:bookmarkEnd w:id="19"/>
    </w:p>
    <w:p>
      <w:pPr>
        <w:pStyle w:val="5"/>
        <w:adjustRightInd w:val="0"/>
        <w:snapToGrid w:val="0"/>
        <w:spacing w:before="93" w:line="560" w:lineRule="exact"/>
        <w:ind w:firstLine="31680" w:firstLineChars="209"/>
        <w:rPr>
          <w:rFonts w:ascii="Times New Roman" w:cs="Times New Roman"/>
          <w:color w:val="000000"/>
          <w:sz w:val="32"/>
          <w:szCs w:val="32"/>
        </w:rPr>
      </w:pPr>
      <w:r>
        <w:rPr>
          <w:rFonts w:hint="eastAsia" w:ascii="Times New Roman"/>
          <w:color w:val="000000"/>
          <w:sz w:val="32"/>
          <w:szCs w:val="32"/>
        </w:rPr>
        <w:t>根据本部门的职责完成</w:t>
      </w:r>
      <w:r>
        <w:rPr>
          <w:rFonts w:ascii="Times New Roman" w:cs="Times New Roman"/>
          <w:color w:val="000000"/>
          <w:sz w:val="32"/>
          <w:szCs w:val="32"/>
        </w:rPr>
        <w:t>2018</w:t>
      </w:r>
      <w:r>
        <w:rPr>
          <w:rFonts w:hint="eastAsia" w:ascii="Times New Roman"/>
          <w:color w:val="000000"/>
          <w:sz w:val="32"/>
          <w:szCs w:val="32"/>
        </w:rPr>
        <w:t>年各项接待工作。</w:t>
      </w:r>
    </w:p>
    <w:p>
      <w:pPr>
        <w:pStyle w:val="5"/>
        <w:adjustRightInd w:val="0"/>
        <w:snapToGrid w:val="0"/>
        <w:spacing w:before="93" w:line="600" w:lineRule="exact"/>
        <w:ind w:firstLine="31680" w:firstLineChars="210"/>
        <w:outlineLvl w:val="2"/>
        <w:rPr>
          <w:rFonts w:ascii="仿宋" w:hAnsi="仿宋" w:eastAsia="仿宋" w:cs="Times New Roman"/>
          <w:color w:val="000000"/>
          <w:sz w:val="32"/>
          <w:szCs w:val="32"/>
        </w:rPr>
      </w:pPr>
    </w:p>
    <w:p>
      <w:pPr>
        <w:pStyle w:val="3"/>
        <w:numPr>
          <w:ilvl w:val="0"/>
          <w:numId w:val="1"/>
        </w:numPr>
        <w:rPr>
          <w:rStyle w:val="17"/>
          <w:rFonts w:ascii="黑体" w:hAnsi="黑体" w:eastAsia="黑体" w:cs="Times New Roman"/>
          <w:b w:val="0"/>
          <w:bCs w:val="0"/>
        </w:rPr>
      </w:pPr>
      <w:bookmarkStart w:id="20" w:name="_Toc15377200"/>
      <w:bookmarkStart w:id="21" w:name="_Toc15396601"/>
      <w:r>
        <w:rPr>
          <w:rFonts w:hint="eastAsia" w:ascii="黑体" w:hAnsi="黑体" w:eastAsia="黑体" w:cs="黑体"/>
          <w:b w:val="0"/>
          <w:bCs w:val="0"/>
          <w:color w:val="000000"/>
        </w:rPr>
        <w:t>机</w:t>
      </w:r>
      <w:r>
        <w:rPr>
          <w:rStyle w:val="17"/>
          <w:rFonts w:hint="eastAsia" w:ascii="黑体" w:hAnsi="黑体" w:eastAsia="黑体" w:cs="黑体"/>
          <w:b w:val="0"/>
          <w:bCs w:val="0"/>
        </w:rPr>
        <w:t>构设置</w:t>
      </w:r>
      <w:bookmarkEnd w:id="20"/>
      <w:bookmarkEnd w:id="21"/>
    </w:p>
    <w:p>
      <w:pPr>
        <w:pStyle w:val="5"/>
        <w:adjustRightInd w:val="0"/>
        <w:snapToGrid w:val="0"/>
        <w:spacing w:before="93" w:line="560" w:lineRule="exact"/>
        <w:ind w:firstLine="31680" w:firstLineChars="210"/>
        <w:rPr>
          <w:rFonts w:ascii="Times New Roman" w:cs="Times New Roman"/>
          <w:color w:val="000000"/>
          <w:sz w:val="32"/>
          <w:szCs w:val="32"/>
        </w:rPr>
      </w:pPr>
      <w:r>
        <w:rPr>
          <w:rFonts w:hint="eastAsia" w:ascii="Times New Roman"/>
          <w:color w:val="000000"/>
          <w:sz w:val="32"/>
          <w:szCs w:val="32"/>
        </w:rPr>
        <w:t>县接待办下属二级单位</w:t>
      </w:r>
      <w:r>
        <w:rPr>
          <w:rFonts w:ascii="Times New Roman" w:cs="Times New Roman"/>
          <w:color w:val="000000"/>
          <w:sz w:val="32"/>
          <w:szCs w:val="32"/>
        </w:rPr>
        <w:t>1</w:t>
      </w:r>
      <w:r>
        <w:rPr>
          <w:rFonts w:hint="eastAsia" w:ascii="Times New Roman"/>
          <w:color w:val="000000"/>
          <w:sz w:val="32"/>
          <w:szCs w:val="32"/>
        </w:rPr>
        <w:t>个，为事业单位。</w:t>
      </w:r>
    </w:p>
    <w:p/>
    <w:p>
      <w:pPr>
        <w:pStyle w:val="2"/>
        <w:ind w:right="440"/>
        <w:jc w:val="right"/>
        <w:rPr>
          <w:rStyle w:val="16"/>
          <w:rFonts w:ascii="黑体" w:hAnsi="黑体" w:eastAsia="黑体"/>
          <w:b w:val="0"/>
          <w:bCs w:val="0"/>
        </w:rPr>
      </w:pPr>
      <w:bookmarkStart w:id="22" w:name="_Toc15396602"/>
      <w:bookmarkStart w:id="23" w:name="_Toc15377204"/>
      <w:r>
        <w:rPr>
          <w:rFonts w:hint="eastAsia" w:ascii="黑体" w:hAnsi="黑体" w:eastAsia="黑体" w:cs="黑体"/>
          <w:b w:val="0"/>
          <w:bCs w:val="0"/>
          <w:color w:val="000000"/>
        </w:rPr>
        <w:t>第二部分</w:t>
      </w:r>
      <w:r>
        <w:rPr>
          <w:rFonts w:ascii="黑体" w:hAnsi="黑体" w:eastAsia="黑体" w:cs="黑体"/>
          <w:color w:val="000000"/>
        </w:rPr>
        <w:t xml:space="preserve"> </w:t>
      </w:r>
      <w:r>
        <w:rPr>
          <w:rStyle w:val="16"/>
          <w:rFonts w:ascii="黑体" w:hAnsi="黑体" w:eastAsia="黑体" w:cs="黑体"/>
          <w:b w:val="0"/>
          <w:bCs w:val="0"/>
        </w:rPr>
        <w:t>2018</w:t>
      </w:r>
      <w:r>
        <w:rPr>
          <w:rStyle w:val="16"/>
          <w:rFonts w:hint="eastAsia" w:ascii="黑体" w:hAnsi="黑体" w:eastAsia="黑体" w:cs="黑体"/>
          <w:b w:val="0"/>
          <w:bCs w:val="0"/>
        </w:rPr>
        <w:t>年度部门决算情况说明</w:t>
      </w:r>
      <w:bookmarkEnd w:id="22"/>
      <w:bookmarkEnd w:id="23"/>
    </w:p>
    <w:p/>
    <w:p>
      <w:pPr>
        <w:pStyle w:val="27"/>
        <w:numPr>
          <w:ilvl w:val="0"/>
          <w:numId w:val="2"/>
        </w:numPr>
        <w:spacing w:line="600" w:lineRule="exact"/>
        <w:ind w:firstLineChars="0"/>
        <w:outlineLvl w:val="1"/>
        <w:rPr>
          <w:rStyle w:val="17"/>
          <w:rFonts w:ascii="黑体" w:hAnsi="黑体" w:eastAsia="黑体" w:cs="Times New Roman"/>
          <w:b w:val="0"/>
          <w:bCs w:val="0"/>
        </w:rPr>
      </w:pPr>
      <w:bookmarkStart w:id="24" w:name="_Toc15396603"/>
      <w:bookmarkStart w:id="25" w:name="_Toc15377205"/>
      <w:r>
        <w:rPr>
          <w:rFonts w:hint="eastAsia" w:ascii="黑体" w:hAnsi="黑体" w:eastAsia="黑体" w:cs="黑体"/>
          <w:color w:val="000000"/>
          <w:sz w:val="32"/>
          <w:szCs w:val="32"/>
        </w:rPr>
        <w:t>收</w:t>
      </w:r>
      <w:r>
        <w:rPr>
          <w:rStyle w:val="17"/>
          <w:rFonts w:hint="eastAsia" w:ascii="黑体" w:hAnsi="黑体" w:eastAsia="黑体" w:cs="黑体"/>
          <w:b w:val="0"/>
          <w:bCs w:val="0"/>
        </w:rPr>
        <w:t>入支出决算总体情况说明</w:t>
      </w:r>
      <w:bookmarkEnd w:id="24"/>
      <w:bookmarkEnd w:id="25"/>
    </w:p>
    <w:p>
      <w:pPr>
        <w:spacing w:line="600" w:lineRule="exact"/>
        <w:ind w:firstLine="31680" w:firstLineChars="20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年度收、支总计</w:t>
      </w:r>
      <w:r>
        <w:rPr>
          <w:rFonts w:ascii="仿宋" w:hAnsi="仿宋" w:eastAsia="仿宋" w:cs="仿宋"/>
          <w:color w:val="000000"/>
          <w:sz w:val="32"/>
          <w:szCs w:val="32"/>
        </w:rPr>
        <w:t>164.18</w:t>
      </w:r>
      <w:r>
        <w:rPr>
          <w:rFonts w:hint="eastAsia" w:ascii="仿宋" w:hAnsi="仿宋" w:eastAsia="仿宋" w:cs="仿宋"/>
          <w:color w:val="000000"/>
          <w:sz w:val="32"/>
          <w:szCs w:val="32"/>
        </w:rPr>
        <w:t>万元。与</w:t>
      </w:r>
      <w:r>
        <w:rPr>
          <w:rFonts w:ascii="仿宋" w:hAnsi="仿宋" w:eastAsia="仿宋" w:cs="仿宋"/>
          <w:color w:val="000000"/>
          <w:sz w:val="32"/>
          <w:szCs w:val="32"/>
        </w:rPr>
        <w:t>2017</w:t>
      </w:r>
      <w:r>
        <w:rPr>
          <w:rFonts w:hint="eastAsia" w:ascii="仿宋" w:hAnsi="仿宋" w:eastAsia="仿宋" w:cs="仿宋"/>
          <w:color w:val="000000"/>
          <w:sz w:val="32"/>
          <w:szCs w:val="32"/>
        </w:rPr>
        <w:t>年相比，收、支总计各减少</w:t>
      </w:r>
      <w:r>
        <w:rPr>
          <w:rFonts w:ascii="仿宋" w:hAnsi="仿宋" w:eastAsia="仿宋" w:cs="仿宋"/>
          <w:color w:val="000000"/>
          <w:sz w:val="32"/>
          <w:szCs w:val="32"/>
        </w:rPr>
        <w:t>30.15</w:t>
      </w:r>
      <w:r>
        <w:rPr>
          <w:rFonts w:hint="eastAsia" w:ascii="仿宋" w:hAnsi="仿宋" w:eastAsia="仿宋" w:cs="仿宋"/>
          <w:color w:val="000000"/>
          <w:sz w:val="32"/>
          <w:szCs w:val="32"/>
        </w:rPr>
        <w:t>万元，下降</w:t>
      </w:r>
      <w:r>
        <w:rPr>
          <w:rFonts w:ascii="仿宋" w:hAnsi="仿宋" w:eastAsia="仿宋" w:cs="仿宋"/>
          <w:color w:val="000000"/>
          <w:sz w:val="32"/>
          <w:szCs w:val="32"/>
        </w:rPr>
        <w:t>15.3%</w:t>
      </w:r>
      <w:r>
        <w:rPr>
          <w:rFonts w:hint="eastAsia" w:ascii="仿宋" w:hAnsi="仿宋" w:eastAsia="仿宋" w:cs="仿宋"/>
          <w:color w:val="000000"/>
          <w:sz w:val="32"/>
          <w:szCs w:val="32"/>
        </w:rPr>
        <w:t>。主要变动原因是接待支出减少。</w:t>
      </w: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r>
        <w:pict>
          <v:shape id="_x0000_s1026" o:spid="_x0000_s1026" o:spt="75" type="#_x0000_t75" style="position:absolute;left:0pt;margin-left:-0.6pt;margin-top:-226.65pt;height:249.15pt;width:362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7" o:title=""/>
            <o:lock v:ext="edit" aspectratio="t"/>
            <w10:wrap type="square"/>
          </v:shape>
          <o:OLEObject Type="Embed" ProgID="Excel.Chart.8" ShapeID="_x0000_s1026" DrawAspect="Content" ObjectID="_1468075725" r:id="rId6">
            <o:LockedField>false</o:LockedField>
          </o:OLEObject>
        </w:pict>
      </w:r>
    </w:p>
    <w:p>
      <w:pPr>
        <w:spacing w:line="600" w:lineRule="exact"/>
        <w:jc w:val="left"/>
        <w:rPr>
          <w:rFonts w:ascii="仿宋_GB2312" w:eastAsia="仿宋_GB2312"/>
          <w:color w:val="000000"/>
          <w:sz w:val="32"/>
          <w:szCs w:val="32"/>
        </w:rPr>
      </w:pPr>
    </w:p>
    <w:p>
      <w:pPr>
        <w:pStyle w:val="27"/>
        <w:numPr>
          <w:ilvl w:val="0"/>
          <w:numId w:val="2"/>
        </w:numPr>
        <w:spacing w:line="600" w:lineRule="exact"/>
        <w:ind w:firstLineChars="0"/>
        <w:outlineLvl w:val="1"/>
        <w:rPr>
          <w:rStyle w:val="17"/>
          <w:rFonts w:ascii="黑体" w:hAnsi="黑体" w:eastAsia="黑体" w:cs="Times New Roman"/>
          <w:b w:val="0"/>
          <w:bCs w:val="0"/>
        </w:rPr>
      </w:pPr>
      <w:bookmarkStart w:id="26" w:name="_Toc15396604"/>
      <w:bookmarkStart w:id="27" w:name="_Toc15377206"/>
      <w:r>
        <w:rPr>
          <w:rFonts w:hint="eastAsia" w:ascii="黑体" w:hAnsi="黑体" w:eastAsia="黑体" w:cs="黑体"/>
          <w:color w:val="000000"/>
          <w:sz w:val="32"/>
          <w:szCs w:val="32"/>
        </w:rPr>
        <w:t>收</w:t>
      </w:r>
      <w:r>
        <w:rPr>
          <w:rStyle w:val="17"/>
          <w:rFonts w:hint="eastAsia" w:ascii="黑体" w:hAnsi="黑体" w:eastAsia="黑体" w:cs="黑体"/>
          <w:b w:val="0"/>
          <w:bCs w:val="0"/>
        </w:rPr>
        <w:t>入决算情况说明</w:t>
      </w:r>
      <w:bookmarkEnd w:id="26"/>
      <w:bookmarkEnd w:id="27"/>
    </w:p>
    <w:p>
      <w:pPr>
        <w:spacing w:line="600" w:lineRule="exact"/>
        <w:ind w:firstLine="31680" w:firstLineChars="200"/>
        <w:outlineLvl w:val="1"/>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年本年收入合计</w:t>
      </w:r>
      <w:r>
        <w:rPr>
          <w:rFonts w:ascii="仿宋" w:hAnsi="仿宋" w:eastAsia="仿宋" w:cs="仿宋"/>
          <w:color w:val="000000"/>
          <w:sz w:val="32"/>
          <w:szCs w:val="32"/>
        </w:rPr>
        <w:t>164.18</w:t>
      </w:r>
      <w:r>
        <w:rPr>
          <w:rFonts w:hint="eastAsia" w:ascii="仿宋" w:hAnsi="仿宋" w:eastAsia="仿宋" w:cs="仿宋"/>
          <w:color w:val="000000"/>
          <w:sz w:val="32"/>
          <w:szCs w:val="32"/>
        </w:rPr>
        <w:t>万元，其中：一般公共预算财政拨款收入</w:t>
      </w:r>
      <w:r>
        <w:rPr>
          <w:rFonts w:ascii="仿宋" w:hAnsi="仿宋" w:eastAsia="仿宋" w:cs="仿宋"/>
          <w:color w:val="000000"/>
          <w:sz w:val="32"/>
          <w:szCs w:val="32"/>
        </w:rPr>
        <w:t>24.18</w:t>
      </w:r>
      <w:r>
        <w:rPr>
          <w:rFonts w:hint="eastAsia" w:ascii="仿宋" w:hAnsi="仿宋" w:eastAsia="仿宋" w:cs="仿宋"/>
          <w:color w:val="000000"/>
          <w:sz w:val="32"/>
          <w:szCs w:val="32"/>
        </w:rPr>
        <w:t>万元，占</w:t>
      </w:r>
      <w:r>
        <w:rPr>
          <w:rFonts w:ascii="仿宋" w:hAnsi="仿宋" w:eastAsia="仿宋" w:cs="仿宋"/>
          <w:color w:val="000000"/>
          <w:sz w:val="32"/>
          <w:szCs w:val="32"/>
        </w:rPr>
        <w:t>14.7%</w:t>
      </w:r>
      <w:r>
        <w:rPr>
          <w:rFonts w:hint="eastAsia" w:ascii="仿宋" w:hAnsi="仿宋" w:eastAsia="仿宋" w:cs="仿宋"/>
          <w:color w:val="000000"/>
          <w:sz w:val="32"/>
          <w:szCs w:val="32"/>
        </w:rPr>
        <w:t>；政府性基金预算财政拨款收入</w:t>
      </w:r>
      <w:r>
        <w:rPr>
          <w:rFonts w:ascii="仿宋" w:hAnsi="仿宋" w:eastAsia="仿宋" w:cs="仿宋"/>
          <w:color w:val="000000"/>
          <w:sz w:val="32"/>
          <w:szCs w:val="32"/>
        </w:rPr>
        <w:t>140</w:t>
      </w:r>
      <w:r>
        <w:rPr>
          <w:rFonts w:hint="eastAsia" w:ascii="仿宋" w:hAnsi="仿宋" w:eastAsia="仿宋" w:cs="仿宋"/>
          <w:color w:val="000000"/>
          <w:sz w:val="32"/>
          <w:szCs w:val="32"/>
        </w:rPr>
        <w:t>万元，占</w:t>
      </w:r>
      <w:r>
        <w:rPr>
          <w:rFonts w:ascii="仿宋" w:hAnsi="仿宋" w:eastAsia="仿宋" w:cs="仿宋"/>
          <w:color w:val="000000"/>
          <w:sz w:val="32"/>
          <w:szCs w:val="32"/>
        </w:rPr>
        <w:t>85.3%</w:t>
      </w:r>
      <w:r>
        <w:rPr>
          <w:rFonts w:hint="eastAsia" w:ascii="仿宋" w:hAnsi="仿宋" w:eastAsia="仿宋" w:cs="仿宋"/>
          <w:color w:val="000000"/>
          <w:sz w:val="32"/>
          <w:szCs w:val="32"/>
        </w:rPr>
        <w:t>。</w:t>
      </w:r>
    </w:p>
    <w:p>
      <w:pPr>
        <w:spacing w:line="600" w:lineRule="exact"/>
        <w:ind w:firstLine="31680" w:firstLineChars="200"/>
        <w:rPr>
          <w:rFonts w:ascii="仿宋_GB2312" w:eastAsia="仿宋_GB2312"/>
          <w:color w:val="FF0000"/>
          <w:sz w:val="32"/>
          <w:szCs w:val="32"/>
        </w:rPr>
      </w:pPr>
    </w:p>
    <w:p>
      <w:pPr>
        <w:pStyle w:val="27"/>
        <w:numPr>
          <w:ilvl w:val="0"/>
          <w:numId w:val="2"/>
        </w:numPr>
        <w:spacing w:line="600" w:lineRule="exact"/>
        <w:ind w:firstLineChars="0"/>
        <w:outlineLvl w:val="1"/>
        <w:rPr>
          <w:rStyle w:val="17"/>
          <w:rFonts w:ascii="黑体" w:hAnsi="黑体" w:eastAsia="黑体" w:cs="Times New Roman"/>
          <w:b w:val="0"/>
          <w:bCs w:val="0"/>
        </w:rPr>
      </w:pPr>
      <w:bookmarkStart w:id="28" w:name="_Toc15396605"/>
      <w:bookmarkStart w:id="29" w:name="_Toc15377207"/>
      <w:r>
        <w:rPr>
          <w:rFonts w:hint="eastAsia" w:ascii="黑体" w:hAnsi="黑体" w:eastAsia="黑体" w:cs="黑体"/>
          <w:color w:val="000000"/>
          <w:sz w:val="32"/>
          <w:szCs w:val="32"/>
        </w:rPr>
        <w:t>支</w:t>
      </w:r>
      <w:r>
        <w:rPr>
          <w:rStyle w:val="17"/>
          <w:rFonts w:hint="eastAsia" w:ascii="黑体" w:hAnsi="黑体" w:eastAsia="黑体" w:cs="黑体"/>
          <w:b w:val="0"/>
          <w:bCs w:val="0"/>
        </w:rPr>
        <w:t>出决算情况说明</w:t>
      </w:r>
      <w:bookmarkEnd w:id="28"/>
      <w:bookmarkEnd w:id="29"/>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年本年支出合计</w:t>
      </w:r>
      <w:r>
        <w:rPr>
          <w:rFonts w:ascii="仿宋" w:hAnsi="仿宋" w:eastAsia="仿宋" w:cs="仿宋"/>
          <w:color w:val="000000"/>
          <w:sz w:val="32"/>
          <w:szCs w:val="32"/>
        </w:rPr>
        <w:t>164.18</w:t>
      </w:r>
      <w:r>
        <w:rPr>
          <w:rFonts w:hint="eastAsia" w:ascii="仿宋" w:hAnsi="仿宋" w:eastAsia="仿宋" w:cs="仿宋"/>
          <w:color w:val="000000"/>
          <w:sz w:val="32"/>
          <w:szCs w:val="32"/>
        </w:rPr>
        <w:t>万元，其中：基本支出</w:t>
      </w:r>
      <w:r>
        <w:rPr>
          <w:rFonts w:ascii="仿宋" w:hAnsi="仿宋" w:eastAsia="仿宋" w:cs="仿宋"/>
          <w:color w:val="000000"/>
          <w:sz w:val="32"/>
          <w:szCs w:val="32"/>
        </w:rPr>
        <w:t>23.85</w:t>
      </w:r>
      <w:r>
        <w:rPr>
          <w:rFonts w:hint="eastAsia" w:ascii="仿宋" w:hAnsi="仿宋" w:eastAsia="仿宋" w:cs="仿宋"/>
          <w:color w:val="000000"/>
          <w:sz w:val="32"/>
          <w:szCs w:val="32"/>
        </w:rPr>
        <w:t>万元，占</w:t>
      </w:r>
      <w:r>
        <w:rPr>
          <w:rFonts w:ascii="仿宋" w:hAnsi="仿宋" w:eastAsia="仿宋" w:cs="仿宋"/>
          <w:color w:val="000000"/>
          <w:sz w:val="32"/>
          <w:szCs w:val="32"/>
        </w:rPr>
        <w:t>14.5%</w:t>
      </w:r>
      <w:r>
        <w:rPr>
          <w:rFonts w:hint="eastAsia" w:ascii="仿宋" w:hAnsi="仿宋" w:eastAsia="仿宋" w:cs="仿宋"/>
          <w:color w:val="000000"/>
          <w:sz w:val="32"/>
          <w:szCs w:val="32"/>
        </w:rPr>
        <w:t>；项目支出</w:t>
      </w:r>
      <w:r>
        <w:rPr>
          <w:rFonts w:ascii="仿宋" w:hAnsi="仿宋" w:eastAsia="仿宋" w:cs="仿宋"/>
          <w:color w:val="000000"/>
          <w:sz w:val="32"/>
          <w:szCs w:val="32"/>
        </w:rPr>
        <w:t>140</w:t>
      </w:r>
      <w:r>
        <w:rPr>
          <w:rFonts w:hint="eastAsia" w:ascii="仿宋" w:hAnsi="仿宋" w:eastAsia="仿宋" w:cs="仿宋"/>
          <w:color w:val="000000"/>
          <w:sz w:val="32"/>
          <w:szCs w:val="32"/>
        </w:rPr>
        <w:t>万元，占</w:t>
      </w:r>
      <w:r>
        <w:rPr>
          <w:rFonts w:ascii="仿宋" w:hAnsi="仿宋" w:eastAsia="仿宋" w:cs="仿宋"/>
          <w:color w:val="000000"/>
          <w:sz w:val="32"/>
          <w:szCs w:val="32"/>
        </w:rPr>
        <w:t>85.2%</w:t>
      </w:r>
      <w:r>
        <w:rPr>
          <w:rFonts w:hint="eastAsia" w:ascii="仿宋" w:hAnsi="仿宋" w:eastAsia="仿宋" w:cs="仿宋"/>
          <w:color w:val="000000"/>
          <w:sz w:val="32"/>
          <w:szCs w:val="32"/>
        </w:rPr>
        <w:t>，结转下年使用</w:t>
      </w:r>
      <w:r>
        <w:rPr>
          <w:rFonts w:ascii="仿宋" w:hAnsi="仿宋" w:eastAsia="仿宋" w:cs="仿宋"/>
          <w:color w:val="000000"/>
          <w:sz w:val="32"/>
          <w:szCs w:val="32"/>
        </w:rPr>
        <w:t>0.34</w:t>
      </w:r>
      <w:r>
        <w:rPr>
          <w:rFonts w:hint="eastAsia" w:ascii="仿宋" w:hAnsi="仿宋" w:eastAsia="仿宋" w:cs="仿宋"/>
          <w:color w:val="000000"/>
          <w:sz w:val="32"/>
          <w:szCs w:val="32"/>
        </w:rPr>
        <w:t>万元，占</w:t>
      </w:r>
      <w:r>
        <w:rPr>
          <w:rFonts w:ascii="仿宋" w:hAnsi="仿宋" w:eastAsia="仿宋" w:cs="仿宋"/>
          <w:color w:val="000000"/>
          <w:sz w:val="32"/>
          <w:szCs w:val="32"/>
        </w:rPr>
        <w:t>0.2%</w:t>
      </w:r>
      <w:r>
        <w:rPr>
          <w:rFonts w:hint="eastAsia" w:ascii="仿宋" w:hAnsi="仿宋" w:eastAsia="仿宋" w:cs="仿宋"/>
          <w:color w:val="000000"/>
          <w:sz w:val="32"/>
          <w:szCs w:val="32"/>
        </w:rPr>
        <w:t>。</w:t>
      </w:r>
    </w:p>
    <w:p>
      <w:pPr>
        <w:spacing w:line="600" w:lineRule="exact"/>
        <w:ind w:firstLine="640"/>
        <w:rPr>
          <w:rFonts w:ascii="仿宋" w:hAnsi="仿宋" w:eastAsia="仿宋"/>
          <w:color w:val="000000"/>
          <w:sz w:val="32"/>
          <w:szCs w:val="32"/>
          <w:shd w:val="pct10" w:color="auto" w:fill="FFFFFF"/>
        </w:rPr>
      </w:pPr>
    </w:p>
    <w:p>
      <w:pPr>
        <w:spacing w:line="600" w:lineRule="exact"/>
        <w:rPr>
          <w:rFonts w:ascii="仿宋" w:hAnsi="仿宋" w:eastAsia="仿宋"/>
          <w:color w:val="000000"/>
          <w:sz w:val="32"/>
          <w:szCs w:val="32"/>
        </w:rPr>
      </w:pPr>
      <w:r>
        <w:pict>
          <v:shape id="_x0000_s1027" o:spid="_x0000_s1027" o:spt="75" type="#_x0000_t75" style="position:absolute;left:0pt;margin-left:5.25pt;margin-top:-397.8pt;height:290.45pt;width:396.95pt;mso-wrap-distance-bottom:0pt;mso-wrap-distance-left:9pt;mso-wrap-distance-right:9pt;mso-wrap-distance-top:0pt;z-index:251655168;mso-width-relative:page;mso-height-relative:page;" o:ole="t" filled="f" o:preferrelative="t" stroked="f" coordsize="21600,21600">
            <v:path/>
            <v:fill on="f" focussize="0,0"/>
            <v:stroke on="f" joinstyle="miter"/>
            <v:imagedata r:id="rId9" o:title=""/>
            <o:lock v:ext="edit" aspectratio="t"/>
            <w10:wrap type="square"/>
          </v:shape>
          <o:OLEObject Type="Embed" ProgID="Excel.Chart.8" ShapeID="_x0000_s1027" DrawAspect="Content" ObjectID="_1468075726" r:id="rId8">
            <o:LockedField>false</o:LockedField>
          </o:OLEObject>
        </w:pict>
      </w:r>
    </w:p>
    <w:p>
      <w:pPr>
        <w:spacing w:line="600" w:lineRule="exact"/>
        <w:outlineLvl w:val="1"/>
        <w:rPr>
          <w:rStyle w:val="17"/>
          <w:rFonts w:ascii="黑体" w:hAnsi="黑体" w:eastAsia="黑体" w:cs="Times New Roman"/>
          <w:b w:val="0"/>
          <w:bCs w:val="0"/>
          <w:color w:val="000000"/>
        </w:rPr>
      </w:pPr>
      <w:bookmarkStart w:id="30" w:name="_Toc15377208"/>
      <w:bookmarkStart w:id="31" w:name="_Toc15396606"/>
      <w:r>
        <w:rPr>
          <w:rFonts w:hint="eastAsia" w:ascii="黑体" w:hAnsi="黑体" w:eastAsia="黑体" w:cs="黑体"/>
          <w:color w:val="000000"/>
          <w:sz w:val="32"/>
          <w:szCs w:val="32"/>
        </w:rPr>
        <w:t>四、</w:t>
      </w:r>
      <w:r>
        <w:rPr>
          <w:rFonts w:ascii="黑体" w:hAnsi="黑体" w:eastAsia="黑体" w:cs="黑体"/>
          <w:color w:val="000000"/>
          <w:sz w:val="32"/>
          <w:szCs w:val="32"/>
        </w:rPr>
        <w:t xml:space="preserve">  </w:t>
      </w:r>
      <w:r>
        <w:rPr>
          <w:rFonts w:hint="eastAsia" w:ascii="黑体" w:hAnsi="黑体" w:eastAsia="黑体" w:cs="黑体"/>
          <w:color w:val="000000"/>
          <w:sz w:val="32"/>
          <w:szCs w:val="32"/>
        </w:rPr>
        <w:t>财</w:t>
      </w:r>
      <w:r>
        <w:rPr>
          <w:rStyle w:val="17"/>
          <w:rFonts w:hint="eastAsia" w:ascii="黑体" w:hAnsi="黑体" w:eastAsia="黑体" w:cs="黑体"/>
          <w:b w:val="0"/>
          <w:bCs w:val="0"/>
        </w:rPr>
        <w:t>政拨款收入支出决算总体情况说明</w:t>
      </w:r>
      <w:bookmarkEnd w:id="30"/>
      <w:bookmarkEnd w:id="31"/>
    </w:p>
    <w:p>
      <w:pPr>
        <w:spacing w:line="600" w:lineRule="exact"/>
        <w:ind w:firstLine="31680" w:firstLineChars="20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年财政拨款收、支总计</w:t>
      </w:r>
      <w:r>
        <w:rPr>
          <w:rFonts w:ascii="仿宋" w:hAnsi="仿宋" w:eastAsia="仿宋" w:cs="仿宋"/>
          <w:color w:val="000000"/>
          <w:sz w:val="32"/>
          <w:szCs w:val="32"/>
        </w:rPr>
        <w:t>164.18</w:t>
      </w:r>
      <w:r>
        <w:rPr>
          <w:rFonts w:hint="eastAsia" w:ascii="仿宋" w:hAnsi="仿宋" w:eastAsia="仿宋" w:cs="仿宋"/>
          <w:color w:val="000000"/>
          <w:sz w:val="32"/>
          <w:szCs w:val="32"/>
        </w:rPr>
        <w:t>万元。与</w:t>
      </w:r>
      <w:r>
        <w:rPr>
          <w:rFonts w:ascii="仿宋" w:hAnsi="仿宋" w:eastAsia="仿宋" w:cs="仿宋"/>
          <w:color w:val="000000"/>
          <w:sz w:val="32"/>
          <w:szCs w:val="32"/>
        </w:rPr>
        <w:t>2017</w:t>
      </w:r>
      <w:r>
        <w:rPr>
          <w:rFonts w:hint="eastAsia" w:ascii="仿宋" w:hAnsi="仿宋" w:eastAsia="仿宋" w:cs="仿宋"/>
          <w:color w:val="000000"/>
          <w:sz w:val="32"/>
          <w:szCs w:val="32"/>
        </w:rPr>
        <w:t>年相比，财政拨款收、支总计各减少</w:t>
      </w:r>
      <w:r>
        <w:rPr>
          <w:rFonts w:ascii="仿宋" w:hAnsi="仿宋" w:eastAsia="仿宋" w:cs="仿宋"/>
          <w:color w:val="000000"/>
          <w:sz w:val="32"/>
          <w:szCs w:val="32"/>
        </w:rPr>
        <w:t>30.15</w:t>
      </w:r>
      <w:r>
        <w:rPr>
          <w:rFonts w:hint="eastAsia" w:ascii="仿宋" w:hAnsi="仿宋" w:eastAsia="仿宋" w:cs="仿宋"/>
          <w:color w:val="000000"/>
          <w:sz w:val="32"/>
          <w:szCs w:val="32"/>
        </w:rPr>
        <w:t>万元，下降</w:t>
      </w:r>
      <w:r>
        <w:rPr>
          <w:rFonts w:ascii="仿宋" w:hAnsi="仿宋" w:eastAsia="仿宋" w:cs="仿宋"/>
          <w:color w:val="000000"/>
          <w:sz w:val="32"/>
          <w:szCs w:val="32"/>
        </w:rPr>
        <w:t>*15.5%</w:t>
      </w:r>
      <w:r>
        <w:rPr>
          <w:rFonts w:hint="eastAsia" w:ascii="仿宋" w:hAnsi="仿宋" w:eastAsia="仿宋" w:cs="仿宋"/>
          <w:color w:val="000000"/>
          <w:sz w:val="32"/>
          <w:szCs w:val="32"/>
        </w:rPr>
        <w:t>。主要变动原因是人员减少。</w:t>
      </w:r>
    </w:p>
    <w:p>
      <w:pPr>
        <w:spacing w:line="600" w:lineRule="exact"/>
        <w:ind w:firstLine="640"/>
        <w:rPr>
          <w:rFonts w:ascii="仿宋" w:hAnsi="仿宋" w:eastAsia="仿宋"/>
          <w:b/>
          <w:bCs/>
          <w:color w:val="000000"/>
          <w:sz w:val="32"/>
          <w:szCs w:val="32"/>
        </w:rPr>
      </w:pPr>
    </w:p>
    <w:p>
      <w:pPr>
        <w:spacing w:line="600" w:lineRule="exact"/>
        <w:ind w:firstLine="640"/>
        <w:rPr>
          <w:rFonts w:ascii="仿宋" w:hAnsi="仿宋" w:eastAsia="仿宋"/>
          <w:b/>
          <w:bCs/>
          <w:color w:val="000000"/>
          <w:sz w:val="32"/>
          <w:szCs w:val="32"/>
        </w:rPr>
      </w:pPr>
    </w:p>
    <w:p>
      <w:pPr>
        <w:spacing w:line="600" w:lineRule="exact"/>
        <w:ind w:firstLine="640"/>
        <w:rPr>
          <w:rFonts w:ascii="仿宋" w:hAnsi="仿宋" w:eastAsia="仿宋"/>
          <w:b/>
          <w:bCs/>
          <w:color w:val="000000"/>
          <w:sz w:val="32"/>
          <w:szCs w:val="32"/>
        </w:rPr>
      </w:pPr>
    </w:p>
    <w:p>
      <w:pPr>
        <w:spacing w:line="600" w:lineRule="exact"/>
        <w:ind w:firstLine="640"/>
        <w:rPr>
          <w:rFonts w:ascii="仿宋" w:hAnsi="仿宋" w:eastAsia="仿宋"/>
          <w:b/>
          <w:bCs/>
          <w:color w:val="000000"/>
          <w:sz w:val="32"/>
          <w:szCs w:val="32"/>
        </w:rPr>
      </w:pPr>
    </w:p>
    <w:p>
      <w:pPr>
        <w:spacing w:line="600" w:lineRule="exact"/>
        <w:ind w:firstLine="640"/>
        <w:rPr>
          <w:rFonts w:ascii="仿宋" w:hAnsi="仿宋" w:eastAsia="仿宋"/>
          <w:b/>
          <w:bCs/>
          <w:color w:val="000000"/>
          <w:sz w:val="32"/>
          <w:szCs w:val="32"/>
        </w:rPr>
      </w:pPr>
    </w:p>
    <w:p>
      <w:pPr>
        <w:spacing w:line="600" w:lineRule="exact"/>
        <w:ind w:firstLine="640"/>
        <w:rPr>
          <w:rFonts w:ascii="仿宋" w:hAnsi="仿宋" w:eastAsia="仿宋"/>
          <w:b/>
          <w:bCs/>
          <w:color w:val="000000"/>
          <w:sz w:val="32"/>
          <w:szCs w:val="32"/>
        </w:rPr>
      </w:pPr>
    </w:p>
    <w:p>
      <w:pPr>
        <w:spacing w:line="600" w:lineRule="exact"/>
        <w:ind w:firstLine="640"/>
        <w:rPr>
          <w:rFonts w:ascii="仿宋" w:hAnsi="仿宋" w:eastAsia="仿宋"/>
          <w:b/>
          <w:bCs/>
          <w:color w:val="000000"/>
          <w:sz w:val="32"/>
          <w:szCs w:val="32"/>
        </w:rPr>
      </w:pPr>
    </w:p>
    <w:p>
      <w:pPr>
        <w:spacing w:line="600" w:lineRule="exact"/>
        <w:ind w:firstLine="640"/>
        <w:rPr>
          <w:rFonts w:ascii="仿宋" w:hAnsi="仿宋" w:eastAsia="仿宋"/>
          <w:b/>
          <w:bCs/>
          <w:color w:val="000000"/>
          <w:sz w:val="32"/>
          <w:szCs w:val="32"/>
        </w:rPr>
      </w:pPr>
    </w:p>
    <w:p>
      <w:pPr>
        <w:spacing w:line="600" w:lineRule="exact"/>
        <w:ind w:firstLine="640"/>
        <w:rPr>
          <w:rFonts w:ascii="仿宋" w:hAnsi="仿宋" w:eastAsia="仿宋"/>
          <w:b/>
          <w:bCs/>
          <w:color w:val="000000"/>
          <w:sz w:val="32"/>
          <w:szCs w:val="32"/>
        </w:rPr>
      </w:pPr>
    </w:p>
    <w:p>
      <w:pPr>
        <w:spacing w:line="600" w:lineRule="exact"/>
        <w:ind w:firstLine="640"/>
        <w:rPr>
          <w:rFonts w:ascii="仿宋" w:hAnsi="仿宋" w:eastAsia="仿宋"/>
          <w:b/>
          <w:bCs/>
          <w:color w:val="000000"/>
          <w:sz w:val="32"/>
          <w:szCs w:val="32"/>
        </w:rPr>
      </w:pPr>
    </w:p>
    <w:p>
      <w:pPr>
        <w:spacing w:line="600" w:lineRule="exact"/>
        <w:ind w:firstLine="640"/>
        <w:rPr>
          <w:rFonts w:ascii="仿宋" w:hAnsi="仿宋" w:eastAsia="仿宋"/>
          <w:b/>
          <w:bCs/>
          <w:color w:val="000000"/>
          <w:sz w:val="32"/>
          <w:szCs w:val="32"/>
        </w:rPr>
      </w:pPr>
      <w:r>
        <w:pict>
          <v:shape id="_x0000_s1028" o:spid="_x0000_s1028" o:spt="75" type="#_x0000_t75" style="position:absolute;left:0pt;margin-left:31.4pt;margin-top:-277.65pt;height:300.5pt;width:401.3pt;mso-wrap-distance-bottom:0pt;mso-wrap-distance-left:9pt;mso-wrap-distance-right:9pt;mso-wrap-distance-top:0pt;z-index:251656192;mso-width-relative:page;mso-height-relative:page;" o:ole="t" filled="f" o:preferrelative="t" stroked="f" coordsize="21600,21600">
            <v:path/>
            <v:fill on="f" focussize="0,0"/>
            <v:stroke on="f" joinstyle="miter"/>
            <v:imagedata r:id="rId11" o:title=""/>
            <o:lock v:ext="edit" aspectratio="t"/>
            <w10:wrap type="square"/>
          </v:shape>
          <o:OLEObject Type="Embed" ProgID="Excel.Chart.8" ShapeID="_x0000_s1028" DrawAspect="Content" ObjectID="_1468075727" r:id="rId10">
            <o:LockedField>false</o:LockedField>
          </o:OLEObject>
        </w:pict>
      </w:r>
    </w:p>
    <w:p>
      <w:pPr>
        <w:spacing w:line="600" w:lineRule="exact"/>
        <w:ind w:firstLine="640"/>
        <w:rPr>
          <w:rFonts w:ascii="仿宋" w:hAnsi="仿宋" w:eastAsia="仿宋"/>
          <w:b/>
          <w:bCs/>
          <w:color w:val="000000"/>
          <w:sz w:val="32"/>
          <w:szCs w:val="32"/>
        </w:rPr>
      </w:pPr>
    </w:p>
    <w:p>
      <w:pPr>
        <w:spacing w:line="600" w:lineRule="exact"/>
        <w:ind w:firstLine="31680" w:firstLineChars="50"/>
        <w:outlineLvl w:val="1"/>
        <w:rPr>
          <w:rStyle w:val="17"/>
          <w:rFonts w:ascii="黑体" w:hAnsi="黑体" w:eastAsia="黑体" w:cs="Times New Roman"/>
          <w:b w:val="0"/>
          <w:bCs w:val="0"/>
        </w:rPr>
      </w:pPr>
      <w:bookmarkStart w:id="32" w:name="_Toc15377209"/>
      <w:bookmarkStart w:id="33" w:name="_Toc15396607"/>
      <w:r>
        <w:rPr>
          <w:rFonts w:hint="eastAsia" w:ascii="黑体" w:hAnsi="黑体" w:eastAsia="黑体" w:cs="黑体"/>
          <w:color w:val="000000"/>
          <w:sz w:val="32"/>
          <w:szCs w:val="32"/>
        </w:rPr>
        <w:t>五、</w:t>
      </w:r>
      <w:r>
        <w:rPr>
          <w:rFonts w:hint="eastAsia" w:ascii="黑体" w:hAnsi="黑体" w:eastAsia="黑体" w:cs="黑体"/>
          <w:b/>
          <w:bCs/>
          <w:color w:val="000000"/>
          <w:sz w:val="32"/>
          <w:szCs w:val="32"/>
        </w:rPr>
        <w:t>一</w:t>
      </w:r>
      <w:r>
        <w:rPr>
          <w:rStyle w:val="17"/>
          <w:rFonts w:hint="eastAsia" w:ascii="黑体" w:hAnsi="黑体" w:eastAsia="黑体" w:cs="黑体"/>
          <w:b w:val="0"/>
          <w:bCs w:val="0"/>
        </w:rPr>
        <w:t>般公共预算财政拨款支出决算情况说明</w:t>
      </w:r>
      <w:bookmarkEnd w:id="32"/>
      <w:bookmarkEnd w:id="33"/>
    </w:p>
    <w:p>
      <w:pPr>
        <w:spacing w:line="600" w:lineRule="exact"/>
        <w:ind w:firstLine="31680" w:firstLineChars="200"/>
        <w:outlineLvl w:val="2"/>
        <w:rPr>
          <w:rFonts w:ascii="仿宋" w:hAnsi="仿宋" w:eastAsia="仿宋"/>
          <w:b/>
          <w:bCs/>
          <w:color w:val="000000"/>
          <w:sz w:val="32"/>
          <w:szCs w:val="32"/>
        </w:rPr>
      </w:pPr>
      <w:bookmarkStart w:id="34" w:name="_Toc15377210"/>
      <w:r>
        <w:rPr>
          <w:rFonts w:hint="eastAsia" w:ascii="仿宋" w:hAnsi="仿宋" w:eastAsia="仿宋" w:cs="仿宋"/>
          <w:b/>
          <w:bCs/>
          <w:color w:val="000000"/>
          <w:sz w:val="32"/>
          <w:szCs w:val="32"/>
        </w:rPr>
        <w:t>（一）一般公共预算财政拨款支出决算总体情况</w:t>
      </w:r>
      <w:bookmarkEnd w:id="34"/>
    </w:p>
    <w:p>
      <w:pPr>
        <w:spacing w:line="600" w:lineRule="exact"/>
        <w:ind w:firstLine="31680" w:firstLineChars="200"/>
        <w:rPr>
          <w:rFonts w:ascii="仿宋" w:hAnsi="仿宋" w:eastAsia="仿宋"/>
          <w:color w:val="000000"/>
          <w:sz w:val="32"/>
          <w:szCs w:val="32"/>
        </w:rPr>
      </w:pPr>
      <w:r>
        <w:pict>
          <v:shape id="_x0000_s1029" o:spid="_x0000_s1029" o:spt="75" type="#_x0000_t75" style="position:absolute;left:0pt;margin-left:28.6pt;margin-top:5.9pt;height:291.35pt;width:349.9pt;mso-wrap-distance-bottom:0.05pt;mso-wrap-distance-top:0pt;z-index:251660288;mso-width-relative:page;mso-height-relative:page;" o:ole="t" filled="f" o:preferrelative="t" stroked="f" coordsize="21600,21600">
            <v:path/>
            <v:fill on="f" focussize="0,0"/>
            <v:stroke on="f" joinstyle="miter"/>
            <v:imagedata r:id="rId13" o:title=""/>
            <o:lock v:ext="edit" aspectratio="t"/>
            <w10:wrap type="topAndBottom"/>
          </v:shape>
          <o:OLEObject Type="Embed" ProgID="Excel.Chart.8" ShapeID="_x0000_s1029" DrawAspect="Content" ObjectID="_1468075728" r:id="rId12">
            <o:LockedField>false</o:LockedField>
          </o:OLEObject>
        </w:pict>
      </w:r>
    </w:p>
    <w:p>
      <w:pPr>
        <w:spacing w:line="600" w:lineRule="exact"/>
        <w:ind w:firstLine="31680" w:firstLineChars="200"/>
        <w:outlineLvl w:val="2"/>
        <w:rPr>
          <w:rFonts w:ascii="仿宋" w:hAnsi="仿宋" w:eastAsia="仿宋"/>
          <w:b/>
          <w:bCs/>
          <w:color w:val="000000"/>
          <w:sz w:val="32"/>
          <w:szCs w:val="32"/>
        </w:rPr>
      </w:pPr>
    </w:p>
    <w:p>
      <w:pPr>
        <w:spacing w:line="600" w:lineRule="exact"/>
        <w:ind w:firstLine="31680" w:firstLineChars="20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年一般公共预算财政拨款支出</w:t>
      </w:r>
      <w:r>
        <w:rPr>
          <w:rFonts w:ascii="仿宋" w:hAnsi="仿宋" w:eastAsia="仿宋" w:cs="仿宋"/>
          <w:color w:val="000000"/>
          <w:sz w:val="32"/>
          <w:szCs w:val="32"/>
        </w:rPr>
        <w:t>23.85</w:t>
      </w:r>
      <w:r>
        <w:rPr>
          <w:rFonts w:hint="eastAsia" w:ascii="仿宋" w:hAnsi="仿宋" w:eastAsia="仿宋" w:cs="仿宋"/>
          <w:color w:val="000000"/>
          <w:sz w:val="32"/>
          <w:szCs w:val="32"/>
        </w:rPr>
        <w:t>万元，占本年支出合计的</w:t>
      </w:r>
      <w:r>
        <w:rPr>
          <w:rFonts w:ascii="仿宋" w:hAnsi="仿宋" w:eastAsia="仿宋" w:cs="仿宋"/>
          <w:color w:val="000000"/>
          <w:sz w:val="32"/>
          <w:szCs w:val="32"/>
        </w:rPr>
        <w:t>14.55%</w:t>
      </w:r>
      <w:r>
        <w:rPr>
          <w:rFonts w:hint="eastAsia" w:ascii="仿宋" w:hAnsi="仿宋" w:eastAsia="仿宋" w:cs="仿宋"/>
          <w:color w:val="000000"/>
          <w:sz w:val="32"/>
          <w:szCs w:val="32"/>
        </w:rPr>
        <w:t>。与</w:t>
      </w:r>
      <w:r>
        <w:rPr>
          <w:rFonts w:ascii="仿宋" w:hAnsi="仿宋" w:eastAsia="仿宋" w:cs="仿宋"/>
          <w:color w:val="000000"/>
          <w:sz w:val="32"/>
          <w:szCs w:val="32"/>
        </w:rPr>
        <w:t>2017</w:t>
      </w:r>
      <w:r>
        <w:rPr>
          <w:rFonts w:hint="eastAsia" w:ascii="仿宋" w:hAnsi="仿宋" w:eastAsia="仿宋" w:cs="仿宋"/>
          <w:color w:val="000000"/>
          <w:sz w:val="32"/>
          <w:szCs w:val="32"/>
        </w:rPr>
        <w:t>年相比，一般公共预算财政拨款减少</w:t>
      </w:r>
      <w:r>
        <w:rPr>
          <w:rFonts w:ascii="仿宋" w:hAnsi="仿宋" w:eastAsia="仿宋" w:cs="仿宋"/>
          <w:color w:val="000000"/>
          <w:sz w:val="32"/>
          <w:szCs w:val="32"/>
        </w:rPr>
        <w:t>170.15</w:t>
      </w:r>
      <w:r>
        <w:rPr>
          <w:rFonts w:hint="eastAsia" w:ascii="仿宋" w:hAnsi="仿宋" w:eastAsia="仿宋" w:cs="仿宋"/>
          <w:color w:val="000000"/>
          <w:sz w:val="32"/>
          <w:szCs w:val="32"/>
        </w:rPr>
        <w:t>万元，下降</w:t>
      </w:r>
      <w:r>
        <w:rPr>
          <w:rFonts w:ascii="仿宋" w:hAnsi="仿宋" w:eastAsia="仿宋" w:cs="仿宋"/>
          <w:color w:val="000000"/>
          <w:sz w:val="32"/>
          <w:szCs w:val="32"/>
        </w:rPr>
        <w:t>87.7%</w:t>
      </w:r>
      <w:r>
        <w:rPr>
          <w:rFonts w:hint="eastAsia" w:ascii="仿宋" w:hAnsi="仿宋" w:eastAsia="仿宋" w:cs="仿宋"/>
          <w:color w:val="000000"/>
          <w:sz w:val="32"/>
          <w:szCs w:val="32"/>
        </w:rPr>
        <w:t>。主要变动原因是预算口径变化。</w:t>
      </w:r>
      <w:r>
        <w:pict>
          <v:shape id="_x0000_s1030" o:spid="_x0000_s1030" o:spt="75" type="#_x0000_t75" style="position:absolute;left:0pt;margin-left:28.6pt;margin-top:5.9pt;height:291.35pt;width:349.9pt;mso-wrap-distance-bottom:0.05pt;mso-wrap-distance-top:0pt;z-index:251657216;mso-width-relative:page;mso-height-relative:page;" o:ole="t" filled="f" o:preferrelative="t" stroked="f" coordsize="21600,21600">
            <v:path/>
            <v:fill on="f" focussize="0,0"/>
            <v:stroke on="f" joinstyle="miter"/>
            <v:imagedata r:id="rId13" o:title=""/>
            <o:lock v:ext="edit" aspectratio="t"/>
            <w10:wrap type="topAndBottom"/>
          </v:shape>
          <o:OLEObject Type="Embed" ProgID="Excel.Chart.8" ShapeID="_x0000_s1030" DrawAspect="Content" ObjectID="_1468075729" r:id="rId14">
            <o:LockedField>false</o:LockedField>
          </o:OLEObject>
        </w:pict>
      </w:r>
    </w:p>
    <w:p>
      <w:pPr>
        <w:spacing w:line="600" w:lineRule="exact"/>
        <w:outlineLvl w:val="2"/>
        <w:rPr>
          <w:rFonts w:ascii="仿宋" w:hAnsi="仿宋" w:eastAsia="仿宋"/>
          <w:b/>
          <w:bCs/>
          <w:color w:val="000000"/>
          <w:sz w:val="32"/>
          <w:szCs w:val="32"/>
        </w:rPr>
      </w:pPr>
      <w:bookmarkStart w:id="35" w:name="_Toc15377211"/>
      <w:r>
        <w:rPr>
          <w:rFonts w:hint="eastAsia" w:ascii="仿宋" w:hAnsi="仿宋" w:eastAsia="仿宋" w:cs="仿宋"/>
          <w:b/>
          <w:bCs/>
          <w:color w:val="000000"/>
          <w:sz w:val="32"/>
          <w:szCs w:val="32"/>
        </w:rPr>
        <w:t>（二）一般公共预算财政拨款支出决算结构情况</w:t>
      </w:r>
      <w:bookmarkEnd w:id="35"/>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年一般公共预算财政拨款支出</w:t>
      </w:r>
      <w:r>
        <w:rPr>
          <w:rFonts w:ascii="仿宋" w:hAnsi="仿宋" w:eastAsia="仿宋" w:cs="仿宋"/>
          <w:color w:val="000000"/>
          <w:sz w:val="32"/>
          <w:szCs w:val="32"/>
        </w:rPr>
        <w:t>23.85</w:t>
      </w:r>
      <w:r>
        <w:rPr>
          <w:rFonts w:hint="eastAsia" w:ascii="仿宋" w:hAnsi="仿宋" w:eastAsia="仿宋" w:cs="仿宋"/>
          <w:color w:val="000000"/>
          <w:sz w:val="32"/>
          <w:szCs w:val="32"/>
        </w:rPr>
        <w:t>万元，主要用于以下方面</w:t>
      </w:r>
      <w:r>
        <w:rPr>
          <w:rFonts w:ascii="仿宋" w:hAnsi="仿宋" w:eastAsia="仿宋" w:cs="仿宋"/>
          <w:color w:val="000000"/>
          <w:sz w:val="32"/>
          <w:szCs w:val="32"/>
        </w:rPr>
        <w:t>:</w:t>
      </w:r>
      <w:r>
        <w:rPr>
          <w:rFonts w:hint="eastAsia" w:ascii="仿宋" w:hAnsi="仿宋" w:eastAsia="仿宋" w:cs="仿宋"/>
          <w:b/>
          <w:bCs/>
          <w:color w:val="000000"/>
          <w:sz w:val="32"/>
          <w:szCs w:val="32"/>
        </w:rPr>
        <w:t>一般公共服务（类）</w:t>
      </w:r>
      <w:r>
        <w:rPr>
          <w:rFonts w:hint="eastAsia" w:ascii="仿宋" w:hAnsi="仿宋" w:eastAsia="仿宋" w:cs="仿宋"/>
          <w:color w:val="000000"/>
          <w:sz w:val="32"/>
          <w:szCs w:val="32"/>
        </w:rPr>
        <w:t>支出</w:t>
      </w:r>
      <w:r>
        <w:rPr>
          <w:rFonts w:ascii="仿宋" w:hAnsi="仿宋" w:eastAsia="仿宋" w:cs="仿宋"/>
          <w:color w:val="000000"/>
          <w:sz w:val="32"/>
          <w:szCs w:val="32"/>
        </w:rPr>
        <w:t>19.18</w:t>
      </w:r>
      <w:r>
        <w:rPr>
          <w:rFonts w:hint="eastAsia" w:ascii="仿宋" w:hAnsi="仿宋" w:eastAsia="仿宋" w:cs="仿宋"/>
          <w:color w:val="000000"/>
          <w:sz w:val="32"/>
          <w:szCs w:val="32"/>
        </w:rPr>
        <w:t>万元，占</w:t>
      </w:r>
      <w:r>
        <w:rPr>
          <w:rFonts w:ascii="仿宋" w:hAnsi="仿宋" w:eastAsia="仿宋" w:cs="仿宋"/>
          <w:color w:val="000000"/>
          <w:sz w:val="32"/>
          <w:szCs w:val="32"/>
        </w:rPr>
        <w:t>80%</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社会保障和就业（类）</w:t>
      </w:r>
      <w:r>
        <w:rPr>
          <w:rFonts w:hint="eastAsia" w:ascii="仿宋" w:hAnsi="仿宋" w:eastAsia="仿宋" w:cs="仿宋"/>
          <w:color w:val="000000"/>
          <w:sz w:val="32"/>
          <w:szCs w:val="32"/>
        </w:rPr>
        <w:t>支出</w:t>
      </w:r>
      <w:r>
        <w:rPr>
          <w:rFonts w:ascii="仿宋" w:hAnsi="仿宋" w:eastAsia="仿宋" w:cs="仿宋"/>
          <w:color w:val="000000"/>
          <w:sz w:val="32"/>
          <w:szCs w:val="32"/>
        </w:rPr>
        <w:t>2.35</w:t>
      </w:r>
      <w:r>
        <w:rPr>
          <w:rFonts w:hint="eastAsia" w:ascii="仿宋" w:hAnsi="仿宋" w:eastAsia="仿宋" w:cs="仿宋"/>
          <w:color w:val="000000"/>
          <w:sz w:val="32"/>
          <w:szCs w:val="32"/>
        </w:rPr>
        <w:t>万元，占</w:t>
      </w:r>
      <w:r>
        <w:rPr>
          <w:rFonts w:ascii="仿宋" w:hAnsi="仿宋" w:eastAsia="仿宋" w:cs="仿宋"/>
          <w:color w:val="000000"/>
          <w:sz w:val="32"/>
          <w:szCs w:val="32"/>
        </w:rPr>
        <w:t>10%</w:t>
      </w:r>
      <w:r>
        <w:rPr>
          <w:rFonts w:hint="eastAsia" w:ascii="仿宋" w:hAnsi="仿宋" w:eastAsia="仿宋" w:cs="仿宋"/>
          <w:color w:val="000000"/>
          <w:sz w:val="32"/>
          <w:szCs w:val="32"/>
        </w:rPr>
        <w:t>；医疗卫生支出</w:t>
      </w:r>
      <w:r>
        <w:rPr>
          <w:rFonts w:ascii="仿宋" w:hAnsi="仿宋" w:eastAsia="仿宋" w:cs="仿宋"/>
          <w:color w:val="000000"/>
          <w:sz w:val="32"/>
          <w:szCs w:val="32"/>
        </w:rPr>
        <w:t>0.7</w:t>
      </w:r>
      <w:r>
        <w:rPr>
          <w:rFonts w:hint="eastAsia" w:ascii="仿宋" w:hAnsi="仿宋" w:eastAsia="仿宋" w:cs="仿宋"/>
          <w:color w:val="000000"/>
          <w:sz w:val="32"/>
          <w:szCs w:val="32"/>
        </w:rPr>
        <w:t>万元，占</w:t>
      </w:r>
      <w:r>
        <w:rPr>
          <w:rFonts w:ascii="仿宋" w:hAnsi="仿宋" w:eastAsia="仿宋" w:cs="仿宋"/>
          <w:color w:val="000000"/>
          <w:sz w:val="32"/>
          <w:szCs w:val="32"/>
        </w:rPr>
        <w:t>3%</w:t>
      </w:r>
      <w:r>
        <w:rPr>
          <w:rFonts w:hint="eastAsia" w:ascii="仿宋" w:hAnsi="仿宋" w:eastAsia="仿宋" w:cs="仿宋"/>
          <w:color w:val="000000"/>
          <w:sz w:val="32"/>
          <w:szCs w:val="32"/>
        </w:rPr>
        <w:t>；住房保障支出</w:t>
      </w:r>
      <w:r>
        <w:rPr>
          <w:rFonts w:ascii="仿宋" w:hAnsi="仿宋" w:eastAsia="仿宋" w:cs="仿宋"/>
          <w:color w:val="000000"/>
          <w:sz w:val="32"/>
          <w:szCs w:val="32"/>
        </w:rPr>
        <w:t>1.61</w:t>
      </w:r>
      <w:r>
        <w:rPr>
          <w:rFonts w:hint="eastAsia" w:ascii="仿宋" w:hAnsi="仿宋" w:eastAsia="仿宋" w:cs="仿宋"/>
          <w:color w:val="000000"/>
          <w:sz w:val="32"/>
          <w:szCs w:val="32"/>
        </w:rPr>
        <w:t>万元，占</w:t>
      </w:r>
      <w:r>
        <w:rPr>
          <w:rFonts w:ascii="仿宋" w:hAnsi="仿宋" w:eastAsia="仿宋" w:cs="仿宋"/>
          <w:color w:val="000000"/>
          <w:sz w:val="32"/>
          <w:szCs w:val="32"/>
        </w:rPr>
        <w:t>7%</w:t>
      </w:r>
      <w:r>
        <w:rPr>
          <w:rFonts w:hint="eastAsia" w:ascii="仿宋" w:hAnsi="仿宋" w:eastAsia="仿宋" w:cs="仿宋"/>
          <w:color w:val="000000"/>
          <w:sz w:val="32"/>
          <w:szCs w:val="32"/>
        </w:rPr>
        <w:t>。</w:t>
      </w:r>
    </w:p>
    <w:p>
      <w:pPr>
        <w:spacing w:line="600" w:lineRule="exact"/>
        <w:ind w:firstLine="31680" w:firstLineChars="200"/>
        <w:rPr>
          <w:rFonts w:ascii="仿宋" w:hAnsi="仿宋" w:eastAsia="仿宋"/>
          <w:color w:val="000000"/>
          <w:sz w:val="32"/>
          <w:szCs w:val="32"/>
        </w:rPr>
      </w:pPr>
    </w:p>
    <w:p>
      <w:pPr>
        <w:spacing w:line="600" w:lineRule="exact"/>
        <w:ind w:firstLine="31680" w:firstLineChars="200"/>
        <w:rPr>
          <w:rFonts w:ascii="仿宋" w:hAnsi="仿宋" w:eastAsia="仿宋"/>
          <w:color w:val="000000"/>
          <w:sz w:val="32"/>
          <w:szCs w:val="32"/>
        </w:rPr>
      </w:pPr>
    </w:p>
    <w:p>
      <w:pPr>
        <w:spacing w:line="600" w:lineRule="exact"/>
        <w:ind w:firstLine="31680" w:firstLineChars="200"/>
        <w:rPr>
          <w:rFonts w:ascii="仿宋" w:hAnsi="仿宋" w:eastAsia="仿宋"/>
          <w:color w:val="000000"/>
          <w:sz w:val="32"/>
          <w:szCs w:val="32"/>
        </w:rPr>
      </w:pPr>
    </w:p>
    <w:p>
      <w:pPr>
        <w:spacing w:line="600" w:lineRule="exact"/>
        <w:ind w:firstLine="3168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r>
        <w:pict>
          <v:shape id="_x0000_s1031" o:spid="_x0000_s1031" o:spt="75" type="#_x0000_t75" style="position:absolute;left:0pt;margin-left:5.25pt;margin-top:23.4pt;height:218.9pt;width:391.2pt;mso-wrap-distance-bottom:0pt;mso-wrap-distance-left:9pt;mso-wrap-distance-right:9pt;mso-wrap-distance-top:0pt;z-index:251658240;mso-width-relative:page;mso-height-relative:page;" o:ole="t" filled="f" o:preferrelative="t" stroked="f" coordsize="21600,21600">
            <v:path/>
            <v:fill on="f" focussize="0,0"/>
            <v:stroke on="f" joinstyle="miter"/>
            <v:imagedata r:id="rId16" o:title=""/>
            <o:lock v:ext="edit" aspectratio="t"/>
            <w10:wrap type="square"/>
          </v:shape>
          <o:OLEObject Type="Embed" ProgID="Excel.Chart.8" ShapeID="_x0000_s1031" DrawAspect="Content" ObjectID="_1468075730" r:id="rId15">
            <o:LockedField>false</o:LockedField>
          </o:OLEObject>
        </w:pict>
      </w:r>
    </w:p>
    <w:p>
      <w:pPr>
        <w:spacing w:line="600" w:lineRule="exact"/>
        <w:ind w:firstLine="31680" w:firstLineChars="200"/>
        <w:rPr>
          <w:rFonts w:ascii="仿宋" w:hAnsi="仿宋" w:eastAsia="仿宋"/>
          <w:color w:val="000000"/>
          <w:sz w:val="32"/>
          <w:szCs w:val="32"/>
        </w:rPr>
      </w:pPr>
    </w:p>
    <w:p>
      <w:pPr>
        <w:spacing w:line="600" w:lineRule="exact"/>
        <w:ind w:firstLine="31680" w:firstLineChars="200"/>
        <w:outlineLvl w:val="2"/>
        <w:rPr>
          <w:rFonts w:ascii="仿宋" w:hAnsi="仿宋" w:eastAsia="仿宋"/>
          <w:b/>
          <w:bCs/>
          <w:color w:val="000000"/>
          <w:sz w:val="32"/>
          <w:szCs w:val="32"/>
        </w:rPr>
      </w:pPr>
      <w:bookmarkStart w:id="36" w:name="_Toc15377212"/>
    </w:p>
    <w:p>
      <w:pPr>
        <w:spacing w:line="600" w:lineRule="exact"/>
        <w:outlineLvl w:val="2"/>
        <w:rPr>
          <w:rFonts w:ascii="仿宋" w:hAnsi="仿宋" w:eastAsia="仿宋"/>
          <w:b/>
          <w:bCs/>
          <w:color w:val="000000"/>
          <w:sz w:val="32"/>
          <w:szCs w:val="32"/>
        </w:rPr>
      </w:pPr>
      <w:r>
        <w:rPr>
          <w:rFonts w:hint="eastAsia" w:ascii="仿宋" w:hAnsi="仿宋" w:eastAsia="仿宋" w:cs="仿宋"/>
          <w:b/>
          <w:bCs/>
          <w:color w:val="000000"/>
          <w:sz w:val="32"/>
          <w:szCs w:val="32"/>
        </w:rPr>
        <w:t>（三）一般公共预算财政拨款支出决算具体情况</w:t>
      </w:r>
      <w:bookmarkEnd w:id="36"/>
    </w:p>
    <w:p>
      <w:pPr>
        <w:spacing w:line="600" w:lineRule="exact"/>
        <w:ind w:firstLine="31680" w:firstLineChars="200"/>
        <w:outlineLvl w:val="2"/>
        <w:rPr>
          <w:rFonts w:ascii="仿宋" w:hAnsi="仿宋" w:eastAsia="仿宋"/>
          <w:color w:val="FF0000"/>
          <w:sz w:val="32"/>
          <w:szCs w:val="32"/>
        </w:rPr>
      </w:pPr>
      <w:bookmarkStart w:id="37" w:name="_Toc15377444"/>
      <w:bookmarkStart w:id="38" w:name="_Toc15377213"/>
      <w:bookmarkStart w:id="39" w:name="_Toc15378460"/>
      <w:r>
        <w:rPr>
          <w:rFonts w:ascii="仿宋" w:hAnsi="仿宋" w:eastAsia="仿宋" w:cs="仿宋"/>
          <w:b/>
          <w:bCs/>
          <w:color w:val="000000"/>
          <w:sz w:val="32"/>
          <w:szCs w:val="32"/>
        </w:rPr>
        <w:t>2018</w:t>
      </w:r>
      <w:r>
        <w:rPr>
          <w:rFonts w:hint="eastAsia" w:ascii="仿宋" w:hAnsi="仿宋" w:eastAsia="仿宋" w:cs="仿宋"/>
          <w:b/>
          <w:bCs/>
          <w:color w:val="000000"/>
          <w:sz w:val="32"/>
          <w:szCs w:val="32"/>
        </w:rPr>
        <w:t>年一般公共预算支出决算数为</w:t>
      </w:r>
      <w:r>
        <w:rPr>
          <w:rFonts w:ascii="仿宋" w:hAnsi="仿宋" w:eastAsia="仿宋" w:cs="仿宋"/>
          <w:b/>
          <w:bCs/>
          <w:color w:val="000000"/>
          <w:sz w:val="32"/>
          <w:szCs w:val="32"/>
        </w:rPr>
        <w:t>23.8</w:t>
      </w:r>
      <w:r>
        <w:rPr>
          <w:rFonts w:hint="eastAsia" w:ascii="仿宋" w:hAnsi="仿宋" w:eastAsia="仿宋" w:cs="仿宋"/>
          <w:b/>
          <w:bCs/>
          <w:color w:val="000000"/>
          <w:sz w:val="32"/>
          <w:szCs w:val="32"/>
        </w:rPr>
        <w:t>万元</w:t>
      </w:r>
      <w:r>
        <w:rPr>
          <w:rFonts w:hint="eastAsia" w:ascii="仿宋" w:hAnsi="仿宋" w:eastAsia="仿宋" w:cs="仿宋"/>
          <w:color w:val="000000"/>
          <w:sz w:val="32"/>
          <w:szCs w:val="32"/>
        </w:rPr>
        <w:t>，</w:t>
      </w:r>
      <w:r>
        <w:rPr>
          <w:rStyle w:val="13"/>
          <w:rFonts w:hint="eastAsia" w:ascii="仿宋" w:hAnsi="仿宋" w:eastAsia="仿宋" w:cs="仿宋"/>
          <w:color w:val="000000"/>
          <w:sz w:val="32"/>
          <w:szCs w:val="32"/>
        </w:rPr>
        <w:t>完成预算</w:t>
      </w:r>
      <w:r>
        <w:rPr>
          <w:rStyle w:val="13"/>
          <w:rFonts w:ascii="仿宋" w:hAnsi="仿宋" w:eastAsia="仿宋" w:cs="仿宋"/>
          <w:color w:val="000000"/>
          <w:sz w:val="32"/>
          <w:szCs w:val="32"/>
        </w:rPr>
        <w:t>98.7%</w:t>
      </w:r>
      <w:r>
        <w:rPr>
          <w:rStyle w:val="13"/>
          <w:rFonts w:hint="eastAsia" w:ascii="仿宋" w:hAnsi="仿宋" w:eastAsia="仿宋" w:cs="仿宋"/>
          <w:color w:val="000000"/>
          <w:sz w:val="32"/>
          <w:szCs w:val="32"/>
        </w:rPr>
        <w:t>。其中：</w:t>
      </w:r>
      <w:bookmarkEnd w:id="37"/>
      <w:bookmarkEnd w:id="38"/>
      <w:bookmarkEnd w:id="39"/>
    </w:p>
    <w:p>
      <w:pPr>
        <w:spacing w:line="600" w:lineRule="exact"/>
        <w:ind w:firstLine="31680" w:firstLineChars="200"/>
        <w:rPr>
          <w:rFonts w:ascii="仿宋" w:hAnsi="仿宋" w:eastAsia="仿宋"/>
          <w:b/>
          <w:bCs/>
          <w:color w:val="000000"/>
          <w:sz w:val="32"/>
          <w:szCs w:val="32"/>
        </w:rPr>
      </w:pPr>
      <w:r>
        <w:rPr>
          <w:rStyle w:val="13"/>
          <w:rFonts w:ascii="仿宋" w:hAnsi="仿宋" w:eastAsia="仿宋" w:cs="仿宋"/>
          <w:color w:val="000000"/>
          <w:sz w:val="32"/>
          <w:szCs w:val="32"/>
        </w:rPr>
        <w:t>1.</w:t>
      </w:r>
      <w:r>
        <w:rPr>
          <w:rStyle w:val="13"/>
          <w:rFonts w:hint="eastAsia" w:ascii="仿宋" w:hAnsi="仿宋" w:eastAsia="仿宋" w:cs="仿宋"/>
          <w:color w:val="000000"/>
          <w:sz w:val="32"/>
          <w:szCs w:val="32"/>
        </w:rPr>
        <w:t>一般公共服务（类）</w:t>
      </w:r>
      <w:r>
        <w:rPr>
          <w:rStyle w:val="13"/>
          <w:rFonts w:hint="eastAsia" w:eastAsia="仿宋_GB2312" w:cs="仿宋_GB2312"/>
          <w:color w:val="000000"/>
          <w:sz w:val="32"/>
          <w:szCs w:val="32"/>
        </w:rPr>
        <w:t>党委办公厅（室）及相关机构事务（款）行政运行（项）</w:t>
      </w:r>
      <w:r>
        <w:rPr>
          <w:rStyle w:val="13"/>
          <w:rFonts w:eastAsia="仿宋_GB2312"/>
          <w:color w:val="000000"/>
          <w:sz w:val="32"/>
          <w:szCs w:val="32"/>
        </w:rPr>
        <w:t>:</w:t>
      </w:r>
      <w:r>
        <w:rPr>
          <w:rStyle w:val="13"/>
          <w:rFonts w:eastAsia="仿宋_GB2312"/>
          <w:b w:val="0"/>
          <w:bCs w:val="0"/>
          <w:color w:val="000000"/>
          <w:sz w:val="32"/>
          <w:szCs w:val="32"/>
        </w:rPr>
        <w:t xml:space="preserve"> </w:t>
      </w:r>
      <w:r>
        <w:rPr>
          <w:rStyle w:val="13"/>
          <w:rFonts w:ascii="仿宋" w:hAnsi="仿宋" w:eastAsia="仿宋" w:cs="仿宋"/>
          <w:b w:val="0"/>
          <w:bCs w:val="0"/>
          <w:color w:val="000000"/>
          <w:sz w:val="32"/>
          <w:szCs w:val="32"/>
        </w:rPr>
        <w:t xml:space="preserve"> </w:t>
      </w:r>
      <w:r>
        <w:rPr>
          <w:rStyle w:val="13"/>
          <w:rFonts w:hint="eastAsia" w:ascii="仿宋" w:hAnsi="仿宋" w:eastAsia="仿宋" w:cs="仿宋"/>
          <w:b w:val="0"/>
          <w:bCs w:val="0"/>
          <w:color w:val="000000"/>
          <w:sz w:val="32"/>
          <w:szCs w:val="32"/>
        </w:rPr>
        <w:t>支出决算为</w:t>
      </w:r>
      <w:r>
        <w:rPr>
          <w:rStyle w:val="13"/>
          <w:rFonts w:ascii="仿宋" w:hAnsi="仿宋" w:eastAsia="仿宋" w:cs="仿宋"/>
          <w:b w:val="0"/>
          <w:bCs w:val="0"/>
          <w:color w:val="000000"/>
          <w:sz w:val="32"/>
          <w:szCs w:val="32"/>
        </w:rPr>
        <w:t>19.18</w:t>
      </w:r>
      <w:r>
        <w:rPr>
          <w:rStyle w:val="13"/>
          <w:rFonts w:hint="eastAsia" w:ascii="仿宋" w:hAnsi="仿宋" w:eastAsia="仿宋" w:cs="仿宋"/>
          <w:b w:val="0"/>
          <w:bCs w:val="0"/>
          <w:color w:val="000000"/>
          <w:sz w:val="32"/>
          <w:szCs w:val="32"/>
        </w:rPr>
        <w:t>万元，完成预算</w:t>
      </w:r>
      <w:r>
        <w:rPr>
          <w:rStyle w:val="13"/>
          <w:rFonts w:ascii="仿宋" w:hAnsi="仿宋" w:eastAsia="仿宋" w:cs="仿宋"/>
          <w:b w:val="0"/>
          <w:bCs w:val="0"/>
          <w:color w:val="000000"/>
          <w:sz w:val="32"/>
          <w:szCs w:val="32"/>
        </w:rPr>
        <w:t>98%</w:t>
      </w:r>
      <w:r>
        <w:rPr>
          <w:rStyle w:val="13"/>
          <w:rFonts w:hint="eastAsia" w:ascii="仿宋" w:hAnsi="仿宋" w:eastAsia="仿宋" w:cs="仿宋"/>
          <w:b w:val="0"/>
          <w:bCs w:val="0"/>
          <w:color w:val="000000"/>
          <w:sz w:val="32"/>
          <w:szCs w:val="32"/>
        </w:rPr>
        <w:t>，决算数小于预算数的主要原因是人员变动。</w:t>
      </w:r>
    </w:p>
    <w:p>
      <w:pPr>
        <w:spacing w:line="600" w:lineRule="exact"/>
        <w:ind w:firstLine="31680" w:firstLineChars="200"/>
        <w:rPr>
          <w:rStyle w:val="13"/>
          <w:rFonts w:ascii="仿宋" w:hAnsi="仿宋" w:eastAsia="仿宋"/>
          <w:b w:val="0"/>
          <w:bCs w:val="0"/>
          <w:color w:val="000000"/>
          <w:sz w:val="32"/>
          <w:szCs w:val="32"/>
        </w:rPr>
      </w:pPr>
      <w:r>
        <w:rPr>
          <w:rStyle w:val="13"/>
          <w:rFonts w:eastAsia="仿宋_GB2312"/>
          <w:color w:val="000000"/>
          <w:sz w:val="32"/>
          <w:szCs w:val="32"/>
        </w:rPr>
        <w:t>2.</w:t>
      </w:r>
      <w:r>
        <w:rPr>
          <w:rStyle w:val="13"/>
          <w:rFonts w:hint="eastAsia" w:eastAsia="仿宋_GB2312" w:cs="仿宋_GB2312"/>
          <w:color w:val="000000"/>
          <w:sz w:val="32"/>
          <w:szCs w:val="32"/>
        </w:rPr>
        <w:t>一般公共服务（类）党委办公厅（室）及相关机构事务（款）一般行政管理事务（项）</w:t>
      </w:r>
      <w:r>
        <w:rPr>
          <w:rStyle w:val="13"/>
          <w:rFonts w:eastAsia="仿宋_GB2312"/>
          <w:color w:val="000000"/>
          <w:sz w:val="32"/>
          <w:szCs w:val="32"/>
        </w:rPr>
        <w:t>:</w:t>
      </w:r>
      <w:r>
        <w:rPr>
          <w:rStyle w:val="13"/>
          <w:rFonts w:eastAsia="仿宋_GB2312"/>
          <w:b w:val="0"/>
          <w:bCs w:val="0"/>
          <w:color w:val="000000"/>
          <w:sz w:val="32"/>
          <w:szCs w:val="32"/>
        </w:rPr>
        <w:t xml:space="preserve"> </w:t>
      </w:r>
      <w:r>
        <w:rPr>
          <w:rStyle w:val="13"/>
          <w:rFonts w:hint="eastAsia" w:ascii="仿宋" w:hAnsi="仿宋" w:eastAsia="仿宋" w:cs="仿宋"/>
          <w:b w:val="0"/>
          <w:bCs w:val="0"/>
          <w:color w:val="000000"/>
          <w:sz w:val="32"/>
          <w:szCs w:val="32"/>
        </w:rPr>
        <w:t>支出决算为</w:t>
      </w:r>
      <w:r>
        <w:rPr>
          <w:rStyle w:val="13"/>
          <w:rFonts w:ascii="仿宋" w:hAnsi="仿宋" w:eastAsia="仿宋" w:cs="仿宋"/>
          <w:b w:val="0"/>
          <w:bCs w:val="0"/>
          <w:color w:val="000000"/>
          <w:sz w:val="32"/>
          <w:szCs w:val="32"/>
        </w:rPr>
        <w:t>140</w:t>
      </w:r>
      <w:r>
        <w:rPr>
          <w:rStyle w:val="13"/>
          <w:rFonts w:hint="eastAsia" w:ascii="仿宋" w:hAnsi="仿宋" w:eastAsia="仿宋" w:cs="仿宋"/>
          <w:b w:val="0"/>
          <w:bCs w:val="0"/>
          <w:color w:val="000000"/>
          <w:sz w:val="32"/>
          <w:szCs w:val="32"/>
        </w:rPr>
        <w:t>万元，完成预算</w:t>
      </w:r>
      <w:r>
        <w:rPr>
          <w:rStyle w:val="13"/>
          <w:rFonts w:ascii="仿宋" w:hAnsi="仿宋" w:eastAsia="仿宋" w:cs="仿宋"/>
          <w:b w:val="0"/>
          <w:bCs w:val="0"/>
          <w:color w:val="000000"/>
          <w:sz w:val="32"/>
          <w:szCs w:val="32"/>
        </w:rPr>
        <w:t>100%</w:t>
      </w:r>
      <w:r>
        <w:rPr>
          <w:rStyle w:val="13"/>
          <w:rFonts w:hint="eastAsia" w:ascii="仿宋" w:hAnsi="仿宋" w:eastAsia="仿宋" w:cs="仿宋"/>
          <w:b w:val="0"/>
          <w:bCs w:val="0"/>
          <w:color w:val="000000"/>
          <w:sz w:val="32"/>
          <w:szCs w:val="32"/>
        </w:rPr>
        <w:t>。</w:t>
      </w:r>
    </w:p>
    <w:p>
      <w:pPr>
        <w:spacing w:line="600" w:lineRule="exact"/>
        <w:rPr>
          <w:rFonts w:ascii="仿宋" w:hAnsi="仿宋" w:eastAsia="仿宋"/>
          <w:b/>
          <w:bCs/>
          <w:color w:val="000000"/>
          <w:sz w:val="32"/>
          <w:szCs w:val="32"/>
        </w:rPr>
      </w:pPr>
      <w:r>
        <w:rPr>
          <w:rStyle w:val="13"/>
          <w:rFonts w:ascii="仿宋" w:hAnsi="仿宋" w:eastAsia="仿宋" w:cs="仿宋"/>
          <w:color w:val="000000"/>
          <w:sz w:val="32"/>
          <w:szCs w:val="32"/>
        </w:rPr>
        <w:t xml:space="preserve">    3.</w:t>
      </w:r>
      <w:r>
        <w:rPr>
          <w:rStyle w:val="13"/>
          <w:rFonts w:hint="eastAsia" w:ascii="仿宋" w:hAnsi="仿宋" w:eastAsia="仿宋" w:cs="仿宋"/>
          <w:color w:val="000000"/>
          <w:sz w:val="32"/>
          <w:szCs w:val="32"/>
        </w:rPr>
        <w:t>社会保障和就业（类）</w:t>
      </w:r>
      <w:r>
        <w:rPr>
          <w:rStyle w:val="13"/>
          <w:rFonts w:hint="eastAsia" w:eastAsia="仿宋_GB2312" w:cs="仿宋_GB2312"/>
          <w:color w:val="000000"/>
          <w:sz w:val="32"/>
          <w:szCs w:val="32"/>
        </w:rPr>
        <w:t>行政事业单位离退休（款）机关事业单位基本养老保险缴费支出（项）</w:t>
      </w:r>
      <w:r>
        <w:rPr>
          <w:rStyle w:val="13"/>
          <w:rFonts w:eastAsia="仿宋_GB2312"/>
          <w:color w:val="000000"/>
          <w:sz w:val="32"/>
          <w:szCs w:val="32"/>
        </w:rPr>
        <w:t>:</w:t>
      </w:r>
      <w:r>
        <w:rPr>
          <w:rStyle w:val="13"/>
          <w:rFonts w:ascii="仿宋" w:hAnsi="仿宋" w:eastAsia="仿宋" w:cs="仿宋"/>
          <w:b w:val="0"/>
          <w:bCs w:val="0"/>
          <w:color w:val="000000"/>
          <w:sz w:val="32"/>
          <w:szCs w:val="32"/>
        </w:rPr>
        <w:t xml:space="preserve"> </w:t>
      </w:r>
      <w:r>
        <w:rPr>
          <w:rStyle w:val="13"/>
          <w:rFonts w:hint="eastAsia" w:ascii="仿宋" w:hAnsi="仿宋" w:eastAsia="仿宋" w:cs="仿宋"/>
          <w:b w:val="0"/>
          <w:bCs w:val="0"/>
          <w:color w:val="000000"/>
          <w:sz w:val="32"/>
          <w:szCs w:val="32"/>
        </w:rPr>
        <w:t>支出决算为</w:t>
      </w:r>
      <w:r>
        <w:rPr>
          <w:rStyle w:val="13"/>
          <w:rFonts w:ascii="仿宋" w:hAnsi="仿宋" w:eastAsia="仿宋" w:cs="仿宋"/>
          <w:b w:val="0"/>
          <w:bCs w:val="0"/>
          <w:color w:val="000000"/>
          <w:sz w:val="32"/>
          <w:szCs w:val="32"/>
        </w:rPr>
        <w:t>2.35</w:t>
      </w:r>
      <w:r>
        <w:rPr>
          <w:rStyle w:val="13"/>
          <w:rFonts w:hint="eastAsia" w:ascii="仿宋" w:hAnsi="仿宋" w:eastAsia="仿宋" w:cs="仿宋"/>
          <w:b w:val="0"/>
          <w:bCs w:val="0"/>
          <w:color w:val="000000"/>
          <w:sz w:val="32"/>
          <w:szCs w:val="32"/>
        </w:rPr>
        <w:t>万元，完成预算</w:t>
      </w:r>
      <w:r>
        <w:rPr>
          <w:rStyle w:val="13"/>
          <w:rFonts w:ascii="仿宋" w:hAnsi="仿宋" w:eastAsia="仿宋" w:cs="仿宋"/>
          <w:b w:val="0"/>
          <w:bCs w:val="0"/>
          <w:color w:val="000000"/>
          <w:sz w:val="32"/>
          <w:szCs w:val="32"/>
        </w:rPr>
        <w:t>100%</w:t>
      </w:r>
      <w:r>
        <w:rPr>
          <w:rStyle w:val="13"/>
          <w:rFonts w:hint="eastAsia" w:ascii="仿宋" w:hAnsi="仿宋" w:eastAsia="仿宋" w:cs="仿宋"/>
          <w:b w:val="0"/>
          <w:bCs w:val="0"/>
          <w:color w:val="000000"/>
          <w:sz w:val="32"/>
          <w:szCs w:val="32"/>
        </w:rPr>
        <w:t>。</w:t>
      </w:r>
    </w:p>
    <w:p>
      <w:pPr>
        <w:spacing w:line="600" w:lineRule="exact"/>
        <w:ind w:firstLine="31680" w:firstLineChars="200"/>
        <w:rPr>
          <w:rStyle w:val="13"/>
          <w:rFonts w:ascii="仿宋" w:hAnsi="仿宋" w:eastAsia="仿宋"/>
          <w:b w:val="0"/>
          <w:bCs w:val="0"/>
          <w:color w:val="000000"/>
          <w:sz w:val="32"/>
          <w:szCs w:val="32"/>
        </w:rPr>
      </w:pPr>
      <w:r>
        <w:rPr>
          <w:rStyle w:val="13"/>
          <w:rFonts w:ascii="仿宋" w:hAnsi="仿宋" w:eastAsia="仿宋" w:cs="仿宋"/>
          <w:color w:val="000000"/>
          <w:sz w:val="32"/>
          <w:szCs w:val="32"/>
        </w:rPr>
        <w:t>4.</w:t>
      </w:r>
      <w:r>
        <w:rPr>
          <w:rStyle w:val="13"/>
          <w:rFonts w:hint="eastAsia" w:ascii="仿宋" w:hAnsi="仿宋" w:eastAsia="仿宋" w:cs="仿宋"/>
          <w:color w:val="000000"/>
          <w:sz w:val="32"/>
          <w:szCs w:val="32"/>
        </w:rPr>
        <w:t>医疗卫生与计划生育（类）</w:t>
      </w:r>
      <w:r>
        <w:rPr>
          <w:rStyle w:val="13"/>
          <w:rFonts w:hint="eastAsia" w:eastAsia="仿宋_GB2312" w:cs="仿宋_GB2312"/>
          <w:color w:val="000000"/>
          <w:sz w:val="32"/>
          <w:szCs w:val="32"/>
        </w:rPr>
        <w:t>医疗保障（款）行政单位医疗（项）</w:t>
      </w:r>
      <w:r>
        <w:rPr>
          <w:rStyle w:val="13"/>
          <w:rFonts w:eastAsia="仿宋_GB2312"/>
          <w:color w:val="000000"/>
          <w:sz w:val="32"/>
          <w:szCs w:val="32"/>
        </w:rPr>
        <w:t>:</w:t>
      </w:r>
      <w:r>
        <w:rPr>
          <w:rStyle w:val="13"/>
          <w:rFonts w:hint="eastAsia" w:ascii="仿宋" w:hAnsi="仿宋" w:eastAsia="仿宋" w:cs="仿宋"/>
          <w:b w:val="0"/>
          <w:bCs w:val="0"/>
          <w:color w:val="000000"/>
          <w:sz w:val="32"/>
          <w:szCs w:val="32"/>
        </w:rPr>
        <w:t>支出决算为</w:t>
      </w:r>
      <w:r>
        <w:rPr>
          <w:rStyle w:val="13"/>
          <w:rFonts w:ascii="仿宋" w:hAnsi="仿宋" w:eastAsia="仿宋" w:cs="仿宋"/>
          <w:b w:val="0"/>
          <w:bCs w:val="0"/>
          <w:color w:val="000000"/>
          <w:sz w:val="32"/>
          <w:szCs w:val="32"/>
        </w:rPr>
        <w:t>0.7</w:t>
      </w:r>
      <w:r>
        <w:rPr>
          <w:rStyle w:val="13"/>
          <w:rFonts w:hint="eastAsia" w:ascii="仿宋" w:hAnsi="仿宋" w:eastAsia="仿宋" w:cs="仿宋"/>
          <w:b w:val="0"/>
          <w:bCs w:val="0"/>
          <w:color w:val="000000"/>
          <w:sz w:val="32"/>
          <w:szCs w:val="32"/>
        </w:rPr>
        <w:t>万元，完成预算</w:t>
      </w:r>
      <w:r>
        <w:rPr>
          <w:rStyle w:val="13"/>
          <w:rFonts w:ascii="仿宋" w:hAnsi="仿宋" w:eastAsia="仿宋" w:cs="仿宋"/>
          <w:b w:val="0"/>
          <w:bCs w:val="0"/>
          <w:color w:val="000000"/>
          <w:sz w:val="32"/>
          <w:szCs w:val="32"/>
        </w:rPr>
        <w:t>100%</w:t>
      </w:r>
      <w:r>
        <w:rPr>
          <w:rStyle w:val="13"/>
          <w:rFonts w:hint="eastAsia" w:ascii="仿宋" w:hAnsi="仿宋" w:eastAsia="仿宋" w:cs="仿宋"/>
          <w:b w:val="0"/>
          <w:bCs w:val="0"/>
          <w:color w:val="000000"/>
          <w:sz w:val="32"/>
          <w:szCs w:val="32"/>
        </w:rPr>
        <w:t>。</w:t>
      </w:r>
    </w:p>
    <w:p>
      <w:pPr>
        <w:spacing w:line="600" w:lineRule="exact"/>
        <w:ind w:firstLine="31680" w:firstLineChars="200"/>
        <w:rPr>
          <w:rStyle w:val="13"/>
          <w:rFonts w:ascii="仿宋" w:hAnsi="仿宋" w:eastAsia="仿宋"/>
          <w:b w:val="0"/>
          <w:bCs w:val="0"/>
          <w:color w:val="000000"/>
          <w:sz w:val="32"/>
          <w:szCs w:val="32"/>
        </w:rPr>
      </w:pPr>
      <w:r>
        <w:rPr>
          <w:rStyle w:val="13"/>
          <w:rFonts w:eastAsia="仿宋_GB2312"/>
          <w:color w:val="000000"/>
          <w:sz w:val="32"/>
          <w:szCs w:val="32"/>
        </w:rPr>
        <w:t>5.</w:t>
      </w:r>
      <w:r>
        <w:rPr>
          <w:rStyle w:val="13"/>
          <w:rFonts w:hint="eastAsia" w:eastAsia="仿宋_GB2312" w:cs="仿宋_GB2312"/>
          <w:color w:val="000000"/>
          <w:sz w:val="32"/>
          <w:szCs w:val="32"/>
        </w:rPr>
        <w:t>住房保障支出（类）住房改革支出（款）住房公积金（项）</w:t>
      </w:r>
      <w:r>
        <w:rPr>
          <w:rStyle w:val="13"/>
          <w:rFonts w:eastAsia="仿宋_GB2312"/>
          <w:color w:val="000000"/>
          <w:sz w:val="32"/>
          <w:szCs w:val="32"/>
        </w:rPr>
        <w:t>:</w:t>
      </w:r>
      <w:r>
        <w:rPr>
          <w:rStyle w:val="13"/>
          <w:rFonts w:eastAsia="仿宋_GB2312"/>
          <w:b w:val="0"/>
          <w:bCs w:val="0"/>
          <w:color w:val="000000"/>
          <w:sz w:val="32"/>
          <w:szCs w:val="32"/>
        </w:rPr>
        <w:t xml:space="preserve"> </w:t>
      </w:r>
      <w:r>
        <w:rPr>
          <w:rStyle w:val="13"/>
          <w:rFonts w:hint="eastAsia" w:ascii="仿宋" w:hAnsi="仿宋" w:eastAsia="仿宋" w:cs="仿宋"/>
          <w:b w:val="0"/>
          <w:bCs w:val="0"/>
          <w:color w:val="000000"/>
          <w:sz w:val="32"/>
          <w:szCs w:val="32"/>
        </w:rPr>
        <w:t>支出决算为</w:t>
      </w:r>
      <w:r>
        <w:rPr>
          <w:rStyle w:val="13"/>
          <w:rFonts w:ascii="仿宋" w:hAnsi="仿宋" w:eastAsia="仿宋" w:cs="仿宋"/>
          <w:b w:val="0"/>
          <w:bCs w:val="0"/>
          <w:color w:val="000000"/>
          <w:sz w:val="32"/>
          <w:szCs w:val="32"/>
        </w:rPr>
        <w:t>1.61</w:t>
      </w:r>
      <w:r>
        <w:rPr>
          <w:rStyle w:val="13"/>
          <w:rFonts w:hint="eastAsia" w:ascii="仿宋" w:hAnsi="仿宋" w:eastAsia="仿宋" w:cs="仿宋"/>
          <w:b w:val="0"/>
          <w:bCs w:val="0"/>
          <w:color w:val="000000"/>
          <w:sz w:val="32"/>
          <w:szCs w:val="32"/>
        </w:rPr>
        <w:t>万元，完成预算</w:t>
      </w:r>
      <w:r>
        <w:rPr>
          <w:rStyle w:val="13"/>
          <w:rFonts w:ascii="仿宋" w:hAnsi="仿宋" w:eastAsia="仿宋" w:cs="仿宋"/>
          <w:b w:val="0"/>
          <w:bCs w:val="0"/>
          <w:color w:val="000000"/>
          <w:sz w:val="32"/>
          <w:szCs w:val="32"/>
        </w:rPr>
        <w:t>100%</w:t>
      </w:r>
      <w:r>
        <w:rPr>
          <w:rStyle w:val="13"/>
          <w:rFonts w:hint="eastAsia" w:ascii="仿宋" w:hAnsi="仿宋" w:eastAsia="仿宋" w:cs="仿宋"/>
          <w:b w:val="0"/>
          <w:bCs w:val="0"/>
          <w:color w:val="000000"/>
          <w:sz w:val="32"/>
          <w:szCs w:val="32"/>
        </w:rPr>
        <w:t>。</w:t>
      </w:r>
    </w:p>
    <w:p>
      <w:pPr>
        <w:spacing w:line="600" w:lineRule="exact"/>
        <w:ind w:firstLine="31680" w:firstLineChars="200"/>
        <w:rPr>
          <w:rStyle w:val="13"/>
          <w:rFonts w:ascii="仿宋" w:hAnsi="仿宋" w:eastAsia="仿宋"/>
          <w:b w:val="0"/>
          <w:bCs w:val="0"/>
          <w:color w:val="000000"/>
          <w:sz w:val="32"/>
          <w:szCs w:val="32"/>
        </w:rPr>
      </w:pPr>
    </w:p>
    <w:p>
      <w:pPr>
        <w:tabs>
          <w:tab w:val="right" w:pos="8306"/>
        </w:tabs>
        <w:spacing w:line="600" w:lineRule="exact"/>
        <w:outlineLvl w:val="1"/>
        <w:rPr>
          <w:rStyle w:val="17"/>
        </w:rPr>
      </w:pPr>
      <w:bookmarkStart w:id="40" w:name="_Toc15396608"/>
      <w:bookmarkStart w:id="41" w:name="_Toc15377214"/>
      <w:r>
        <w:rPr>
          <w:rFonts w:hint="eastAsia" w:ascii="黑体" w:eastAsia="黑体" w:cs="黑体"/>
          <w:color w:val="000000"/>
          <w:sz w:val="32"/>
          <w:szCs w:val="32"/>
        </w:rPr>
        <w:t>六</w:t>
      </w:r>
      <w:r>
        <w:rPr>
          <w:rFonts w:hint="eastAsia" w:ascii="黑体" w:eastAsia="黑体" w:cs="黑体"/>
          <w:b/>
          <w:bCs/>
          <w:color w:val="000000"/>
          <w:sz w:val="32"/>
          <w:szCs w:val="32"/>
        </w:rPr>
        <w:t>、</w:t>
      </w:r>
      <w:r>
        <w:rPr>
          <w:rFonts w:hint="eastAsia" w:ascii="黑体" w:hAnsi="黑体" w:eastAsia="黑体" w:cs="黑体"/>
          <w:b/>
          <w:bCs/>
          <w:color w:val="000000"/>
          <w:sz w:val="32"/>
          <w:szCs w:val="32"/>
        </w:rPr>
        <w:t>一</w:t>
      </w:r>
      <w:r>
        <w:rPr>
          <w:rStyle w:val="17"/>
          <w:rFonts w:hint="eastAsia" w:ascii="黑体" w:hAnsi="黑体" w:eastAsia="黑体" w:cs="黑体"/>
          <w:b w:val="0"/>
          <w:bCs w:val="0"/>
        </w:rPr>
        <w:t>般公共预算财政拨款基本支出决算情况说明</w:t>
      </w:r>
      <w:bookmarkEnd w:id="40"/>
      <w:bookmarkEnd w:id="41"/>
      <w:r>
        <w:rPr>
          <w:rStyle w:val="17"/>
          <w:rFonts w:ascii="黑体" w:hAnsi="黑体" w:eastAsia="黑体" w:cs="Times New Roman"/>
          <w:b w:val="0"/>
          <w:bCs w:val="0"/>
        </w:rPr>
        <w:tab/>
      </w:r>
    </w:p>
    <w:p>
      <w:pPr>
        <w:spacing w:line="600" w:lineRule="exact"/>
        <w:ind w:firstLine="645"/>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年一般公共预算财政拨款基本支出</w:t>
      </w:r>
      <w:r>
        <w:rPr>
          <w:rFonts w:ascii="仿宋" w:hAnsi="仿宋" w:eastAsia="仿宋" w:cs="仿宋"/>
          <w:color w:val="000000"/>
          <w:sz w:val="32"/>
          <w:szCs w:val="32"/>
        </w:rPr>
        <w:t>23.85</w:t>
      </w:r>
      <w:r>
        <w:rPr>
          <w:rFonts w:hint="eastAsia" w:ascii="仿宋" w:hAnsi="仿宋" w:eastAsia="仿宋" w:cs="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s="仿宋"/>
          <w:color w:val="000000"/>
          <w:sz w:val="32"/>
          <w:szCs w:val="32"/>
        </w:rPr>
        <w:t>人员经费</w:t>
      </w:r>
      <w:r>
        <w:rPr>
          <w:rFonts w:ascii="仿宋" w:hAnsi="仿宋" w:eastAsia="仿宋" w:cs="仿宋"/>
          <w:color w:val="000000"/>
          <w:sz w:val="32"/>
          <w:szCs w:val="32"/>
        </w:rPr>
        <w:t>18.81</w:t>
      </w:r>
      <w:r>
        <w:rPr>
          <w:rFonts w:hint="eastAsia" w:ascii="仿宋" w:hAnsi="仿宋" w:eastAsia="仿宋" w:cs="仿宋"/>
          <w:color w:val="000000"/>
          <w:sz w:val="32"/>
          <w:szCs w:val="32"/>
        </w:rPr>
        <w:t>万元，主要包括：基本工资、津贴补贴、奖金、伙食补助费、绩效工资、机关事业单位基本养老保险缴费、职业年金缴费、其他社会保障缴费、其他工资福利支出、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s="仿宋"/>
          <w:color w:val="000000"/>
          <w:sz w:val="32"/>
          <w:szCs w:val="32"/>
        </w:rPr>
        <w:t>　　公用经费</w:t>
      </w:r>
      <w:r>
        <w:rPr>
          <w:rFonts w:ascii="仿宋" w:hAnsi="仿宋" w:eastAsia="仿宋" w:cs="仿宋"/>
          <w:color w:val="000000"/>
          <w:sz w:val="32"/>
          <w:szCs w:val="32"/>
        </w:rPr>
        <w:t>5.04</w:t>
      </w:r>
      <w:r>
        <w:rPr>
          <w:rFonts w:hint="eastAsia" w:ascii="仿宋" w:hAnsi="仿宋" w:eastAsia="仿宋" w:cs="仿宋"/>
          <w:color w:val="000000"/>
          <w:sz w:val="32"/>
          <w:szCs w:val="32"/>
        </w:rPr>
        <w:t>万元，主要包括：办公费、手续费、水费、电费、邮电费、差旅费、维修（护）费、公务接待费、工会经费、公务用车运行维护费、其他交通费、其他商品和服务支出、其他资本性支出等。</w:t>
      </w:r>
    </w:p>
    <w:p>
      <w:pPr>
        <w:spacing w:line="600" w:lineRule="exact"/>
        <w:ind w:firstLine="640"/>
        <w:rPr>
          <w:rFonts w:ascii="仿宋" w:hAnsi="仿宋" w:eastAsia="仿宋"/>
          <w:b/>
          <w:bCs/>
          <w:color w:val="FF0000"/>
          <w:sz w:val="32"/>
          <w:szCs w:val="32"/>
        </w:rPr>
      </w:pPr>
    </w:p>
    <w:p>
      <w:pPr>
        <w:spacing w:line="600" w:lineRule="exact"/>
        <w:outlineLvl w:val="1"/>
        <w:rPr>
          <w:rStyle w:val="17"/>
          <w:rFonts w:ascii="黑体" w:hAnsi="黑体" w:eastAsia="黑体" w:cs="Times New Roman"/>
          <w:b w:val="0"/>
          <w:bCs w:val="0"/>
        </w:rPr>
      </w:pPr>
      <w:bookmarkStart w:id="42" w:name="_Toc15396609"/>
      <w:bookmarkStart w:id="43" w:name="_Toc15377215"/>
      <w:r>
        <w:rPr>
          <w:rFonts w:hint="eastAsia" w:ascii="黑体" w:eastAsia="黑体" w:cs="黑体"/>
          <w:color w:val="000000"/>
          <w:sz w:val="32"/>
          <w:szCs w:val="32"/>
        </w:rPr>
        <w:t>七、</w:t>
      </w:r>
      <w:r>
        <w:rPr>
          <w:rStyle w:val="17"/>
          <w:rFonts w:hint="eastAsia" w:ascii="黑体" w:hAnsi="黑体" w:eastAsia="黑体" w:cs="黑体"/>
        </w:rPr>
        <w:t>“</w:t>
      </w:r>
      <w:r>
        <w:rPr>
          <w:rStyle w:val="17"/>
          <w:rFonts w:hint="eastAsia" w:ascii="黑体" w:hAnsi="黑体" w:eastAsia="黑体" w:cs="黑体"/>
          <w:b w:val="0"/>
          <w:bCs w:val="0"/>
        </w:rPr>
        <w:t>三公”经费财政拨款支出决算情况说明</w:t>
      </w:r>
      <w:bookmarkEnd w:id="42"/>
      <w:bookmarkEnd w:id="43"/>
    </w:p>
    <w:p>
      <w:pPr>
        <w:spacing w:line="600" w:lineRule="exact"/>
        <w:ind w:firstLine="640"/>
        <w:outlineLvl w:val="2"/>
        <w:rPr>
          <w:rFonts w:ascii="仿宋" w:hAnsi="仿宋" w:eastAsia="仿宋"/>
          <w:b/>
          <w:bCs/>
          <w:color w:val="000000"/>
          <w:sz w:val="32"/>
          <w:szCs w:val="32"/>
        </w:rPr>
      </w:pPr>
      <w:bookmarkStart w:id="44" w:name="_Toc15377216"/>
      <w:r>
        <w:rPr>
          <w:rFonts w:hint="eastAsia" w:ascii="仿宋" w:hAnsi="仿宋" w:eastAsia="仿宋" w:cs="仿宋"/>
          <w:b/>
          <w:bCs/>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年“三公”经费财政拨款支出决算为</w:t>
      </w:r>
      <w:r>
        <w:rPr>
          <w:rFonts w:ascii="仿宋" w:hAnsi="仿宋" w:eastAsia="仿宋" w:cs="仿宋"/>
          <w:color w:val="000000"/>
          <w:sz w:val="32"/>
          <w:szCs w:val="32"/>
        </w:rPr>
        <w:t>0.02</w:t>
      </w:r>
      <w:r>
        <w:rPr>
          <w:rFonts w:hint="eastAsia" w:ascii="仿宋" w:hAnsi="仿宋" w:eastAsia="仿宋" w:cs="仿宋"/>
          <w:color w:val="000000"/>
          <w:sz w:val="32"/>
          <w:szCs w:val="32"/>
        </w:rPr>
        <w:t>万元，完成预算</w:t>
      </w:r>
      <w:r>
        <w:rPr>
          <w:rFonts w:ascii="仿宋" w:hAnsi="仿宋" w:eastAsia="仿宋" w:cs="仿宋"/>
          <w:color w:val="000000"/>
          <w:sz w:val="32"/>
          <w:szCs w:val="32"/>
        </w:rPr>
        <w:t>1%</w:t>
      </w:r>
      <w:r>
        <w:rPr>
          <w:rFonts w:hint="eastAsia" w:ascii="仿宋" w:hAnsi="仿宋" w:eastAsia="仿宋" w:cs="仿宋"/>
          <w:color w:val="000000"/>
          <w:sz w:val="32"/>
          <w:szCs w:val="32"/>
        </w:rPr>
        <w:t>，决算数小于预算数的主要原因是人员减少。</w:t>
      </w:r>
    </w:p>
    <w:p>
      <w:pPr>
        <w:spacing w:line="600" w:lineRule="exact"/>
        <w:ind w:firstLine="640"/>
        <w:outlineLvl w:val="2"/>
        <w:rPr>
          <w:rFonts w:ascii="仿宋" w:hAnsi="仿宋" w:eastAsia="仿宋"/>
          <w:b/>
          <w:bCs/>
          <w:color w:val="000000"/>
          <w:sz w:val="32"/>
          <w:szCs w:val="32"/>
        </w:rPr>
      </w:pPr>
      <w:bookmarkStart w:id="45" w:name="_Toc15377217"/>
      <w:r>
        <w:rPr>
          <w:rFonts w:hint="eastAsia" w:ascii="仿宋" w:hAnsi="仿宋" w:eastAsia="仿宋" w:cs="仿宋"/>
          <w:b/>
          <w:bCs/>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pict>
          <v:shape id="_x0000_s1032" o:spid="_x0000_s1032" o:spt="75" type="#_x0000_t75" style="position:absolute;left:0pt;margin-left:26.25pt;margin-top:101.4pt;height:214.8pt;width:376.7pt;mso-wrap-distance-bottom:0pt;mso-wrap-distance-left:9pt;mso-wrap-distance-right:9pt;mso-wrap-distance-top:0pt;z-index:251658240;mso-width-relative:page;mso-height-relative:page;" o:ole="t" filled="f" o:preferrelative="t" stroked="f" coordsize="21600,21600">
            <v:path/>
            <v:fill on="f" focussize="0,0"/>
            <v:stroke on="f" joinstyle="miter"/>
            <v:imagedata r:id="rId18" o:title=""/>
            <o:lock v:ext="edit" aspectratio="t"/>
            <w10:wrap type="square"/>
          </v:shape>
          <o:OLEObject Type="Embed" ProgID="Excel.Chart.8" ShapeID="_x0000_s1032" DrawAspect="Content" ObjectID="_1468075731" r:id="rId17">
            <o:LockedField>false</o:LockedField>
          </o:OLEObject>
        </w:pict>
      </w:r>
      <w:r>
        <w:rPr>
          <w:rFonts w:ascii="仿宋" w:hAnsi="仿宋" w:eastAsia="仿宋" w:cs="仿宋"/>
          <w:color w:val="000000"/>
          <w:sz w:val="32"/>
          <w:szCs w:val="32"/>
        </w:rPr>
        <w:t>2018</w:t>
      </w:r>
      <w:r>
        <w:rPr>
          <w:rFonts w:hint="eastAsia" w:ascii="仿宋" w:hAnsi="仿宋" w:eastAsia="仿宋" w:cs="仿宋"/>
          <w:color w:val="000000"/>
          <w:sz w:val="32"/>
          <w:szCs w:val="32"/>
        </w:rPr>
        <w:t>年“三公”经费财政拨款支出决算中，</w:t>
      </w:r>
      <w:r>
        <w:rPr>
          <w:rFonts w:hint="eastAsia" w:eastAsia="仿宋_GB2312" w:cs="仿宋_GB2312"/>
          <w:color w:val="000000"/>
          <w:sz w:val="32"/>
          <w:szCs w:val="32"/>
        </w:rPr>
        <w:t>无</w:t>
      </w:r>
      <w:r>
        <w:rPr>
          <w:rFonts w:hint="eastAsia" w:eastAsia="仿宋_GB2312" w:cs="仿宋_GB2312"/>
          <w:color w:val="333333"/>
          <w:sz w:val="32"/>
          <w:szCs w:val="32"/>
        </w:rPr>
        <w:t>因公出国（境）费</w:t>
      </w:r>
      <w:r>
        <w:rPr>
          <w:rFonts w:hint="eastAsia" w:ascii="仿宋" w:hAnsi="仿宋" w:eastAsia="仿宋" w:cs="仿宋"/>
          <w:color w:val="000000"/>
          <w:sz w:val="32"/>
          <w:szCs w:val="32"/>
        </w:rPr>
        <w:t>；公务用车购置及运行维护费支出决算</w:t>
      </w:r>
      <w:r>
        <w:rPr>
          <w:rFonts w:ascii="仿宋" w:hAnsi="仿宋" w:eastAsia="仿宋" w:cs="仿宋"/>
          <w:color w:val="000000"/>
          <w:sz w:val="32"/>
          <w:szCs w:val="32"/>
        </w:rPr>
        <w:t>0.02</w:t>
      </w:r>
      <w:r>
        <w:rPr>
          <w:rFonts w:hint="eastAsia" w:ascii="仿宋" w:hAnsi="仿宋" w:eastAsia="仿宋" w:cs="仿宋"/>
          <w:color w:val="000000"/>
          <w:sz w:val="32"/>
          <w:szCs w:val="32"/>
        </w:rPr>
        <w:t>万元，占</w:t>
      </w:r>
      <w:r>
        <w:rPr>
          <w:rFonts w:ascii="仿宋" w:hAnsi="仿宋" w:eastAsia="仿宋" w:cs="仿宋"/>
          <w:color w:val="000000"/>
          <w:sz w:val="32"/>
          <w:szCs w:val="32"/>
        </w:rPr>
        <w:t>1%</w:t>
      </w:r>
      <w:r>
        <w:rPr>
          <w:rFonts w:hint="eastAsia" w:ascii="仿宋" w:hAnsi="仿宋" w:eastAsia="仿宋" w:cs="仿宋"/>
          <w:color w:val="000000"/>
          <w:sz w:val="32"/>
          <w:szCs w:val="32"/>
        </w:rPr>
        <w:t>。具体情况如下：</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rPr>
          <w:rFonts w:ascii="仿宋_GB2312" w:eastAsia="仿宋_GB2312"/>
          <w:b/>
          <w:bCs/>
          <w:color w:val="000000"/>
          <w:sz w:val="32"/>
          <w:szCs w:val="32"/>
        </w:rPr>
      </w:pPr>
      <w:r>
        <w:rPr>
          <w:rFonts w:ascii="仿宋_GB2312" w:eastAsia="仿宋_GB2312" w:cs="仿宋_GB2312"/>
          <w:b/>
          <w:bCs/>
          <w:color w:val="000000"/>
          <w:sz w:val="32"/>
          <w:szCs w:val="32"/>
        </w:rPr>
        <w:t xml:space="preserve">   1 .</w:t>
      </w:r>
      <w:r>
        <w:rPr>
          <w:rFonts w:hint="eastAsia" w:ascii="仿宋_GB2312" w:eastAsia="仿宋_GB2312" w:cs="仿宋_GB2312"/>
          <w:b/>
          <w:bCs/>
          <w:color w:val="000000"/>
          <w:sz w:val="32"/>
          <w:szCs w:val="32"/>
        </w:rPr>
        <w:t>因公出国（境）经费支出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r>
        <w:rPr>
          <w:rStyle w:val="13"/>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全年无因公出国（境）。</w:t>
      </w:r>
    </w:p>
    <w:p>
      <w:pPr>
        <w:spacing w:line="600" w:lineRule="exact"/>
        <w:ind w:firstLine="640"/>
        <w:rPr>
          <w:rFonts w:ascii="仿宋_GB2312" w:eastAsia="仿宋_GB2312"/>
          <w:b/>
          <w:bCs/>
          <w:color w:val="000000"/>
          <w:sz w:val="32"/>
          <w:szCs w:val="32"/>
        </w:rPr>
      </w:pPr>
      <w:r>
        <w:rPr>
          <w:rFonts w:ascii="仿宋_GB2312" w:eastAsia="仿宋_GB2312" w:cs="仿宋_GB2312"/>
          <w:b/>
          <w:bCs/>
          <w:color w:val="000000"/>
          <w:sz w:val="32"/>
          <w:szCs w:val="32"/>
        </w:rPr>
        <w:t>2.</w:t>
      </w:r>
      <w:r>
        <w:rPr>
          <w:rFonts w:hint="eastAsia" w:ascii="仿宋_GB2312" w:eastAsia="仿宋_GB2312" w:cs="仿宋_GB2312"/>
          <w:b/>
          <w:bCs/>
          <w:color w:val="000000"/>
          <w:sz w:val="32"/>
          <w:szCs w:val="32"/>
        </w:rPr>
        <w:t>公务用车购置及运行维护费支出</w:t>
      </w:r>
      <w:r>
        <w:rPr>
          <w:rFonts w:ascii="仿宋_GB2312" w:eastAsia="仿宋_GB2312" w:cs="仿宋_GB2312"/>
          <w:color w:val="000000"/>
          <w:sz w:val="32"/>
          <w:szCs w:val="32"/>
        </w:rPr>
        <w:t>0.02</w:t>
      </w:r>
      <w:r>
        <w:rPr>
          <w:rFonts w:hint="eastAsia" w:ascii="仿宋_GB2312" w:eastAsia="仿宋_GB2312" w:cs="仿宋_GB2312"/>
          <w:color w:val="000000"/>
          <w:sz w:val="32"/>
          <w:szCs w:val="32"/>
        </w:rPr>
        <w:t>万元</w:t>
      </w:r>
      <w:r>
        <w:rPr>
          <w:rFonts w:ascii="仿宋_GB2312" w:eastAsia="仿宋_GB2312" w:cs="仿宋_GB2312"/>
          <w:color w:val="000000"/>
          <w:sz w:val="32"/>
          <w:szCs w:val="32"/>
        </w:rPr>
        <w:t>,</w:t>
      </w:r>
      <w:r>
        <w:rPr>
          <w:rStyle w:val="13"/>
          <w:rFonts w:hint="eastAsia" w:ascii="仿宋" w:hAnsi="仿宋" w:eastAsia="仿宋" w:cs="仿宋"/>
          <w:b w:val="0"/>
          <w:bCs w:val="0"/>
          <w:color w:val="000000"/>
          <w:sz w:val="32"/>
          <w:szCs w:val="32"/>
        </w:rPr>
        <w:t>完成预算</w:t>
      </w:r>
      <w:r>
        <w:rPr>
          <w:rStyle w:val="13"/>
          <w:rFonts w:ascii="仿宋" w:hAnsi="仿宋" w:eastAsia="仿宋" w:cs="仿宋"/>
          <w:b w:val="0"/>
          <w:bCs w:val="0"/>
          <w:color w:val="000000"/>
          <w:sz w:val="32"/>
          <w:szCs w:val="32"/>
        </w:rPr>
        <w:t>1%</w:t>
      </w:r>
      <w:r>
        <w:rPr>
          <w:rStyle w:val="13"/>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公务用车购置及运行维护费支出决算比</w:t>
      </w:r>
      <w:r>
        <w:rPr>
          <w:rFonts w:ascii="仿宋_GB2312" w:eastAsia="仿宋_GB2312" w:cs="仿宋_GB2312"/>
          <w:color w:val="000000"/>
          <w:sz w:val="32"/>
          <w:szCs w:val="32"/>
        </w:rPr>
        <w:t>2017</w:t>
      </w:r>
      <w:r>
        <w:rPr>
          <w:rFonts w:hint="eastAsia" w:ascii="仿宋_GB2312" w:eastAsia="仿宋_GB2312" w:cs="仿宋_GB2312"/>
          <w:color w:val="000000"/>
          <w:sz w:val="32"/>
          <w:szCs w:val="32"/>
        </w:rPr>
        <w:t>年减少</w:t>
      </w:r>
      <w:r>
        <w:rPr>
          <w:rFonts w:ascii="仿宋_GB2312" w:eastAsia="仿宋_GB2312" w:cs="仿宋_GB2312"/>
          <w:color w:val="000000"/>
          <w:sz w:val="32"/>
          <w:szCs w:val="32"/>
        </w:rPr>
        <w:t>1.91</w:t>
      </w:r>
      <w:r>
        <w:rPr>
          <w:rFonts w:hint="eastAsia" w:ascii="仿宋_GB2312" w:eastAsia="仿宋_GB2312" w:cs="仿宋_GB2312"/>
          <w:color w:val="000000"/>
          <w:sz w:val="32"/>
          <w:szCs w:val="32"/>
        </w:rPr>
        <w:t>万元，下降</w:t>
      </w:r>
      <w:r>
        <w:rPr>
          <w:rFonts w:ascii="仿宋_GB2312" w:eastAsia="仿宋_GB2312" w:cs="仿宋_GB2312"/>
          <w:color w:val="000000"/>
          <w:sz w:val="32"/>
          <w:szCs w:val="32"/>
        </w:rPr>
        <w:t>99%</w:t>
      </w:r>
      <w:r>
        <w:rPr>
          <w:rFonts w:hint="eastAsia" w:ascii="仿宋_GB2312" w:eastAsia="仿宋_GB2312" w:cs="仿宋_GB2312"/>
          <w:color w:val="000000"/>
          <w:sz w:val="32"/>
          <w:szCs w:val="32"/>
        </w:rPr>
        <w:t>。主要原因是</w:t>
      </w:r>
      <w:r>
        <w:rPr>
          <w:rFonts w:hint="eastAsia" w:ascii="仿宋" w:hAnsi="仿宋" w:eastAsia="仿宋" w:cs="仿宋"/>
          <w:color w:val="000000"/>
          <w:sz w:val="32"/>
          <w:szCs w:val="32"/>
        </w:rPr>
        <w:t>人员减少</w:t>
      </w:r>
      <w:r>
        <w:rPr>
          <w:rFonts w:hint="eastAsia" w:ascii="仿宋_GB2312" w:eastAsia="仿宋_GB2312" w:cs="仿宋_GB2312"/>
          <w:color w:val="000000"/>
          <w:sz w:val="32"/>
          <w:szCs w:val="32"/>
        </w:rPr>
        <w:t>。</w:t>
      </w:r>
    </w:p>
    <w:p>
      <w:pPr>
        <w:spacing w:line="600" w:lineRule="exact"/>
        <w:ind w:firstLine="640"/>
        <w:rPr>
          <w:rFonts w:ascii="仿宋_GB2312" w:eastAsia="仿宋_GB2312"/>
          <w:color w:val="000000"/>
          <w:sz w:val="32"/>
          <w:szCs w:val="32"/>
        </w:rPr>
      </w:pPr>
      <w:r>
        <w:rPr>
          <w:rFonts w:hint="eastAsia" w:ascii="仿宋_GB2312" w:eastAsia="仿宋_GB2312" w:cs="仿宋_GB2312"/>
          <w:b/>
          <w:bCs/>
          <w:color w:val="000000"/>
          <w:sz w:val="32"/>
          <w:szCs w:val="32"/>
        </w:rPr>
        <w:t>公务用车运行维护费支出</w:t>
      </w:r>
      <w:r>
        <w:rPr>
          <w:rFonts w:ascii="仿宋_GB2312" w:eastAsia="仿宋_GB2312" w:cs="仿宋_GB2312"/>
          <w:color w:val="000000"/>
          <w:sz w:val="32"/>
          <w:szCs w:val="32"/>
        </w:rPr>
        <w:t>0.02</w:t>
      </w:r>
      <w:r>
        <w:rPr>
          <w:rFonts w:hint="eastAsia" w:ascii="仿宋_GB2312" w:eastAsia="仿宋_GB2312" w:cs="仿宋_GB2312"/>
          <w:color w:val="000000"/>
          <w:sz w:val="32"/>
          <w:szCs w:val="32"/>
        </w:rPr>
        <w:t>万元。主要用于接待工作等所需的公务用车燃料费、维修费、过路过桥费、保险费等支出。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cs="仿宋_GB2312"/>
          <w:b/>
          <w:bCs/>
          <w:color w:val="000000"/>
          <w:sz w:val="32"/>
          <w:szCs w:val="32"/>
        </w:rPr>
        <w:t>3.</w:t>
      </w:r>
      <w:r>
        <w:rPr>
          <w:rFonts w:hint="eastAsia" w:ascii="仿宋_GB2312" w:eastAsia="仿宋_GB2312" w:cs="仿宋_GB2312"/>
          <w:b/>
          <w:bCs/>
          <w:color w:val="000000"/>
          <w:sz w:val="32"/>
          <w:szCs w:val="32"/>
        </w:rPr>
        <w:t>公务接待费支出</w:t>
      </w:r>
      <w:r>
        <w:rPr>
          <w:rFonts w:ascii="仿宋_GB2312" w:eastAsia="仿宋_GB2312" w:cs="仿宋_GB2312"/>
          <w:color w:val="000000"/>
          <w:sz w:val="32"/>
          <w:szCs w:val="32"/>
        </w:rPr>
        <w:t>140</w:t>
      </w:r>
      <w:r>
        <w:rPr>
          <w:rFonts w:hint="eastAsia" w:ascii="仿宋_GB2312" w:eastAsia="仿宋_GB2312" w:cs="仿宋_GB2312"/>
          <w:color w:val="000000"/>
          <w:sz w:val="32"/>
          <w:szCs w:val="32"/>
        </w:rPr>
        <w:t>万元，</w:t>
      </w:r>
      <w:r>
        <w:rPr>
          <w:rStyle w:val="13"/>
          <w:rFonts w:hint="eastAsia" w:ascii="仿宋" w:hAnsi="仿宋" w:eastAsia="仿宋" w:cs="仿宋"/>
          <w:b w:val="0"/>
          <w:bCs w:val="0"/>
          <w:color w:val="000000"/>
          <w:sz w:val="32"/>
          <w:szCs w:val="32"/>
        </w:rPr>
        <w:t>完成预算</w:t>
      </w:r>
      <w:r>
        <w:rPr>
          <w:rStyle w:val="13"/>
          <w:rFonts w:ascii="仿宋" w:hAnsi="仿宋" w:eastAsia="仿宋" w:cs="仿宋"/>
          <w:b w:val="0"/>
          <w:bCs w:val="0"/>
          <w:color w:val="000000"/>
          <w:sz w:val="32"/>
          <w:szCs w:val="32"/>
        </w:rPr>
        <w:t>93%</w:t>
      </w:r>
      <w:r>
        <w:rPr>
          <w:rStyle w:val="13"/>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公务接待费支出决算比</w:t>
      </w:r>
      <w:r>
        <w:rPr>
          <w:rFonts w:ascii="仿宋_GB2312" w:eastAsia="仿宋_GB2312" w:cs="仿宋_GB2312"/>
          <w:color w:val="000000"/>
          <w:sz w:val="32"/>
          <w:szCs w:val="32"/>
        </w:rPr>
        <w:t>2017</w:t>
      </w:r>
      <w:r>
        <w:rPr>
          <w:rFonts w:hint="eastAsia" w:ascii="仿宋_GB2312" w:eastAsia="仿宋_GB2312" w:cs="仿宋_GB2312"/>
          <w:color w:val="000000"/>
          <w:sz w:val="32"/>
          <w:szCs w:val="32"/>
        </w:rPr>
        <w:t>年减少</w:t>
      </w:r>
      <w:r>
        <w:rPr>
          <w:rFonts w:ascii="仿宋_GB2312" w:eastAsia="仿宋_GB2312" w:cs="仿宋_GB2312"/>
          <w:color w:val="000000"/>
          <w:sz w:val="32"/>
          <w:szCs w:val="32"/>
        </w:rPr>
        <w:t>22.4</w:t>
      </w:r>
      <w:r>
        <w:rPr>
          <w:rFonts w:hint="eastAsia" w:ascii="仿宋_GB2312" w:eastAsia="仿宋_GB2312" w:cs="仿宋_GB2312"/>
          <w:color w:val="000000"/>
          <w:sz w:val="32"/>
          <w:szCs w:val="32"/>
        </w:rPr>
        <w:t>万元，下降</w:t>
      </w:r>
      <w:r>
        <w:rPr>
          <w:rFonts w:ascii="仿宋_GB2312" w:eastAsia="仿宋_GB2312" w:cs="仿宋_GB2312"/>
          <w:color w:val="000000"/>
          <w:sz w:val="32"/>
          <w:szCs w:val="32"/>
        </w:rPr>
        <w:t>13.8%</w:t>
      </w:r>
      <w:r>
        <w:rPr>
          <w:rFonts w:hint="eastAsia" w:ascii="仿宋_GB2312" w:eastAsia="仿宋_GB2312" w:cs="仿宋_GB2312"/>
          <w:color w:val="000000"/>
          <w:sz w:val="32"/>
          <w:szCs w:val="32"/>
        </w:rPr>
        <w:t>。主要原因是接待减少。</w:t>
      </w:r>
    </w:p>
    <w:p>
      <w:pPr>
        <w:spacing w:line="560" w:lineRule="exact"/>
        <w:ind w:firstLine="31680" w:firstLineChars="200"/>
        <w:rPr>
          <w:rFonts w:eastAsia="仿宋_GB2312"/>
          <w:color w:val="000000"/>
          <w:sz w:val="32"/>
          <w:szCs w:val="32"/>
        </w:rPr>
      </w:pPr>
      <w:r>
        <w:rPr>
          <w:rFonts w:hint="eastAsia" w:ascii="仿宋_GB2312" w:eastAsia="仿宋_GB2312" w:cs="仿宋_GB2312"/>
          <w:color w:val="000000"/>
          <w:sz w:val="32"/>
          <w:szCs w:val="32"/>
        </w:rPr>
        <w:t>主要用于执行公务、开展业务活动开支的交通费、住宿费、用餐费等。国内公务接待</w:t>
      </w:r>
      <w:r>
        <w:rPr>
          <w:rFonts w:ascii="仿宋_GB2312" w:eastAsia="仿宋_GB2312" w:cs="仿宋_GB2312"/>
          <w:color w:val="000000"/>
          <w:sz w:val="32"/>
          <w:szCs w:val="32"/>
        </w:rPr>
        <w:t>170</w:t>
      </w:r>
      <w:r>
        <w:rPr>
          <w:rFonts w:hint="eastAsia" w:ascii="仿宋_GB2312" w:eastAsia="仿宋_GB2312" w:cs="仿宋_GB2312"/>
          <w:color w:val="000000"/>
          <w:sz w:val="32"/>
          <w:szCs w:val="32"/>
        </w:rPr>
        <w:t>批次，</w:t>
      </w:r>
      <w:r>
        <w:rPr>
          <w:rFonts w:ascii="仿宋_GB2312" w:eastAsia="仿宋_GB2312" w:cs="仿宋_GB2312"/>
          <w:color w:val="000000"/>
          <w:sz w:val="32"/>
          <w:szCs w:val="32"/>
        </w:rPr>
        <w:t>180</w:t>
      </w:r>
      <w:r>
        <w:rPr>
          <w:rFonts w:hint="eastAsia" w:ascii="仿宋_GB2312" w:eastAsia="仿宋_GB2312" w:cs="仿宋_GB2312"/>
          <w:color w:val="000000"/>
          <w:sz w:val="32"/>
          <w:szCs w:val="32"/>
        </w:rPr>
        <w:t>人次（不包括陪同人员），共计支出</w:t>
      </w:r>
      <w:r>
        <w:rPr>
          <w:rFonts w:ascii="仿宋_GB2312" w:eastAsia="仿宋_GB2312" w:cs="仿宋_GB2312"/>
          <w:color w:val="000000"/>
          <w:sz w:val="32"/>
          <w:szCs w:val="32"/>
        </w:rPr>
        <w:t>140</w:t>
      </w:r>
      <w:r>
        <w:rPr>
          <w:rFonts w:hint="eastAsia" w:ascii="仿宋_GB2312" w:eastAsia="仿宋_GB2312" w:cs="仿宋_GB2312"/>
          <w:color w:val="000000"/>
          <w:sz w:val="32"/>
          <w:szCs w:val="32"/>
        </w:rPr>
        <w:t>万元，具体内容包括：</w:t>
      </w:r>
      <w:r>
        <w:rPr>
          <w:rFonts w:hint="eastAsia" w:eastAsia="仿宋_GB2312" w:cs="仿宋_GB2312"/>
          <w:sz w:val="32"/>
          <w:szCs w:val="32"/>
          <w:highlight w:val="white"/>
        </w:rPr>
        <w:t>现代农业、环境保护、脱贫攻坚、家居小镇等全县重点工作，接待中央部委、省、市和兄弟区县等重要团组</w:t>
      </w:r>
      <w:r>
        <w:rPr>
          <w:rFonts w:hint="eastAsia" w:eastAsia="仿宋_GB2312" w:cs="仿宋_GB2312"/>
          <w:color w:val="000000"/>
          <w:sz w:val="32"/>
          <w:szCs w:val="32"/>
        </w:rPr>
        <w:t>。</w:t>
      </w:r>
    </w:p>
    <w:p>
      <w:pPr>
        <w:spacing w:line="600" w:lineRule="exact"/>
        <w:ind w:firstLine="640"/>
        <w:outlineLvl w:val="1"/>
        <w:rPr>
          <w:rFonts w:ascii="黑体" w:eastAsia="黑体"/>
          <w:color w:val="000000"/>
          <w:sz w:val="32"/>
          <w:szCs w:val="32"/>
        </w:rPr>
      </w:pPr>
      <w:bookmarkStart w:id="46" w:name="_Toc15377218"/>
      <w:bookmarkStart w:id="47" w:name="_Toc15396610"/>
    </w:p>
    <w:p>
      <w:pPr>
        <w:spacing w:line="600" w:lineRule="exact"/>
        <w:ind w:firstLine="640"/>
        <w:outlineLvl w:val="1"/>
        <w:rPr>
          <w:rStyle w:val="17"/>
          <w:rFonts w:ascii="黑体" w:hAnsi="黑体" w:eastAsia="黑体" w:cs="Times New Roman"/>
        </w:rPr>
      </w:pPr>
      <w:r>
        <w:rPr>
          <w:rFonts w:hint="eastAsia" w:ascii="黑体" w:eastAsia="黑体" w:cs="黑体"/>
          <w:color w:val="000000"/>
          <w:sz w:val="32"/>
          <w:szCs w:val="32"/>
        </w:rPr>
        <w:t>八、</w:t>
      </w:r>
      <w:r>
        <w:rPr>
          <w:rStyle w:val="17"/>
          <w:rFonts w:hint="eastAsia" w:ascii="黑体" w:hAnsi="黑体" w:eastAsia="黑体" w:cs="黑体"/>
          <w:b w:val="0"/>
          <w:bCs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2018</w:t>
      </w:r>
      <w:r>
        <w:rPr>
          <w:rFonts w:hint="eastAsia" w:ascii="仿宋_GB2312" w:eastAsia="仿宋_GB2312" w:cs="仿宋_GB2312"/>
          <w:color w:val="000000"/>
          <w:sz w:val="32"/>
          <w:szCs w:val="32"/>
        </w:rPr>
        <w:t>年政府性基金预算拨款支出</w:t>
      </w:r>
      <w:r>
        <w:rPr>
          <w:rFonts w:ascii="仿宋_GB2312" w:eastAsia="仿宋_GB2312" w:cs="仿宋_GB2312"/>
          <w:color w:val="000000"/>
          <w:sz w:val="32"/>
          <w:szCs w:val="32"/>
        </w:rPr>
        <w:t>140</w:t>
      </w:r>
      <w:r>
        <w:rPr>
          <w:rFonts w:hint="eastAsia" w:ascii="仿宋_GB2312" w:eastAsia="仿宋_GB2312" w:cs="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17"/>
          <w:rFonts w:ascii="黑体" w:hAnsi="黑体" w:eastAsia="黑体" w:cs="Times New Roman"/>
          <w:b w:val="0"/>
          <w:bCs w:val="0"/>
        </w:rPr>
      </w:pPr>
      <w:bookmarkStart w:id="48" w:name="_Toc15377219"/>
      <w:bookmarkStart w:id="49" w:name="_Toc15396611"/>
      <w:r>
        <w:rPr>
          <w:rStyle w:val="17"/>
          <w:rFonts w:hint="eastAsia" w:ascii="黑体" w:hAnsi="黑体" w:eastAsia="黑体" w:cs="黑体"/>
          <w:b w:val="0"/>
          <w:bCs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2018</w:t>
      </w:r>
      <w:r>
        <w:rPr>
          <w:rFonts w:hint="eastAsia" w:ascii="仿宋_GB2312" w:eastAsia="仿宋_GB2312" w:cs="仿宋_GB2312"/>
          <w:color w:val="000000"/>
          <w:sz w:val="32"/>
          <w:szCs w:val="32"/>
        </w:rPr>
        <w:t>年县</w:t>
      </w:r>
      <w:r>
        <w:rPr>
          <w:rFonts w:hint="eastAsia" w:eastAsia="仿宋_GB2312" w:cs="仿宋_GB2312"/>
          <w:color w:val="000000"/>
          <w:sz w:val="32"/>
          <w:szCs w:val="32"/>
        </w:rPr>
        <w:t>接待办无国有资本经营预算拨款支出</w:t>
      </w:r>
      <w:r>
        <w:rPr>
          <w:rFonts w:hint="eastAsia" w:ascii="仿宋_GB2312" w:eastAsia="仿宋_GB2312" w:cs="仿宋_GB2312"/>
          <w:color w:val="000000"/>
          <w:sz w:val="32"/>
          <w:szCs w:val="32"/>
        </w:rPr>
        <w:t>。</w:t>
      </w:r>
    </w:p>
    <w:p>
      <w:pPr>
        <w:pStyle w:val="27"/>
        <w:numPr>
          <w:ilvl w:val="0"/>
          <w:numId w:val="4"/>
        </w:numPr>
        <w:spacing w:line="580" w:lineRule="exact"/>
        <w:ind w:firstLineChars="0"/>
        <w:rPr>
          <w:rStyle w:val="17"/>
          <w:rFonts w:ascii="黑体" w:hAnsi="黑体" w:eastAsia="黑体" w:cs="Times New Roman"/>
          <w:b w:val="0"/>
          <w:bCs w:val="0"/>
        </w:rPr>
      </w:pPr>
      <w:r>
        <w:rPr>
          <w:rStyle w:val="17"/>
          <w:rFonts w:hint="eastAsia" w:ascii="黑体" w:hAnsi="黑体" w:eastAsia="黑体" w:cs="黑体"/>
          <w:b w:val="0"/>
          <w:bCs w:val="0"/>
        </w:rPr>
        <w:t>预算绩效情况说明</w:t>
      </w:r>
    </w:p>
    <w:p>
      <w:pPr>
        <w:numPr>
          <w:ilvl w:val="0"/>
          <w:numId w:val="5"/>
        </w:numPr>
        <w:spacing w:line="580" w:lineRule="exact"/>
        <w:ind w:firstLine="31680" w:firstLineChars="200"/>
        <w:rPr>
          <w:rFonts w:ascii="仿宋" w:hAnsi="仿宋" w:eastAsia="仿宋"/>
          <w:b/>
          <w:bCs/>
          <w:sz w:val="32"/>
          <w:szCs w:val="32"/>
        </w:rPr>
      </w:pPr>
      <w:r>
        <w:rPr>
          <w:rFonts w:hint="eastAsia" w:ascii="仿宋" w:hAnsi="仿宋" w:eastAsia="仿宋" w:cs="仿宋"/>
          <w:b/>
          <w:bCs/>
          <w:sz w:val="32"/>
          <w:szCs w:val="32"/>
        </w:rPr>
        <w:t>预算绩效管理工作开展情况。</w:t>
      </w:r>
    </w:p>
    <w:p>
      <w:pPr>
        <w:spacing w:line="580" w:lineRule="exact"/>
        <w:ind w:firstLine="31680" w:firstLineChars="200"/>
        <w:rPr>
          <w:rFonts w:ascii="仿宋_GB2312" w:hAnsi="仿宋_GB2312" w:eastAsia="仿宋_GB2312"/>
          <w:sz w:val="32"/>
          <w:szCs w:val="32"/>
        </w:rPr>
      </w:pPr>
      <w:r>
        <w:rPr>
          <w:rFonts w:hint="eastAsia" w:ascii="仿宋_GB2312" w:hAnsi="仿宋_GB2312" w:eastAsia="仿宋_GB2312" w:cs="仿宋_GB2312"/>
          <w:sz w:val="32"/>
          <w:szCs w:val="32"/>
        </w:rPr>
        <w:t>根据预算绩效管理要求，</w:t>
      </w:r>
      <w:r>
        <w:rPr>
          <w:rFonts w:hint="eastAsia" w:ascii="仿宋_GB2312" w:eastAsia="仿宋_GB2312" w:cs="仿宋_GB2312"/>
          <w:color w:val="000000"/>
          <w:sz w:val="32"/>
          <w:szCs w:val="32"/>
        </w:rPr>
        <w:t>县</w:t>
      </w:r>
      <w:r>
        <w:rPr>
          <w:rFonts w:hint="eastAsia" w:eastAsia="仿宋_GB2312" w:cs="仿宋_GB2312"/>
          <w:color w:val="000000"/>
          <w:sz w:val="32"/>
          <w:szCs w:val="32"/>
        </w:rPr>
        <w:t>接待办</w:t>
      </w:r>
      <w:r>
        <w:rPr>
          <w:rFonts w:hint="eastAsia" w:ascii="仿宋_GB2312" w:hAnsi="仿宋_GB2312" w:eastAsia="仿宋_GB2312" w:cs="仿宋_GB2312"/>
          <w:sz w:val="32"/>
          <w:szCs w:val="32"/>
        </w:rPr>
        <w:t>在年初预算编制阶段，组织对公务接待项目开展了预算事前绩效评估，对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个项目开展了绩效目标完成情况梳理填报。</w:t>
      </w:r>
    </w:p>
    <w:p>
      <w:pPr>
        <w:spacing w:line="580" w:lineRule="exact"/>
        <w:ind w:firstLine="3168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年部门整体支出开展绩效自评，从评价情况来看较好完成项目，提高了资金使用效益。本部门还自行组织了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个项目绩效评价，从评价情况来看厉行节约，提高了资金使用效率，较好的完成了项目。</w:t>
      </w:r>
    </w:p>
    <w:p>
      <w:pPr>
        <w:numPr>
          <w:ilvl w:val="0"/>
          <w:numId w:val="5"/>
        </w:numPr>
        <w:spacing w:line="580" w:lineRule="exact"/>
        <w:ind w:firstLine="31680" w:firstLineChars="200"/>
        <w:rPr>
          <w:rFonts w:ascii="仿宋_GB2312" w:hAnsi="仿宋_GB2312" w:eastAsia="仿宋_GB2312"/>
          <w:sz w:val="32"/>
          <w:szCs w:val="32"/>
        </w:rPr>
      </w:pPr>
      <w:r>
        <w:rPr>
          <w:rFonts w:hint="eastAsia" w:ascii="仿宋" w:hAnsi="仿宋" w:eastAsia="仿宋" w:cs="仿宋"/>
          <w:b/>
          <w:bCs/>
          <w:sz w:val="32"/>
          <w:szCs w:val="32"/>
        </w:rPr>
        <w:t>项目绩效目标完成情况。</w:t>
      </w:r>
      <w:r>
        <w:rPr>
          <w:rFonts w:ascii="楷体_GB2312" w:hAnsi="楷体_GB2312" w:eastAsia="楷体_GB2312"/>
          <w:b/>
          <w:bCs/>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年度部门决算中反映“公务接待”等</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个项目绩效目标实际完成情况。（本单位部门项目绩效目标个数在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个以下的，选取</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个项目进行公开，目标个数在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个以下的，全部进行公开，公开内容包括完成情况综述和完成情况表）。</w:t>
      </w:r>
    </w:p>
    <w:p>
      <w:pPr>
        <w:numPr>
          <w:ilvl w:val="0"/>
          <w:numId w:val="6"/>
        </w:numPr>
        <w:spacing w:line="580" w:lineRule="exact"/>
        <w:ind w:firstLine="31680" w:firstLineChars="200"/>
        <w:rPr>
          <w:rFonts w:ascii="仿宋_GB2312" w:hAnsi="仿宋_GB2312" w:eastAsia="仿宋_GB2312"/>
          <w:sz w:val="32"/>
          <w:szCs w:val="32"/>
        </w:rPr>
      </w:pPr>
      <w:r>
        <w:rPr>
          <w:rFonts w:hint="eastAsia" w:ascii="仿宋_GB2312" w:hAnsi="仿宋_GB2312" w:eastAsia="仿宋_GB2312" w:cs="仿宋_GB2312"/>
          <w:sz w:val="32"/>
          <w:szCs w:val="32"/>
        </w:rPr>
        <w:t>公务接待项目绩效目标完成情况综述。项目全年预算数</w:t>
      </w:r>
      <w:r>
        <w:rPr>
          <w:rFonts w:ascii="仿宋_GB2312" w:hAnsi="仿宋_GB2312" w:eastAsia="仿宋_GB2312" w:cs="仿宋_GB2312"/>
          <w:sz w:val="32"/>
          <w:szCs w:val="32"/>
        </w:rPr>
        <w:t>150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140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93%</w:t>
      </w:r>
      <w:r>
        <w:rPr>
          <w:rFonts w:hint="eastAsia" w:ascii="仿宋_GB2312" w:hAnsi="仿宋_GB2312" w:eastAsia="仿宋_GB2312" w:cs="仿宋_GB2312"/>
          <w:sz w:val="32"/>
          <w:szCs w:val="32"/>
        </w:rPr>
        <w:t>。通过项目实施，保障了公务接待按照项目总体目标取得项目成效，发现的主要问题：尚未建立本部门绩效问责机制。下一步改进措施：建立本部门绩效问责机制和科学、可量化的指标体系。</w:t>
      </w: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541"/>
        <w:gridCol w:w="1851"/>
        <w:gridCol w:w="2394"/>
        <w:gridCol w:w="2392"/>
      </w:tblGrid>
      <w:tr>
        <w:tblPrEx>
          <w:tblLayout w:type="fixed"/>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27"/>
              <w:widowControl/>
              <w:ind w:left="31680" w:leftChars="1310" w:hangingChars="395" w:firstLine="31680"/>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ascii="宋体" w:hAnsi="宋体" w:cs="宋体"/>
                <w:color w:val="000000"/>
                <w:kern w:val="0"/>
                <w:sz w:val="36"/>
                <w:szCs w:val="36"/>
              </w:rPr>
              <w:t xml:space="preserve">(2018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仿宋_GB2312" w:hAnsi="仿宋_GB2312" w:eastAsia="仿宋_GB2312" w:cs="仿宋_GB2312"/>
                <w:sz w:val="32"/>
                <w:szCs w:val="32"/>
              </w:rPr>
              <w:t>公务接待</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中国共产党井研县委员会人民政府接待办公室</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预算执行情况</w:t>
            </w:r>
            <w:r>
              <w:rPr>
                <w:rFonts w:ascii="宋体" w:hAnsi="宋体" w:cs="宋体"/>
                <w:color w:val="000000"/>
                <w:kern w:val="0"/>
                <w:sz w:val="24"/>
                <w:szCs w:val="24"/>
              </w:rPr>
              <w:t>(</w:t>
            </w:r>
            <w:r>
              <w:rPr>
                <w:rFonts w:hint="eastAsia" w:ascii="宋体" w:hAnsi="宋体" w:cs="宋体"/>
                <w:color w:val="000000"/>
                <w:kern w:val="0"/>
                <w:sz w:val="24"/>
                <w:szCs w:val="24"/>
              </w:rPr>
              <w:t>万元</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预算数</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hAnsi="宋体" w:cs="宋体"/>
                <w:color w:val="000000"/>
                <w:sz w:val="24"/>
                <w:szCs w:val="24"/>
              </w:rPr>
              <w:t>150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执行数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hAnsi="宋体" w:cs="宋体"/>
                <w:color w:val="000000"/>
                <w:sz w:val="24"/>
                <w:szCs w:val="24"/>
              </w:rPr>
              <w:t>140</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hAnsi="宋体" w:cs="宋体"/>
                <w:color w:val="000000"/>
                <w:sz w:val="24"/>
                <w:szCs w:val="24"/>
              </w:rPr>
              <w:t>150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hAnsi="宋体" w:cs="宋体"/>
                <w:color w:val="000000"/>
                <w:sz w:val="24"/>
                <w:szCs w:val="24"/>
              </w:rPr>
              <w:t>140</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cs="宋体"/>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4"/>
                <w:szCs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hAnsi="宋体" w:cs="宋体"/>
                <w:color w:val="000000"/>
                <w:sz w:val="24"/>
                <w:szCs w:val="24"/>
              </w:rPr>
              <w:t>150</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hAnsi="宋体" w:cs="宋体"/>
                <w:color w:val="000000"/>
                <w:sz w:val="24"/>
                <w:szCs w:val="24"/>
              </w:rPr>
              <w:t>140</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一级指标</w:t>
            </w:r>
          </w:p>
        </w:tc>
        <w:tc>
          <w:tcPr>
            <w:tcW w:w="156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二级指标</w:t>
            </w:r>
          </w:p>
        </w:tc>
        <w:tc>
          <w:tcPr>
            <w:tcW w:w="18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56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仿宋_GB2312" w:hAnsi="仿宋_GB2312" w:eastAsia="仿宋_GB2312" w:cs="仿宋_GB2312"/>
                <w:sz w:val="32"/>
                <w:szCs w:val="32"/>
              </w:rPr>
              <w:t>公务接待</w:t>
            </w:r>
          </w:p>
        </w:tc>
        <w:tc>
          <w:tcPr>
            <w:tcW w:w="18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56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18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56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18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kern w:val="0"/>
                <w:sz w:val="24"/>
                <w:szCs w:val="24"/>
              </w:rPr>
            </w:pPr>
            <w:r>
              <w:rPr>
                <w:rFonts w:hint="eastAsia" w:ascii="宋体" w:hAnsi="宋体" w:cs="宋体"/>
                <w:color w:val="000000"/>
                <w:kern w:val="0"/>
                <w:sz w:val="24"/>
                <w:szCs w:val="24"/>
              </w:rPr>
              <w:t>项目完成指标</w:t>
            </w:r>
          </w:p>
        </w:tc>
        <w:tc>
          <w:tcPr>
            <w:tcW w:w="156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18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kern w:val="0"/>
                <w:sz w:val="24"/>
                <w:szCs w:val="24"/>
              </w:rPr>
            </w:pPr>
            <w:r>
              <w:rPr>
                <w:rFonts w:hint="eastAsia" w:ascii="宋体" w:hAnsi="宋体" w:cs="宋体"/>
                <w:color w:val="000000"/>
                <w:kern w:val="0"/>
                <w:sz w:val="24"/>
                <w:szCs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r>
    </w:tbl>
    <w:p>
      <w:pPr>
        <w:rPr>
          <w:rFonts w:ascii="Calibri" w:hAnsi="Calibri" w:cs="Calibri"/>
        </w:rPr>
      </w:pPr>
    </w:p>
    <w:p>
      <w:pPr>
        <w:spacing w:line="580" w:lineRule="exact"/>
        <w:rPr>
          <w:rFonts w:ascii="仿宋_GB2312" w:hAnsi="仿宋_GB2312" w:eastAsia="仿宋_GB2312"/>
          <w:sz w:val="32"/>
          <w:szCs w:val="32"/>
        </w:rPr>
      </w:pPr>
    </w:p>
    <w:p>
      <w:pPr>
        <w:numPr>
          <w:ilvl w:val="0"/>
          <w:numId w:val="5"/>
        </w:numPr>
        <w:spacing w:line="580" w:lineRule="exact"/>
        <w:ind w:firstLine="31680" w:firstLineChars="200"/>
        <w:rPr>
          <w:rFonts w:ascii="仿宋" w:hAnsi="仿宋" w:eastAsia="仿宋"/>
          <w:sz w:val="32"/>
          <w:szCs w:val="32"/>
        </w:rPr>
      </w:pPr>
      <w:r>
        <w:rPr>
          <w:rFonts w:hint="eastAsia" w:ascii="仿宋" w:hAnsi="仿宋" w:eastAsia="仿宋" w:cs="仿宋"/>
          <w:b/>
          <w:bCs/>
          <w:sz w:val="32"/>
          <w:szCs w:val="32"/>
        </w:rPr>
        <w:t>部门开展绩效评价结果。</w:t>
      </w:r>
    </w:p>
    <w:p>
      <w:pPr>
        <w:spacing w:line="580" w:lineRule="exact"/>
        <w:ind w:firstLine="3168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年部门整体支出绩效评价情况开展自评，《井研县接待办</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年部门整体支出绩效评价报告》见附件。</w:t>
      </w:r>
    </w:p>
    <w:p>
      <w:pPr>
        <w:spacing w:line="580" w:lineRule="exact"/>
        <w:ind w:firstLine="31680" w:firstLineChars="200"/>
        <w:rPr>
          <w:rFonts w:ascii="仿宋_GB2312" w:hAnsi="仿宋_GB2312" w:eastAsia="仿宋_GB2312"/>
          <w:sz w:val="32"/>
          <w:szCs w:val="32"/>
          <w:highlight w:val="yellow"/>
        </w:rPr>
      </w:pPr>
      <w:r>
        <w:rPr>
          <w:rFonts w:hint="eastAsia" w:ascii="仿宋_GB2312" w:hAnsi="仿宋_GB2312" w:eastAsia="仿宋_GB2312" w:cs="仿宋_GB2312"/>
          <w:sz w:val="32"/>
          <w:szCs w:val="32"/>
        </w:rPr>
        <w:t>本部门自行组织对公务接待项目开展了绩效评价，《公务接待项目</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年绩效评价报告》见附件。</w:t>
      </w:r>
    </w:p>
    <w:p>
      <w:pPr>
        <w:spacing w:line="580" w:lineRule="exact"/>
        <w:jc w:val="center"/>
        <w:rPr>
          <w:rFonts w:ascii="方正小标宋简体" w:hAnsi="方正小标宋简体" w:eastAsia="方正小标宋简体"/>
          <w:sz w:val="44"/>
          <w:szCs w:val="44"/>
        </w:rPr>
      </w:pPr>
    </w:p>
    <w:p>
      <w:pPr>
        <w:spacing w:line="600" w:lineRule="exact"/>
        <w:ind w:firstLine="31680" w:firstLineChars="250"/>
        <w:outlineLvl w:val="1"/>
        <w:rPr>
          <w:rStyle w:val="17"/>
          <w:rFonts w:ascii="黑体" w:hAnsi="黑体" w:eastAsia="黑体" w:cs="Times New Roman"/>
        </w:rPr>
      </w:pPr>
      <w:bookmarkStart w:id="50" w:name="_Toc15377221"/>
      <w:bookmarkStart w:id="51" w:name="_Toc15396612"/>
      <w:r>
        <w:rPr>
          <w:rFonts w:hint="eastAsia" w:ascii="黑体" w:hAnsi="黑体" w:eastAsia="黑体" w:cs="黑体"/>
          <w:color w:val="000000"/>
          <w:sz w:val="32"/>
          <w:szCs w:val="32"/>
        </w:rPr>
        <w:t>十</w:t>
      </w:r>
      <w:r>
        <w:rPr>
          <w:rStyle w:val="17"/>
          <w:rFonts w:hint="eastAsia" w:ascii="黑体" w:hAnsi="黑体" w:eastAsia="黑体" w:cs="黑体"/>
        </w:rPr>
        <w:t>一、</w:t>
      </w:r>
      <w:r>
        <w:rPr>
          <w:rStyle w:val="17"/>
          <w:rFonts w:hint="eastAsia" w:ascii="黑体" w:hAnsi="黑体" w:eastAsia="黑体" w:cs="黑体"/>
          <w:b w:val="0"/>
          <w:bCs w:val="0"/>
        </w:rPr>
        <w:t>其他重要事项的情况说明</w:t>
      </w:r>
      <w:bookmarkEnd w:id="50"/>
      <w:bookmarkEnd w:id="51"/>
    </w:p>
    <w:p>
      <w:pPr>
        <w:spacing w:line="600" w:lineRule="exact"/>
        <w:ind w:firstLine="31680" w:firstLineChars="200"/>
        <w:outlineLvl w:val="2"/>
        <w:rPr>
          <w:rFonts w:ascii="仿宋" w:hAnsi="仿宋" w:eastAsia="仿宋"/>
          <w:color w:val="000000"/>
          <w:sz w:val="32"/>
          <w:szCs w:val="32"/>
        </w:rPr>
      </w:pPr>
      <w:bookmarkStart w:id="52" w:name="_Toc15377222"/>
      <w:r>
        <w:rPr>
          <w:rFonts w:hint="eastAsia" w:ascii="仿宋" w:hAnsi="仿宋" w:eastAsia="仿宋" w:cs="仿宋"/>
          <w:b/>
          <w:bCs/>
          <w:color w:val="000000"/>
          <w:sz w:val="32"/>
          <w:szCs w:val="32"/>
        </w:rPr>
        <w:t>（一）机关运行经费支出情况</w:t>
      </w:r>
      <w:bookmarkEnd w:id="52"/>
    </w:p>
    <w:p>
      <w:pPr>
        <w:spacing w:line="600" w:lineRule="exact"/>
        <w:ind w:firstLine="31680" w:firstLineChars="200"/>
        <w:rPr>
          <w:rFonts w:ascii="仿宋_GB2312" w:eastAsia="仿宋_GB2312"/>
          <w:color w:val="000000"/>
          <w:sz w:val="32"/>
          <w:szCs w:val="32"/>
        </w:rPr>
      </w:pPr>
      <w:r>
        <w:rPr>
          <w:rFonts w:ascii="仿宋_GB2312" w:eastAsia="仿宋_GB2312" w:cs="仿宋_GB2312"/>
          <w:color w:val="000000"/>
          <w:sz w:val="32"/>
          <w:szCs w:val="32"/>
        </w:rPr>
        <w:t>2018</w:t>
      </w:r>
      <w:r>
        <w:rPr>
          <w:rFonts w:hint="eastAsia" w:ascii="仿宋_GB2312" w:eastAsia="仿宋_GB2312" w:cs="仿宋_GB2312"/>
          <w:color w:val="000000"/>
          <w:sz w:val="32"/>
          <w:szCs w:val="32"/>
        </w:rPr>
        <w:t>年，中国共产党井研县委员会人民政府接待办公室运行经费支出</w:t>
      </w:r>
      <w:r>
        <w:rPr>
          <w:rFonts w:ascii="仿宋_GB2312" w:eastAsia="仿宋_GB2312" w:cs="仿宋_GB2312"/>
          <w:color w:val="000000"/>
          <w:sz w:val="32"/>
          <w:szCs w:val="32"/>
        </w:rPr>
        <w:t>5</w:t>
      </w:r>
      <w:r>
        <w:rPr>
          <w:rFonts w:hint="eastAsia" w:ascii="仿宋_GB2312" w:eastAsia="仿宋_GB2312" w:cs="仿宋_GB2312"/>
          <w:color w:val="000000"/>
          <w:sz w:val="32"/>
          <w:szCs w:val="32"/>
        </w:rPr>
        <w:t>万元，比</w:t>
      </w:r>
      <w:r>
        <w:rPr>
          <w:rFonts w:ascii="仿宋_GB2312" w:eastAsia="仿宋_GB2312" w:cs="仿宋_GB2312"/>
          <w:color w:val="000000"/>
          <w:sz w:val="32"/>
          <w:szCs w:val="32"/>
        </w:rPr>
        <w:t>2017</w:t>
      </w:r>
      <w:r>
        <w:rPr>
          <w:rFonts w:hint="eastAsia" w:ascii="仿宋_GB2312" w:eastAsia="仿宋_GB2312" w:cs="仿宋_GB2312"/>
          <w:color w:val="000000"/>
          <w:sz w:val="32"/>
          <w:szCs w:val="32"/>
        </w:rPr>
        <w:t>年减少</w:t>
      </w:r>
      <w:r>
        <w:rPr>
          <w:rFonts w:ascii="仿宋_GB2312" w:eastAsia="仿宋_GB2312" w:cs="仿宋_GB2312"/>
          <w:color w:val="000000"/>
          <w:sz w:val="32"/>
          <w:szCs w:val="32"/>
        </w:rPr>
        <w:t>1.5</w:t>
      </w:r>
      <w:r>
        <w:rPr>
          <w:rFonts w:hint="eastAsia" w:ascii="仿宋_GB2312" w:eastAsia="仿宋_GB2312" w:cs="仿宋_GB2312"/>
          <w:color w:val="000000"/>
          <w:sz w:val="32"/>
          <w:szCs w:val="32"/>
        </w:rPr>
        <w:t>万元，下降</w:t>
      </w:r>
      <w:r>
        <w:rPr>
          <w:rFonts w:ascii="仿宋_GB2312" w:eastAsia="仿宋_GB2312" w:cs="仿宋_GB2312"/>
          <w:color w:val="000000"/>
          <w:sz w:val="32"/>
          <w:szCs w:val="32"/>
        </w:rPr>
        <w:t>23%</w:t>
      </w:r>
      <w:r>
        <w:rPr>
          <w:rFonts w:hint="eastAsia" w:ascii="仿宋_GB2312" w:eastAsia="仿宋_GB2312" w:cs="仿宋_GB2312"/>
          <w:color w:val="000000"/>
          <w:sz w:val="32"/>
          <w:szCs w:val="32"/>
        </w:rPr>
        <w:t>。主要原因是支出减少。</w:t>
      </w:r>
    </w:p>
    <w:p>
      <w:pPr>
        <w:autoSpaceDE w:val="0"/>
        <w:autoSpaceDN w:val="0"/>
        <w:adjustRightInd w:val="0"/>
        <w:spacing w:line="600" w:lineRule="exact"/>
        <w:ind w:firstLine="31680" w:firstLineChars="200"/>
        <w:jc w:val="left"/>
        <w:outlineLvl w:val="2"/>
        <w:rPr>
          <w:rFonts w:ascii="仿宋" w:hAnsi="仿宋" w:eastAsia="仿宋"/>
          <w:b/>
          <w:bCs/>
          <w:color w:val="000000"/>
          <w:sz w:val="32"/>
          <w:szCs w:val="32"/>
        </w:rPr>
      </w:pPr>
      <w:bookmarkStart w:id="53" w:name="_Toc15377223"/>
      <w:r>
        <w:rPr>
          <w:rFonts w:hint="eastAsia" w:ascii="仿宋" w:hAnsi="仿宋" w:eastAsia="仿宋" w:cs="仿宋"/>
          <w:b/>
          <w:bCs/>
          <w:color w:val="000000"/>
          <w:sz w:val="32"/>
          <w:szCs w:val="32"/>
        </w:rPr>
        <w:t>（二）政府采购支出情况</w:t>
      </w:r>
      <w:bookmarkEnd w:id="53"/>
    </w:p>
    <w:p>
      <w:pPr>
        <w:spacing w:line="600" w:lineRule="exact"/>
        <w:ind w:firstLine="31680" w:firstLineChars="200"/>
        <w:rPr>
          <w:rFonts w:ascii="仿宋_GB2312" w:eastAsia="仿宋_GB2312"/>
          <w:color w:val="000000"/>
          <w:sz w:val="32"/>
          <w:szCs w:val="32"/>
        </w:rPr>
      </w:pPr>
      <w:r>
        <w:rPr>
          <w:rFonts w:ascii="仿宋_GB2312" w:eastAsia="仿宋_GB2312" w:cs="仿宋_GB2312"/>
          <w:color w:val="000000"/>
          <w:sz w:val="32"/>
          <w:szCs w:val="32"/>
        </w:rPr>
        <w:t>2018</w:t>
      </w:r>
      <w:r>
        <w:rPr>
          <w:rFonts w:hint="eastAsia" w:ascii="仿宋_GB2312" w:eastAsia="仿宋_GB2312" w:cs="仿宋_GB2312"/>
          <w:color w:val="000000"/>
          <w:sz w:val="32"/>
          <w:szCs w:val="32"/>
        </w:rPr>
        <w:t>年，中国共产党井研县委员会人民政府接待办公室无采购支出。</w:t>
      </w:r>
    </w:p>
    <w:p>
      <w:pPr>
        <w:autoSpaceDE w:val="0"/>
        <w:autoSpaceDN w:val="0"/>
        <w:adjustRightInd w:val="0"/>
        <w:spacing w:line="600" w:lineRule="exact"/>
        <w:ind w:firstLine="31680" w:firstLineChars="200"/>
        <w:jc w:val="left"/>
        <w:outlineLvl w:val="2"/>
        <w:rPr>
          <w:rFonts w:ascii="仿宋" w:hAnsi="仿宋" w:eastAsia="仿宋"/>
          <w:b/>
          <w:bCs/>
          <w:color w:val="000000"/>
          <w:sz w:val="32"/>
          <w:szCs w:val="32"/>
        </w:rPr>
      </w:pPr>
      <w:bookmarkStart w:id="54" w:name="_Toc15377224"/>
      <w:r>
        <w:rPr>
          <w:rFonts w:hint="eastAsia" w:ascii="仿宋" w:hAnsi="仿宋" w:eastAsia="仿宋" w:cs="仿宋"/>
          <w:b/>
          <w:bCs/>
          <w:color w:val="000000"/>
          <w:sz w:val="32"/>
          <w:szCs w:val="32"/>
        </w:rPr>
        <w:t>（三）国有资产占有使用情况</w:t>
      </w:r>
      <w:bookmarkEnd w:id="54"/>
    </w:p>
    <w:p>
      <w:pPr>
        <w:autoSpaceDE w:val="0"/>
        <w:autoSpaceDN w:val="0"/>
        <w:adjustRightInd w:val="0"/>
        <w:spacing w:line="600" w:lineRule="exact"/>
        <w:ind w:firstLine="31680" w:firstLineChars="200"/>
        <w:jc w:val="left"/>
        <w:rPr>
          <w:rFonts w:ascii="仿宋_GB2312" w:eastAsia="仿宋_GB2312"/>
          <w:color w:val="000000"/>
          <w:sz w:val="32"/>
          <w:szCs w:val="32"/>
        </w:rPr>
      </w:pP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日，中国共产党井研县委员会人民政府接待办公室共有车辆</w:t>
      </w:r>
      <w:r>
        <w:rPr>
          <w:rFonts w:ascii="仿宋_GB2312" w:eastAsia="仿宋_GB2312" w:cs="仿宋_GB2312"/>
          <w:color w:val="000000"/>
          <w:sz w:val="32"/>
          <w:szCs w:val="32"/>
        </w:rPr>
        <w:t>1</w:t>
      </w:r>
      <w:r>
        <w:rPr>
          <w:rFonts w:hint="eastAsia" w:ascii="仿宋_GB2312" w:eastAsia="仿宋_GB2312" w:cs="仿宋_GB2312"/>
          <w:color w:val="000000"/>
          <w:sz w:val="32"/>
          <w:szCs w:val="32"/>
        </w:rPr>
        <w:t>辆，其中：一般公务用车</w:t>
      </w:r>
      <w:r>
        <w:rPr>
          <w:rFonts w:ascii="仿宋_GB2312" w:eastAsia="仿宋_GB2312" w:cs="仿宋_GB2312"/>
          <w:color w:val="000000"/>
          <w:sz w:val="32"/>
          <w:szCs w:val="32"/>
        </w:rPr>
        <w:t>1</w:t>
      </w:r>
      <w:r>
        <w:rPr>
          <w:rFonts w:hint="eastAsia" w:ascii="仿宋_GB2312" w:eastAsia="仿宋_GB2312" w:cs="仿宋_GB2312"/>
          <w:color w:val="000000"/>
          <w:sz w:val="32"/>
          <w:szCs w:val="32"/>
        </w:rPr>
        <w:t>辆。</w:t>
      </w:r>
    </w:p>
    <w:p>
      <w:pPr>
        <w:spacing w:line="600" w:lineRule="atLeast"/>
        <w:ind w:firstLine="31680" w:firstLineChars="200"/>
        <w:rPr>
          <w:rFonts w:ascii="仿宋_GB2312" w:eastAsia="仿宋_GB2312"/>
          <w:b/>
          <w:bCs/>
          <w:color w:val="000000"/>
          <w:sz w:val="32"/>
          <w:szCs w:val="32"/>
        </w:rPr>
      </w:pPr>
    </w:p>
    <w:p>
      <w:pPr>
        <w:widowControl/>
        <w:jc w:val="left"/>
        <w:rPr>
          <w:rFonts w:ascii="仿宋_GB2312" w:eastAsia="仿宋_GB2312"/>
          <w:b/>
          <w:bCs/>
          <w:color w:val="000000"/>
          <w:sz w:val="32"/>
          <w:szCs w:val="32"/>
        </w:rPr>
      </w:pPr>
      <w:r>
        <w:rPr>
          <w:rFonts w:ascii="仿宋_GB2312" w:eastAsia="仿宋_GB2312"/>
          <w:b/>
          <w:bCs/>
          <w:color w:val="000000"/>
          <w:sz w:val="32"/>
          <w:szCs w:val="32"/>
        </w:rPr>
        <w:br w:type="page"/>
      </w:r>
    </w:p>
    <w:p>
      <w:pPr>
        <w:numPr>
          <w:ilvl w:val="0"/>
          <w:numId w:val="7"/>
        </w:numPr>
        <w:spacing w:line="600" w:lineRule="exact"/>
        <w:ind w:firstLine="31680" w:firstLineChars="150"/>
        <w:jc w:val="center"/>
        <w:outlineLvl w:val="0"/>
        <w:rPr>
          <w:rStyle w:val="16"/>
          <w:rFonts w:ascii="黑体" w:hAnsi="黑体" w:eastAsia="黑体"/>
          <w:b w:val="0"/>
          <w:bCs w:val="0"/>
        </w:rPr>
      </w:pPr>
      <w:bookmarkStart w:id="55" w:name="_Toc15377225"/>
      <w:bookmarkStart w:id="56" w:name="_Toc15396613"/>
      <w:r>
        <w:rPr>
          <w:rFonts w:hint="eastAsia" w:ascii="黑体" w:hAnsi="黑体" w:eastAsia="黑体" w:cs="黑体"/>
          <w:b/>
          <w:bCs/>
          <w:color w:val="000000"/>
          <w:sz w:val="44"/>
          <w:szCs w:val="44"/>
        </w:rPr>
        <w:t>名</w:t>
      </w:r>
      <w:r>
        <w:rPr>
          <w:rStyle w:val="16"/>
          <w:rFonts w:hint="eastAsia" w:ascii="黑体" w:hAnsi="黑体" w:eastAsia="黑体" w:cs="黑体"/>
          <w:b w:val="0"/>
          <w:bCs w:val="0"/>
        </w:rPr>
        <w:t>词解释</w:t>
      </w:r>
      <w:bookmarkEnd w:id="55"/>
      <w:bookmarkEnd w:id="56"/>
    </w:p>
    <w:p>
      <w:pPr>
        <w:spacing w:line="600" w:lineRule="exact"/>
        <w:jc w:val="left"/>
        <w:rPr>
          <w:rFonts w:ascii="宋体"/>
          <w:b/>
          <w:bCs/>
          <w:color w:val="000000"/>
          <w:sz w:val="44"/>
          <w:szCs w:val="44"/>
        </w:rPr>
      </w:pPr>
    </w:p>
    <w:p>
      <w:pPr>
        <w:pStyle w:val="26"/>
        <w:spacing w:line="560" w:lineRule="exact"/>
        <w:ind w:firstLine="3168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pStyle w:val="26"/>
        <w:spacing w:line="560" w:lineRule="exact"/>
        <w:ind w:firstLine="3168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年初结转和结余：指以前年度尚未完成、结转到本年按有关规定继续使用的资金。</w:t>
      </w:r>
      <w:r>
        <w:rPr>
          <w:rFonts w:ascii="仿宋_GB2312" w:eastAsia="仿宋_GB2312" w:cs="仿宋_GB2312"/>
          <w:sz w:val="32"/>
          <w:szCs w:val="32"/>
        </w:rPr>
        <w:t xml:space="preserve"> </w:t>
      </w:r>
    </w:p>
    <w:p>
      <w:pPr>
        <w:pStyle w:val="26"/>
        <w:spacing w:line="560" w:lineRule="exact"/>
        <w:ind w:firstLine="3168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结余分配：指事业单位按照事业单位会计制度的规定从非财政补助结余中分配的事业基金和职工福利基金等。</w:t>
      </w:r>
    </w:p>
    <w:p>
      <w:pPr>
        <w:pStyle w:val="26"/>
        <w:spacing w:line="560" w:lineRule="exact"/>
        <w:ind w:firstLine="3168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、年末结转和结余：指单位按有关规定结转到下年或以后年度继续使用的资金。</w:t>
      </w:r>
    </w:p>
    <w:p>
      <w:pPr>
        <w:spacing w:line="560" w:lineRule="exact"/>
        <w:ind w:firstLine="31680" w:firstLineChars="200"/>
        <w:rPr>
          <w:rFonts w:eastAsia="仿宋_GB2312"/>
          <w:color w:val="000000"/>
          <w:sz w:val="32"/>
          <w:szCs w:val="32"/>
        </w:rPr>
      </w:pPr>
      <w:r>
        <w:rPr>
          <w:rFonts w:ascii="仿宋_GB2312" w:eastAsia="仿宋_GB2312" w:cs="仿宋_GB2312"/>
          <w:color w:val="000000"/>
          <w:sz w:val="32"/>
          <w:szCs w:val="32"/>
        </w:rPr>
        <w:t>5.</w:t>
      </w:r>
      <w:r>
        <w:rPr>
          <w:rFonts w:hint="eastAsia" w:eastAsia="仿宋_GB2312" w:cs="仿宋_GB2312"/>
          <w:color w:val="000000"/>
          <w:sz w:val="32"/>
          <w:szCs w:val="32"/>
        </w:rPr>
        <w:t>一般公共服务支出：指反映政府提供一般公共服务支出。</w:t>
      </w:r>
    </w:p>
    <w:p>
      <w:pPr>
        <w:spacing w:line="560" w:lineRule="exact"/>
        <w:ind w:firstLine="3168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1</w:t>
      </w:r>
      <w:r>
        <w:rPr>
          <w:rFonts w:hint="eastAsia" w:eastAsia="仿宋_GB2312" w:cs="仿宋_GB2312"/>
          <w:color w:val="000000"/>
          <w:sz w:val="32"/>
          <w:szCs w:val="32"/>
        </w:rPr>
        <w:t>）党委办公厅（室）及相关机构行政运行：指反映行政单位（包括实行公务员管理的事业单位）的基本支出。</w:t>
      </w:r>
    </w:p>
    <w:p>
      <w:pPr>
        <w:ind w:firstLine="31680" w:firstLineChars="200"/>
        <w:rPr>
          <w:rFonts w:ascii="仿宋_GB2312" w:eastAsia="仿宋_GB2312"/>
          <w:color w:val="000000"/>
          <w:sz w:val="32"/>
          <w:szCs w:val="32"/>
        </w:rPr>
      </w:pPr>
    </w:p>
    <w:p>
      <w:pPr>
        <w:spacing w:line="560" w:lineRule="exact"/>
        <w:ind w:firstLine="31680" w:firstLineChars="200"/>
        <w:rPr>
          <w:rFonts w:eastAsia="仿宋_GB2312"/>
          <w:color w:val="000000"/>
          <w:sz w:val="32"/>
          <w:szCs w:val="32"/>
        </w:rPr>
      </w:pPr>
      <w:r>
        <w:rPr>
          <w:rFonts w:ascii="仿宋_GB2312" w:eastAsia="仿宋_GB2312" w:cs="仿宋_GB2312"/>
          <w:color w:val="000000"/>
          <w:sz w:val="32"/>
          <w:szCs w:val="32"/>
        </w:rPr>
        <w:t>6.</w:t>
      </w:r>
      <w:r>
        <w:rPr>
          <w:rFonts w:hint="eastAsia" w:eastAsia="仿宋_GB2312" w:cs="仿宋_GB2312"/>
          <w:color w:val="000000"/>
          <w:sz w:val="32"/>
          <w:szCs w:val="32"/>
        </w:rPr>
        <w:t>社会保障和就业支出：指反映政府在社会保障与就业方面的支出。</w:t>
      </w:r>
    </w:p>
    <w:p>
      <w:pPr>
        <w:spacing w:line="560" w:lineRule="exact"/>
        <w:ind w:firstLine="3168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1</w:t>
      </w:r>
      <w:r>
        <w:rPr>
          <w:rFonts w:hint="eastAsia" w:eastAsia="仿宋_GB2312" w:cs="仿宋_GB2312"/>
          <w:color w:val="000000"/>
          <w:sz w:val="32"/>
          <w:szCs w:val="32"/>
        </w:rPr>
        <w:t>）机关事业单位基本养老保险缴费支出：指反映机关单位实施养老保险制度由单位缴纳的基本养老保险费支出。</w:t>
      </w:r>
    </w:p>
    <w:p>
      <w:pPr>
        <w:spacing w:line="560" w:lineRule="exact"/>
        <w:ind w:firstLine="31680" w:firstLineChars="200"/>
        <w:rPr>
          <w:rFonts w:eastAsia="仿宋_GB2312"/>
          <w:color w:val="000000"/>
          <w:sz w:val="32"/>
          <w:szCs w:val="32"/>
        </w:rPr>
      </w:pPr>
      <w:r>
        <w:rPr>
          <w:rFonts w:ascii="仿宋_GB2312" w:eastAsia="仿宋_GB2312" w:cs="仿宋_GB2312"/>
          <w:color w:val="000000"/>
          <w:sz w:val="32"/>
          <w:szCs w:val="32"/>
        </w:rPr>
        <w:t>7.</w:t>
      </w:r>
      <w:r>
        <w:rPr>
          <w:rFonts w:hint="eastAsia" w:eastAsia="仿宋_GB2312" w:cs="仿宋_GB2312"/>
          <w:color w:val="000000"/>
          <w:sz w:val="32"/>
          <w:szCs w:val="32"/>
        </w:rPr>
        <w:t>医疗卫生与计划生育支出：指反映政府医疗卫生与计划生育管理方面的支出。</w:t>
      </w:r>
    </w:p>
    <w:p>
      <w:pPr>
        <w:spacing w:line="560" w:lineRule="exact"/>
        <w:ind w:firstLine="3168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1</w:t>
      </w:r>
      <w:r>
        <w:rPr>
          <w:rFonts w:hint="eastAsia" w:eastAsia="仿宋_GB2312" w:cs="仿宋_GB2312"/>
          <w:color w:val="000000"/>
          <w:sz w:val="32"/>
          <w:szCs w:val="32"/>
        </w:rPr>
        <w:t>）行政单位医疗：指反映财政部门安排的行政单位基本医疗保险缴费经费。</w:t>
      </w:r>
    </w:p>
    <w:p>
      <w:pPr>
        <w:spacing w:line="560" w:lineRule="exact"/>
        <w:ind w:firstLine="31680" w:firstLineChars="200"/>
        <w:rPr>
          <w:rFonts w:eastAsia="仿宋_GB2312"/>
          <w:color w:val="000000"/>
          <w:sz w:val="32"/>
          <w:szCs w:val="32"/>
        </w:rPr>
      </w:pPr>
      <w:r>
        <w:rPr>
          <w:rFonts w:ascii="仿宋_GB2312" w:eastAsia="仿宋_GB2312" w:cs="仿宋_GB2312"/>
          <w:color w:val="000000"/>
          <w:sz w:val="32"/>
          <w:szCs w:val="32"/>
        </w:rPr>
        <w:t>8.</w:t>
      </w:r>
      <w:r>
        <w:rPr>
          <w:rFonts w:hint="eastAsia" w:eastAsia="仿宋_GB2312" w:cs="仿宋_GB2312"/>
          <w:color w:val="000000"/>
          <w:sz w:val="32"/>
          <w:szCs w:val="32"/>
        </w:rPr>
        <w:t>住房保障支出：指集中反映政府用于住房方面的支出。</w:t>
      </w:r>
    </w:p>
    <w:p>
      <w:pPr>
        <w:spacing w:line="560" w:lineRule="exact"/>
        <w:ind w:firstLine="31680" w:firstLineChars="200"/>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1</w:t>
      </w:r>
      <w:r>
        <w:rPr>
          <w:rFonts w:hint="eastAsia" w:eastAsia="仿宋_GB2312" w:cs="仿宋_GB2312"/>
          <w:color w:val="000000"/>
          <w:sz w:val="32"/>
          <w:szCs w:val="32"/>
        </w:rPr>
        <w:t>）住房公积金：指反映行政事业单位按人力资源和社会保障部、财政部规定的基本工资和津贴补贴以及规定比例为职工缴纳的住房公积金。</w:t>
      </w:r>
    </w:p>
    <w:p>
      <w:pPr>
        <w:spacing w:line="560" w:lineRule="exact"/>
        <w:ind w:firstLine="31680" w:firstLineChars="200"/>
        <w:rPr>
          <w:rFonts w:eastAsia="仿宋_GB2312"/>
          <w:color w:val="000000"/>
          <w:sz w:val="32"/>
          <w:szCs w:val="32"/>
        </w:rPr>
      </w:pPr>
      <w:r>
        <w:rPr>
          <w:rFonts w:hint="eastAsia" w:eastAsia="仿宋_GB2312" w:cs="仿宋_GB2312"/>
          <w:color w:val="000000"/>
          <w:sz w:val="32"/>
          <w:szCs w:val="32"/>
        </w:rPr>
        <w:t>基本支出：指为保障机构正常运转、完成日常工作任务而发生的人员支出和公用支出。</w:t>
      </w:r>
    </w:p>
    <w:p>
      <w:pPr>
        <w:spacing w:line="560" w:lineRule="exact"/>
        <w:ind w:firstLine="31680" w:firstLineChars="200"/>
        <w:rPr>
          <w:rFonts w:eastAsia="仿宋_GB2312"/>
          <w:color w:val="000000"/>
          <w:sz w:val="32"/>
          <w:szCs w:val="32"/>
        </w:rPr>
      </w:pPr>
      <w:r>
        <w:rPr>
          <w:rFonts w:eastAsia="仿宋_GB2312"/>
          <w:color w:val="000000"/>
          <w:sz w:val="32"/>
          <w:szCs w:val="32"/>
        </w:rPr>
        <w:t>9.</w:t>
      </w:r>
      <w:r>
        <w:rPr>
          <w:rFonts w:hint="eastAsia" w:eastAsia="仿宋_GB2312" w:cs="仿宋_GB2312"/>
          <w:color w:val="000000"/>
          <w:sz w:val="32"/>
          <w:szCs w:val="32"/>
        </w:rPr>
        <w:t>项目支出：指在基本支出之外为完成特定行政任务和事业发展目标所发生的支出。</w:t>
      </w:r>
      <w:r>
        <w:rPr>
          <w:rFonts w:eastAsia="仿宋_GB2312"/>
          <w:color w:val="000000"/>
          <w:sz w:val="32"/>
          <w:szCs w:val="32"/>
        </w:rPr>
        <w:t xml:space="preserve"> </w:t>
      </w:r>
    </w:p>
    <w:p>
      <w:pPr>
        <w:pStyle w:val="26"/>
        <w:spacing w:line="560" w:lineRule="exact"/>
        <w:ind w:firstLine="3168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经费：纳入省级财政预决算管理的</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6"/>
        <w:spacing w:line="560" w:lineRule="exact"/>
        <w:ind w:firstLine="31680" w:firstLineChars="200"/>
        <w:rPr>
          <w:rFonts w:ascii="Times New Roman" w:hAnsi="Times New Roman" w:eastAsia="仿宋_GB2312" w:cs="Times New Roman"/>
          <w:b/>
          <w:bCs/>
          <w:color w:val="FF6600"/>
          <w:sz w:val="44"/>
          <w:szCs w:val="44"/>
        </w:rPr>
      </w:pPr>
      <w:r>
        <w:rPr>
          <w:rFonts w:ascii="Times New Roman" w:hAnsi="Times New Roman" w:eastAsia="仿宋_GB2312" w:cs="Times New Roman"/>
          <w:sz w:val="32"/>
          <w:szCs w:val="32"/>
        </w:rPr>
        <w:t>11.</w:t>
      </w:r>
      <w:r>
        <w:rPr>
          <w:rFonts w:hint="eastAsia" w:ascii="Times New Roman" w:hAnsi="Times New Roman"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both"/>
        <w:outlineLvl w:val="0"/>
        <w:rPr>
          <w:rStyle w:val="16"/>
          <w:rFonts w:ascii="黑体" w:hAnsi="黑体" w:eastAsia="黑体"/>
          <w:b w:val="0"/>
          <w:bCs w:val="0"/>
        </w:rPr>
      </w:pPr>
      <w:bookmarkStart w:id="57" w:name="_Toc15396614"/>
      <w:bookmarkStart w:id="58" w:name="_Toc15377226"/>
      <w:r>
        <w:rPr>
          <w:rFonts w:hint="eastAsia" w:ascii="黑体" w:hAnsi="黑体" w:eastAsia="黑体" w:cs="黑体"/>
          <w:color w:val="000000"/>
          <w:sz w:val="44"/>
          <w:szCs w:val="44"/>
          <w:lang w:val="en-US" w:eastAsia="zh-CN"/>
        </w:rPr>
        <w:t xml:space="preserve">             </w:t>
      </w:r>
      <w:r>
        <w:rPr>
          <w:rFonts w:hint="eastAsia" w:ascii="黑体" w:hAnsi="黑体" w:eastAsia="黑体" w:cs="黑体"/>
          <w:color w:val="000000"/>
          <w:sz w:val="44"/>
          <w:szCs w:val="44"/>
        </w:rPr>
        <w:t>第</w:t>
      </w:r>
      <w:r>
        <w:rPr>
          <w:rStyle w:val="16"/>
          <w:rFonts w:hint="eastAsia" w:ascii="黑体" w:hAnsi="黑体" w:eastAsia="黑体" w:cs="黑体"/>
          <w:b w:val="0"/>
          <w:bCs w:val="0"/>
        </w:rPr>
        <w:t>四部分</w:t>
      </w:r>
      <w:r>
        <w:rPr>
          <w:rStyle w:val="16"/>
          <w:rFonts w:ascii="黑体" w:hAnsi="黑体" w:eastAsia="黑体" w:cs="黑体"/>
          <w:b w:val="0"/>
          <w:bCs w:val="0"/>
        </w:rPr>
        <w:t xml:space="preserve"> </w:t>
      </w:r>
      <w:r>
        <w:rPr>
          <w:rStyle w:val="16"/>
          <w:rFonts w:hint="eastAsia" w:ascii="黑体" w:hAnsi="黑体" w:eastAsia="黑体" w:cs="黑体"/>
          <w:b w:val="0"/>
          <w:bCs w:val="0"/>
        </w:rPr>
        <w:t>附件</w:t>
      </w:r>
      <w:bookmarkEnd w:id="57"/>
    </w:p>
    <w:p>
      <w:pPr>
        <w:spacing w:line="600" w:lineRule="exact"/>
        <w:jc w:val="center"/>
        <w:outlineLvl w:val="0"/>
        <w:rPr>
          <w:rStyle w:val="16"/>
        </w:rPr>
      </w:pPr>
    </w:p>
    <w:p>
      <w:pPr>
        <w:pStyle w:val="3"/>
        <w:rPr>
          <w:rStyle w:val="16"/>
          <w:rFonts w:ascii="仿宋" w:hAnsi="仿宋" w:eastAsia="仿宋" w:cs="仿宋"/>
          <w:b w:val="0"/>
          <w:bCs w:val="0"/>
          <w:sz w:val="32"/>
          <w:szCs w:val="32"/>
        </w:rPr>
      </w:pPr>
      <w:bookmarkStart w:id="59" w:name="_Toc15396615"/>
      <w:r>
        <w:rPr>
          <w:rStyle w:val="16"/>
          <w:rFonts w:hint="eastAsia" w:ascii="仿宋" w:hAnsi="仿宋" w:eastAsia="仿宋" w:cs="仿宋"/>
          <w:b w:val="0"/>
          <w:bCs w:val="0"/>
          <w:sz w:val="32"/>
          <w:szCs w:val="32"/>
        </w:rPr>
        <w:t>附件</w:t>
      </w:r>
      <w:r>
        <w:rPr>
          <w:rStyle w:val="16"/>
          <w:rFonts w:ascii="仿宋" w:hAnsi="仿宋" w:eastAsia="仿宋" w:cs="仿宋"/>
          <w:b w:val="0"/>
          <w:bCs w:val="0"/>
          <w:sz w:val="32"/>
          <w:szCs w:val="32"/>
        </w:rPr>
        <w:t>1</w:t>
      </w:r>
      <w:bookmarkEnd w:id="59"/>
    </w:p>
    <w:p>
      <w:pPr>
        <w:spacing w:line="600" w:lineRule="exact"/>
        <w:jc w:val="center"/>
        <w:outlineLvl w:val="0"/>
        <w:rPr>
          <w:rFonts w:ascii="黑体" w:hAnsi="黑体" w:eastAsia="黑体"/>
          <w:sz w:val="36"/>
          <w:szCs w:val="36"/>
        </w:rPr>
      </w:pPr>
      <w:bookmarkStart w:id="60" w:name="_Toc15396616"/>
      <w:r>
        <w:rPr>
          <w:rFonts w:hint="eastAsia" w:ascii="黑体" w:hAnsi="黑体" w:eastAsia="黑体" w:cs="黑体"/>
          <w:sz w:val="36"/>
          <w:szCs w:val="36"/>
        </w:rPr>
        <w:t>中国共产党井研县委员会人民政府接待办公室部门</w:t>
      </w:r>
      <w:r>
        <w:rPr>
          <w:rFonts w:ascii="黑体" w:hAnsi="黑体" w:eastAsia="黑体" w:cs="黑体"/>
          <w:sz w:val="36"/>
          <w:szCs w:val="36"/>
        </w:rPr>
        <w:t>2018</w:t>
      </w:r>
      <w:r>
        <w:rPr>
          <w:rFonts w:hint="eastAsia" w:ascii="黑体" w:hAnsi="黑体" w:eastAsia="黑体" w:cs="黑体"/>
          <w:sz w:val="36"/>
          <w:szCs w:val="36"/>
        </w:rPr>
        <w:t>年部门整体支出绩效评价报告</w:t>
      </w:r>
      <w:bookmarkEnd w:id="60"/>
    </w:p>
    <w:p>
      <w:pPr>
        <w:spacing w:line="580" w:lineRule="exact"/>
        <w:ind w:firstLine="31680" w:firstLineChars="200"/>
        <w:rPr>
          <w:rFonts w:ascii="黑体" w:hAnsi="黑体" w:eastAsia="黑体"/>
          <w:sz w:val="32"/>
          <w:szCs w:val="32"/>
        </w:rPr>
      </w:pPr>
    </w:p>
    <w:p>
      <w:pPr>
        <w:spacing w:line="580" w:lineRule="exact"/>
        <w:ind w:firstLine="31680" w:firstLineChars="200"/>
        <w:rPr>
          <w:rFonts w:ascii="黑体" w:hAnsi="黑体" w:eastAsia="黑体"/>
          <w:sz w:val="32"/>
          <w:szCs w:val="32"/>
        </w:rPr>
      </w:pPr>
      <w:r>
        <w:rPr>
          <w:rFonts w:hint="eastAsia" w:ascii="黑体" w:hAnsi="黑体" w:eastAsia="黑体" w:cs="黑体"/>
          <w:sz w:val="32"/>
          <w:szCs w:val="32"/>
        </w:rPr>
        <w:t>一、部门（单位）概况</w:t>
      </w:r>
    </w:p>
    <w:p>
      <w:pPr>
        <w:spacing w:line="580" w:lineRule="exact"/>
        <w:ind w:firstLine="31680" w:firstLineChars="200"/>
        <w:rPr>
          <w:rFonts w:ascii="仿宋" w:hAnsi="仿宋" w:eastAsia="仿宋"/>
          <w:sz w:val="32"/>
          <w:szCs w:val="32"/>
        </w:rPr>
      </w:pPr>
      <w:r>
        <w:rPr>
          <w:rFonts w:hint="eastAsia" w:ascii="仿宋" w:hAnsi="仿宋" w:eastAsia="仿宋" w:cs="仿宋"/>
          <w:sz w:val="32"/>
          <w:szCs w:val="32"/>
        </w:rPr>
        <w:t>（一）机构组成。</w:t>
      </w:r>
    </w:p>
    <w:p>
      <w:pPr>
        <w:spacing w:line="560" w:lineRule="exact"/>
        <w:ind w:firstLine="31680" w:firstLineChars="200"/>
        <w:rPr>
          <w:rFonts w:ascii="仿宋" w:hAnsi="仿宋" w:eastAsia="仿宋"/>
          <w:sz w:val="32"/>
          <w:szCs w:val="32"/>
        </w:rPr>
      </w:pPr>
      <w:r>
        <w:rPr>
          <w:rFonts w:hint="eastAsia" w:eastAsia="仿宋_GB2312" w:cs="仿宋_GB2312"/>
          <w:sz w:val="32"/>
          <w:szCs w:val="32"/>
        </w:rPr>
        <w:t>机构情况：机构情况：</w:t>
      </w:r>
      <w:r>
        <w:rPr>
          <w:rFonts w:eastAsia="仿宋_GB2312"/>
          <w:sz w:val="32"/>
          <w:szCs w:val="32"/>
        </w:rPr>
        <w:t> </w:t>
      </w:r>
      <w:r>
        <w:rPr>
          <w:rFonts w:hint="eastAsia" w:eastAsia="仿宋_GB2312" w:cs="仿宋_GB2312"/>
          <w:sz w:val="32"/>
          <w:szCs w:val="32"/>
        </w:rPr>
        <w:t>核定编制</w:t>
      </w:r>
      <w:r>
        <w:rPr>
          <w:rFonts w:eastAsia="仿宋_GB2312"/>
          <w:sz w:val="32"/>
          <w:szCs w:val="32"/>
        </w:rPr>
        <w:t>7</w:t>
      </w:r>
      <w:r>
        <w:rPr>
          <w:rFonts w:hint="eastAsia" w:eastAsia="仿宋_GB2312" w:cs="仿宋_GB2312"/>
          <w:sz w:val="32"/>
          <w:szCs w:val="32"/>
        </w:rPr>
        <w:t>人，其中行政编制</w:t>
      </w:r>
      <w:r>
        <w:rPr>
          <w:rFonts w:eastAsia="仿宋_GB2312"/>
          <w:sz w:val="32"/>
          <w:szCs w:val="32"/>
        </w:rPr>
        <w:t>2</w:t>
      </w:r>
      <w:r>
        <w:rPr>
          <w:rFonts w:hint="eastAsia" w:eastAsia="仿宋_GB2312" w:cs="仿宋_GB2312"/>
          <w:sz w:val="32"/>
          <w:szCs w:val="32"/>
        </w:rPr>
        <w:t>人，工勤</w:t>
      </w:r>
      <w:r>
        <w:rPr>
          <w:rFonts w:eastAsia="仿宋_GB2312"/>
          <w:sz w:val="32"/>
          <w:szCs w:val="32"/>
        </w:rPr>
        <w:t>2</w:t>
      </w:r>
      <w:r>
        <w:rPr>
          <w:rFonts w:hint="eastAsia" w:eastAsia="仿宋_GB2312" w:cs="仿宋_GB2312"/>
          <w:sz w:val="32"/>
          <w:szCs w:val="32"/>
        </w:rPr>
        <w:t>人，事编</w:t>
      </w:r>
      <w:r>
        <w:rPr>
          <w:rFonts w:eastAsia="仿宋_GB2312"/>
          <w:sz w:val="32"/>
          <w:szCs w:val="32"/>
        </w:rPr>
        <w:t>3</w:t>
      </w:r>
      <w:r>
        <w:rPr>
          <w:rFonts w:hint="eastAsia" w:eastAsia="仿宋_GB2312" w:cs="仿宋_GB2312"/>
          <w:sz w:val="32"/>
          <w:szCs w:val="32"/>
        </w:rPr>
        <w:t>人，比上年相比无变化。</w:t>
      </w:r>
    </w:p>
    <w:p>
      <w:pPr>
        <w:numPr>
          <w:ilvl w:val="0"/>
          <w:numId w:val="8"/>
        </w:numPr>
        <w:spacing w:line="580" w:lineRule="exact"/>
        <w:ind w:firstLine="31680" w:firstLineChars="200"/>
        <w:rPr>
          <w:rFonts w:ascii="仿宋" w:hAnsi="仿宋" w:eastAsia="仿宋"/>
          <w:sz w:val="32"/>
          <w:szCs w:val="32"/>
        </w:rPr>
      </w:pPr>
      <w:r>
        <w:rPr>
          <w:rFonts w:hint="eastAsia" w:ascii="仿宋" w:hAnsi="仿宋" w:eastAsia="仿宋" w:cs="仿宋"/>
          <w:sz w:val="32"/>
          <w:szCs w:val="32"/>
        </w:rPr>
        <w:t>机构职能。</w:t>
      </w:r>
    </w:p>
    <w:p>
      <w:pPr>
        <w:snapToGrid w:val="0"/>
        <w:spacing w:line="560" w:lineRule="exact"/>
        <w:ind w:firstLine="31680" w:firstLineChars="200"/>
        <w:rPr>
          <w:rFonts w:ascii="仿宋" w:hAnsi="仿宋" w:eastAsia="仿宋"/>
          <w:sz w:val="32"/>
          <w:szCs w:val="32"/>
        </w:rPr>
      </w:pPr>
      <w:r>
        <w:rPr>
          <w:rFonts w:hint="eastAsia" w:eastAsia="仿宋_GB2312" w:cs="仿宋_GB2312"/>
          <w:sz w:val="32"/>
          <w:szCs w:val="32"/>
        </w:rPr>
        <w:t>主要职能：负责县委、县人大、县政府、县政协的接待工作，安排内宾的食宿、交通以及参观、考察、会议、洽谈活动；负责协调组织县级关于部门介绍情况、汇报工作。</w:t>
      </w:r>
    </w:p>
    <w:p>
      <w:pPr>
        <w:numPr>
          <w:ilvl w:val="0"/>
          <w:numId w:val="9"/>
        </w:numPr>
        <w:spacing w:line="580" w:lineRule="exact"/>
        <w:ind w:firstLine="31680" w:firstLineChars="200"/>
        <w:rPr>
          <w:rFonts w:ascii="仿宋" w:hAnsi="仿宋" w:eastAsia="仿宋"/>
          <w:sz w:val="32"/>
          <w:szCs w:val="32"/>
        </w:rPr>
      </w:pPr>
      <w:r>
        <w:rPr>
          <w:rFonts w:hint="eastAsia" w:ascii="仿宋" w:hAnsi="仿宋" w:eastAsia="仿宋" w:cs="仿宋"/>
          <w:sz w:val="32"/>
          <w:szCs w:val="32"/>
        </w:rPr>
        <w:t>人员概况。</w:t>
      </w:r>
    </w:p>
    <w:p>
      <w:pPr>
        <w:snapToGrid w:val="0"/>
        <w:spacing w:line="560" w:lineRule="exact"/>
        <w:ind w:firstLine="31680" w:firstLineChars="200"/>
        <w:rPr>
          <w:rFonts w:ascii="仿宋_GB2312" w:hAnsi="宋体"/>
          <w:lang w:val="zh-CN"/>
        </w:rPr>
      </w:pPr>
      <w:r>
        <w:rPr>
          <w:rFonts w:ascii="仿宋_GB2312" w:hAnsi="宋体" w:cs="仿宋_GB2312"/>
          <w:lang w:val="zh-CN"/>
        </w:rPr>
        <w:t xml:space="preserve"> </w:t>
      </w:r>
      <w:r>
        <w:rPr>
          <w:rFonts w:hint="eastAsia" w:eastAsia="仿宋_GB2312" w:cs="仿宋_GB2312"/>
          <w:sz w:val="32"/>
          <w:szCs w:val="32"/>
        </w:rPr>
        <w:t>人员情况：现有在编在岗人员</w:t>
      </w:r>
      <w:r>
        <w:rPr>
          <w:rFonts w:eastAsia="仿宋_GB2312"/>
          <w:sz w:val="32"/>
          <w:szCs w:val="32"/>
        </w:rPr>
        <w:t>3</w:t>
      </w:r>
      <w:r>
        <w:rPr>
          <w:rFonts w:hint="eastAsia" w:eastAsia="仿宋_GB2312" w:cs="仿宋_GB2312"/>
          <w:sz w:val="32"/>
          <w:szCs w:val="32"/>
        </w:rPr>
        <w:t>人，其中行编</w:t>
      </w:r>
      <w:r>
        <w:rPr>
          <w:rFonts w:eastAsia="仿宋_GB2312"/>
          <w:sz w:val="32"/>
          <w:szCs w:val="32"/>
        </w:rPr>
        <w:t>2</w:t>
      </w:r>
      <w:r>
        <w:rPr>
          <w:rFonts w:hint="eastAsia" w:eastAsia="仿宋_GB2312" w:cs="仿宋_GB2312"/>
          <w:sz w:val="32"/>
          <w:szCs w:val="32"/>
        </w:rPr>
        <w:t>人，工勤</w:t>
      </w:r>
      <w:r>
        <w:rPr>
          <w:rFonts w:eastAsia="仿宋_GB2312"/>
          <w:sz w:val="32"/>
          <w:szCs w:val="32"/>
        </w:rPr>
        <w:t>1</w:t>
      </w:r>
      <w:r>
        <w:rPr>
          <w:rFonts w:hint="eastAsia" w:eastAsia="仿宋_GB2312" w:cs="仿宋_GB2312"/>
          <w:sz w:val="32"/>
          <w:szCs w:val="32"/>
        </w:rPr>
        <w:t>人。与去年相比，行编增加</w:t>
      </w:r>
      <w:r>
        <w:rPr>
          <w:rFonts w:eastAsia="仿宋_GB2312"/>
          <w:sz w:val="32"/>
          <w:szCs w:val="32"/>
        </w:rPr>
        <w:t>1</w:t>
      </w:r>
      <w:r>
        <w:rPr>
          <w:rFonts w:hint="eastAsia" w:eastAsia="仿宋_GB2312" w:cs="仿宋_GB2312"/>
          <w:sz w:val="32"/>
          <w:szCs w:val="32"/>
        </w:rPr>
        <w:t>人，为</w:t>
      </w:r>
      <w:r>
        <w:rPr>
          <w:rFonts w:eastAsia="仿宋_GB2312"/>
          <w:sz w:val="32"/>
          <w:szCs w:val="32"/>
        </w:rPr>
        <w:t>2018</w:t>
      </w:r>
      <w:r>
        <w:rPr>
          <w:rFonts w:hint="eastAsia" w:eastAsia="仿宋_GB2312" w:cs="仿宋_GB2312"/>
          <w:sz w:val="32"/>
          <w:szCs w:val="32"/>
        </w:rPr>
        <w:t>年</w:t>
      </w:r>
      <w:r>
        <w:rPr>
          <w:rFonts w:eastAsia="仿宋_GB2312"/>
          <w:sz w:val="32"/>
          <w:szCs w:val="32"/>
        </w:rPr>
        <w:t>10</w:t>
      </w:r>
      <w:r>
        <w:rPr>
          <w:rFonts w:hint="eastAsia" w:eastAsia="仿宋_GB2312" w:cs="仿宋_GB2312"/>
          <w:sz w:val="32"/>
          <w:szCs w:val="32"/>
        </w:rPr>
        <w:t>月从农委办调入我办；事编减少</w:t>
      </w:r>
      <w:r>
        <w:rPr>
          <w:rFonts w:eastAsia="仿宋_GB2312"/>
          <w:sz w:val="32"/>
          <w:szCs w:val="32"/>
        </w:rPr>
        <w:t>1</w:t>
      </w:r>
      <w:r>
        <w:rPr>
          <w:rFonts w:hint="eastAsia" w:eastAsia="仿宋_GB2312" w:cs="仿宋_GB2312"/>
          <w:sz w:val="32"/>
          <w:szCs w:val="32"/>
        </w:rPr>
        <w:t>人，从我办调到井研县研城镇。</w:t>
      </w:r>
    </w:p>
    <w:p>
      <w:pPr>
        <w:spacing w:line="580" w:lineRule="exact"/>
        <w:ind w:firstLine="31680" w:firstLineChars="200"/>
        <w:rPr>
          <w:rFonts w:ascii="黑体" w:hAnsi="黑体" w:eastAsia="黑体"/>
          <w:sz w:val="32"/>
          <w:szCs w:val="32"/>
        </w:rPr>
      </w:pPr>
      <w:r>
        <w:rPr>
          <w:rFonts w:hint="eastAsia" w:ascii="黑体" w:hAnsi="黑体" w:eastAsia="黑体" w:cs="黑体"/>
          <w:sz w:val="32"/>
          <w:szCs w:val="32"/>
        </w:rPr>
        <w:t>二、部门财政资金收支情况</w:t>
      </w:r>
    </w:p>
    <w:p>
      <w:pPr>
        <w:spacing w:line="580" w:lineRule="exact"/>
        <w:ind w:firstLine="31680" w:firstLineChars="200"/>
        <w:rPr>
          <w:rFonts w:ascii="仿宋" w:hAnsi="仿宋" w:eastAsia="仿宋"/>
          <w:sz w:val="32"/>
          <w:szCs w:val="32"/>
        </w:rPr>
      </w:pPr>
      <w:r>
        <w:rPr>
          <w:rFonts w:hint="eastAsia" w:ascii="仿宋" w:hAnsi="仿宋" w:eastAsia="仿宋" w:cs="仿宋"/>
          <w:sz w:val="32"/>
          <w:szCs w:val="32"/>
        </w:rPr>
        <w:t>（一）部门财政资金收入情况。</w:t>
      </w:r>
    </w:p>
    <w:p>
      <w:pPr>
        <w:spacing w:line="560" w:lineRule="exact"/>
        <w:ind w:firstLine="640"/>
        <w:rPr>
          <w:rFonts w:eastAsia="仿宋_GB2312"/>
          <w:color w:val="000000"/>
          <w:sz w:val="32"/>
          <w:szCs w:val="32"/>
        </w:rPr>
      </w:pPr>
      <w:r>
        <w:rPr>
          <w:rFonts w:eastAsia="仿宋_GB2312"/>
          <w:color w:val="000000"/>
          <w:sz w:val="32"/>
          <w:szCs w:val="32"/>
        </w:rPr>
        <w:t>2018</w:t>
      </w:r>
      <w:r>
        <w:rPr>
          <w:rFonts w:hint="eastAsia" w:eastAsia="仿宋_GB2312" w:cs="仿宋_GB2312"/>
          <w:color w:val="000000"/>
          <w:sz w:val="32"/>
          <w:szCs w:val="32"/>
        </w:rPr>
        <w:t>年</w:t>
      </w:r>
      <w:r>
        <w:rPr>
          <w:rFonts w:hint="eastAsia" w:ascii="仿宋_GB2312" w:eastAsia="仿宋_GB2312" w:cs="仿宋_GB2312"/>
          <w:color w:val="000000"/>
          <w:sz w:val="32"/>
          <w:szCs w:val="32"/>
        </w:rPr>
        <w:t>中国共产党井研县委员会人民政府接待办公室</w:t>
      </w:r>
      <w:r>
        <w:rPr>
          <w:rFonts w:hint="eastAsia" w:eastAsia="仿宋_GB2312" w:cs="仿宋_GB2312"/>
          <w:color w:val="000000"/>
          <w:sz w:val="32"/>
          <w:szCs w:val="32"/>
        </w:rPr>
        <w:t>本年收入合计</w:t>
      </w:r>
      <w:r>
        <w:rPr>
          <w:rFonts w:eastAsia="仿宋_GB2312"/>
          <w:color w:val="000000"/>
          <w:sz w:val="32"/>
          <w:szCs w:val="32"/>
        </w:rPr>
        <w:t>164.18</w:t>
      </w:r>
      <w:r>
        <w:rPr>
          <w:rFonts w:hint="eastAsia" w:eastAsia="仿宋_GB2312" w:cs="仿宋_GB2312"/>
          <w:color w:val="000000"/>
          <w:sz w:val="32"/>
          <w:szCs w:val="32"/>
        </w:rPr>
        <w:t>万元，其中：一般公共预算财政拨款收入</w:t>
      </w:r>
      <w:r>
        <w:rPr>
          <w:rFonts w:eastAsia="仿宋_GB2312"/>
          <w:color w:val="000000"/>
          <w:sz w:val="32"/>
          <w:szCs w:val="32"/>
        </w:rPr>
        <w:t>24.18</w:t>
      </w:r>
      <w:r>
        <w:rPr>
          <w:rFonts w:hint="eastAsia" w:eastAsia="仿宋_GB2312" w:cs="仿宋_GB2312"/>
          <w:color w:val="000000"/>
          <w:sz w:val="32"/>
          <w:szCs w:val="32"/>
        </w:rPr>
        <w:t>万元，占</w:t>
      </w:r>
      <w:r>
        <w:rPr>
          <w:rFonts w:eastAsia="仿宋_GB2312"/>
          <w:color w:val="000000"/>
          <w:sz w:val="32"/>
          <w:szCs w:val="32"/>
        </w:rPr>
        <w:t>15%</w:t>
      </w:r>
      <w:r>
        <w:rPr>
          <w:rFonts w:hint="eastAsia" w:eastAsia="仿宋_GB2312" w:cs="仿宋_GB2312"/>
          <w:color w:val="000000"/>
          <w:sz w:val="32"/>
          <w:szCs w:val="32"/>
        </w:rPr>
        <w:t>，政府性基金预算财政拨款收入</w:t>
      </w:r>
      <w:r>
        <w:rPr>
          <w:rFonts w:eastAsia="仿宋_GB2312"/>
          <w:color w:val="000000"/>
          <w:sz w:val="32"/>
          <w:szCs w:val="32"/>
        </w:rPr>
        <w:t>140</w:t>
      </w:r>
      <w:r>
        <w:rPr>
          <w:rFonts w:hint="eastAsia" w:eastAsia="仿宋_GB2312" w:cs="仿宋_GB2312"/>
          <w:color w:val="000000"/>
          <w:sz w:val="32"/>
          <w:szCs w:val="32"/>
        </w:rPr>
        <w:t>万元，占</w:t>
      </w:r>
      <w:r>
        <w:rPr>
          <w:rFonts w:eastAsia="仿宋_GB2312"/>
          <w:color w:val="000000"/>
          <w:sz w:val="32"/>
          <w:szCs w:val="32"/>
        </w:rPr>
        <w:t>85%</w:t>
      </w:r>
      <w:r>
        <w:rPr>
          <w:rFonts w:hint="eastAsia" w:eastAsia="仿宋_GB2312" w:cs="仿宋_GB2312"/>
          <w:color w:val="000000"/>
          <w:sz w:val="32"/>
          <w:szCs w:val="32"/>
        </w:rPr>
        <w:t>。</w:t>
      </w:r>
    </w:p>
    <w:p>
      <w:pPr>
        <w:spacing w:line="580" w:lineRule="exact"/>
        <w:ind w:firstLine="31680" w:firstLineChars="200"/>
        <w:rPr>
          <w:rFonts w:ascii="仿宋" w:hAnsi="仿宋" w:eastAsia="仿宋"/>
          <w:sz w:val="32"/>
          <w:szCs w:val="32"/>
        </w:rPr>
      </w:pPr>
    </w:p>
    <w:p>
      <w:pPr>
        <w:numPr>
          <w:ilvl w:val="0"/>
          <w:numId w:val="10"/>
        </w:numPr>
        <w:spacing w:line="580" w:lineRule="exact"/>
        <w:ind w:firstLine="31680" w:firstLineChars="200"/>
        <w:rPr>
          <w:rFonts w:ascii="仿宋" w:hAnsi="仿宋" w:eastAsia="仿宋"/>
          <w:sz w:val="32"/>
          <w:szCs w:val="32"/>
        </w:rPr>
      </w:pPr>
      <w:r>
        <w:rPr>
          <w:rFonts w:hint="eastAsia" w:ascii="仿宋" w:hAnsi="仿宋" w:eastAsia="仿宋" w:cs="仿宋"/>
          <w:sz w:val="32"/>
          <w:szCs w:val="32"/>
        </w:rPr>
        <w:t>部门财政资金支出情况。</w:t>
      </w:r>
    </w:p>
    <w:p>
      <w:pPr>
        <w:spacing w:line="560" w:lineRule="exact"/>
        <w:ind w:firstLine="640"/>
        <w:rPr>
          <w:rFonts w:ascii="仿宋_GB2312" w:hAnsi="Calibri"/>
        </w:rPr>
      </w:pPr>
      <w:r>
        <w:rPr>
          <w:rFonts w:eastAsia="仿宋_GB2312"/>
          <w:color w:val="000000"/>
          <w:sz w:val="32"/>
          <w:szCs w:val="32"/>
        </w:rPr>
        <w:t>2018</w:t>
      </w:r>
      <w:r>
        <w:rPr>
          <w:rFonts w:hint="eastAsia" w:eastAsia="仿宋_GB2312" w:cs="仿宋_GB2312"/>
          <w:color w:val="000000"/>
          <w:sz w:val="32"/>
          <w:szCs w:val="32"/>
        </w:rPr>
        <w:t>年</w:t>
      </w:r>
      <w:r>
        <w:rPr>
          <w:rFonts w:hint="eastAsia" w:ascii="仿宋_GB2312" w:eastAsia="仿宋_GB2312" w:cs="仿宋_GB2312"/>
          <w:color w:val="000000"/>
          <w:sz w:val="32"/>
          <w:szCs w:val="32"/>
        </w:rPr>
        <w:t>中国共产党井研县委员会人民政府接待办公室</w:t>
      </w:r>
      <w:r>
        <w:rPr>
          <w:rFonts w:hint="eastAsia" w:eastAsia="仿宋_GB2312" w:cs="仿宋_GB2312"/>
          <w:color w:val="000000"/>
          <w:sz w:val="32"/>
          <w:szCs w:val="32"/>
        </w:rPr>
        <w:t>本年支出合计</w:t>
      </w:r>
      <w:r>
        <w:rPr>
          <w:rFonts w:eastAsia="仿宋_GB2312"/>
          <w:color w:val="000000"/>
          <w:sz w:val="32"/>
          <w:szCs w:val="32"/>
        </w:rPr>
        <w:t>163.85</w:t>
      </w:r>
      <w:r>
        <w:rPr>
          <w:rFonts w:hint="eastAsia" w:eastAsia="仿宋_GB2312" w:cs="仿宋_GB2312"/>
          <w:color w:val="000000"/>
          <w:sz w:val="32"/>
          <w:szCs w:val="32"/>
        </w:rPr>
        <w:t>万元，其中：基本支出</w:t>
      </w:r>
      <w:r>
        <w:rPr>
          <w:rFonts w:eastAsia="仿宋_GB2312"/>
          <w:color w:val="000000"/>
          <w:sz w:val="32"/>
          <w:szCs w:val="32"/>
        </w:rPr>
        <w:t>23.85</w:t>
      </w:r>
      <w:r>
        <w:rPr>
          <w:rFonts w:hint="eastAsia" w:eastAsia="仿宋_GB2312" w:cs="仿宋_GB2312"/>
          <w:color w:val="000000"/>
          <w:sz w:val="32"/>
          <w:szCs w:val="32"/>
        </w:rPr>
        <w:t>万元，占</w:t>
      </w:r>
      <w:r>
        <w:rPr>
          <w:rFonts w:eastAsia="仿宋_GB2312"/>
          <w:color w:val="000000"/>
          <w:sz w:val="32"/>
          <w:szCs w:val="32"/>
        </w:rPr>
        <w:t>15%</w:t>
      </w:r>
      <w:r>
        <w:rPr>
          <w:rFonts w:hint="eastAsia" w:eastAsia="仿宋_GB2312" w:cs="仿宋_GB2312"/>
          <w:color w:val="000000"/>
          <w:sz w:val="32"/>
          <w:szCs w:val="32"/>
        </w:rPr>
        <w:t>；项目支出</w:t>
      </w:r>
      <w:r>
        <w:rPr>
          <w:rFonts w:eastAsia="仿宋_GB2312"/>
          <w:color w:val="000000"/>
          <w:sz w:val="32"/>
          <w:szCs w:val="32"/>
        </w:rPr>
        <w:t>140</w:t>
      </w:r>
      <w:r>
        <w:rPr>
          <w:rFonts w:hint="eastAsia" w:eastAsia="仿宋_GB2312" w:cs="仿宋_GB2312"/>
          <w:color w:val="000000"/>
          <w:sz w:val="32"/>
          <w:szCs w:val="32"/>
        </w:rPr>
        <w:t>万元，占</w:t>
      </w:r>
      <w:r>
        <w:rPr>
          <w:rFonts w:eastAsia="仿宋_GB2312"/>
          <w:color w:val="000000"/>
          <w:sz w:val="32"/>
          <w:szCs w:val="32"/>
        </w:rPr>
        <w:t>85%</w:t>
      </w:r>
      <w:r>
        <w:rPr>
          <w:rFonts w:hint="eastAsia" w:eastAsia="仿宋_GB2312" w:cs="仿宋_GB2312"/>
          <w:color w:val="000000"/>
          <w:sz w:val="32"/>
          <w:szCs w:val="32"/>
        </w:rPr>
        <w:t>。</w:t>
      </w:r>
    </w:p>
    <w:p>
      <w:pPr>
        <w:spacing w:line="580" w:lineRule="exact"/>
        <w:rPr>
          <w:rFonts w:ascii="仿宋" w:hAnsi="仿宋" w:eastAsia="仿宋"/>
          <w:sz w:val="32"/>
          <w:szCs w:val="32"/>
        </w:rPr>
      </w:pPr>
    </w:p>
    <w:p>
      <w:pPr>
        <w:spacing w:line="580" w:lineRule="exact"/>
        <w:ind w:firstLine="31680" w:firstLineChars="200"/>
        <w:rPr>
          <w:rFonts w:ascii="黑体" w:hAnsi="黑体" w:eastAsia="黑体"/>
          <w:sz w:val="32"/>
          <w:szCs w:val="32"/>
        </w:rPr>
      </w:pPr>
      <w:r>
        <w:rPr>
          <w:rFonts w:hint="eastAsia" w:ascii="黑体" w:hAnsi="黑体" w:eastAsia="黑体" w:cs="黑体"/>
          <w:sz w:val="32"/>
          <w:szCs w:val="32"/>
        </w:rPr>
        <w:t>三、部门整体预算绩效管理情况（根据适用指标体系进行调整）</w:t>
      </w:r>
    </w:p>
    <w:p>
      <w:pPr>
        <w:spacing w:line="580" w:lineRule="exact"/>
        <w:ind w:firstLine="31680" w:firstLineChars="200"/>
        <w:rPr>
          <w:rFonts w:ascii="仿宋" w:hAnsi="仿宋" w:eastAsia="仿宋"/>
          <w:sz w:val="32"/>
          <w:szCs w:val="32"/>
        </w:rPr>
      </w:pPr>
      <w:r>
        <w:rPr>
          <w:rFonts w:hint="eastAsia" w:ascii="仿宋" w:hAnsi="仿宋" w:eastAsia="仿宋" w:cs="仿宋"/>
          <w:sz w:val="32"/>
          <w:szCs w:val="32"/>
        </w:rPr>
        <w:t>（一）部门预算管理。</w:t>
      </w:r>
    </w:p>
    <w:p>
      <w:pPr>
        <w:spacing w:line="560" w:lineRule="exact"/>
        <w:ind w:firstLine="31680" w:firstLineChars="200"/>
        <w:rPr>
          <w:rFonts w:ascii="仿宋_GB2312" w:hAnsi="仿宋_GB2312" w:eastAsia="仿宋_GB2312"/>
          <w:sz w:val="32"/>
          <w:szCs w:val="32"/>
        </w:rPr>
      </w:pPr>
      <w:r>
        <w:rPr>
          <w:rFonts w:hint="eastAsia" w:ascii="仿宋_GB2312" w:hAnsi="仿宋_GB2312" w:eastAsia="仿宋_GB2312" w:cs="仿宋_GB2312"/>
          <w:sz w:val="32"/>
          <w:szCs w:val="32"/>
        </w:rPr>
        <w:t>强化预算执行管理，定期汇总分析，每月定期向领导汇报预算执行进度，根据执行进度合理调整预算安排，确保全年预算收支平衡，全年预算执行进度良好。</w:t>
      </w:r>
    </w:p>
    <w:p>
      <w:pPr>
        <w:spacing w:line="560" w:lineRule="exact"/>
        <w:ind w:firstLine="31680" w:firstLineChars="200"/>
        <w:rPr>
          <w:rFonts w:ascii="仿宋_GB2312" w:hAnsi="仿宋_GB2312" w:eastAsia="仿宋_GB2312"/>
          <w:sz w:val="32"/>
          <w:szCs w:val="32"/>
        </w:rPr>
      </w:pPr>
      <w:r>
        <w:rPr>
          <w:rFonts w:hint="eastAsia" w:ascii="仿宋_GB2312" w:hAnsi="仿宋_GB2312" w:eastAsia="仿宋_GB2312" w:cs="仿宋_GB2312"/>
          <w:sz w:val="32"/>
          <w:szCs w:val="32"/>
        </w:rPr>
        <w:t>严格控制三公经费，严格执行“三公经费”预算，认真贯彻落实中央八项规定和省、市、县十项规定，严格控制公车运行费和公务接待费支出。</w:t>
      </w:r>
    </w:p>
    <w:p>
      <w:pPr>
        <w:spacing w:line="580" w:lineRule="exact"/>
        <w:ind w:firstLine="31680" w:firstLineChars="200"/>
        <w:rPr>
          <w:rFonts w:ascii="仿宋" w:hAnsi="仿宋" w:eastAsia="仿宋"/>
          <w:sz w:val="32"/>
          <w:szCs w:val="32"/>
        </w:rPr>
      </w:pPr>
      <w:r>
        <w:rPr>
          <w:rFonts w:hint="eastAsia" w:ascii="仿宋" w:hAnsi="仿宋" w:eastAsia="仿宋" w:cs="仿宋"/>
          <w:sz w:val="32"/>
          <w:szCs w:val="32"/>
        </w:rPr>
        <w:t>（二）专项预算管理。</w:t>
      </w:r>
    </w:p>
    <w:p>
      <w:pPr>
        <w:spacing w:line="580" w:lineRule="exact"/>
        <w:ind w:firstLine="31680" w:firstLineChars="200"/>
        <w:rPr>
          <w:rFonts w:eastAsia="仿宋_GB2312"/>
          <w:color w:val="000000"/>
          <w:sz w:val="32"/>
          <w:szCs w:val="32"/>
        </w:rPr>
      </w:pPr>
      <w:r>
        <w:rPr>
          <w:rFonts w:hint="eastAsia" w:eastAsia="仿宋_GB2312" w:cs="仿宋_GB2312"/>
          <w:color w:val="000000"/>
          <w:sz w:val="32"/>
          <w:szCs w:val="32"/>
        </w:rPr>
        <w:t>按照预算绩效管理要求，本部门对</w:t>
      </w:r>
      <w:r>
        <w:rPr>
          <w:rFonts w:eastAsia="仿宋_GB2312"/>
          <w:color w:val="000000"/>
          <w:sz w:val="32"/>
          <w:szCs w:val="32"/>
        </w:rPr>
        <w:t>2018</w:t>
      </w:r>
      <w:r>
        <w:rPr>
          <w:rFonts w:hint="eastAsia" w:eastAsia="仿宋_GB2312" w:cs="仿宋_GB2312"/>
          <w:color w:val="000000"/>
          <w:sz w:val="32"/>
          <w:szCs w:val="32"/>
        </w:rPr>
        <w:t>年一般公共预算项目支出开展了绩效目标管理，共编制绩效目标</w:t>
      </w:r>
      <w:r>
        <w:rPr>
          <w:rFonts w:eastAsia="仿宋_GB2312"/>
          <w:color w:val="000000"/>
          <w:sz w:val="32"/>
          <w:szCs w:val="32"/>
        </w:rPr>
        <w:t>4</w:t>
      </w:r>
      <w:r>
        <w:rPr>
          <w:rFonts w:hint="eastAsia" w:eastAsia="仿宋_GB2312" w:cs="仿宋_GB2312"/>
          <w:color w:val="000000"/>
          <w:sz w:val="32"/>
          <w:szCs w:val="32"/>
        </w:rPr>
        <w:t>个，涉及财政资金</w:t>
      </w:r>
      <w:r>
        <w:rPr>
          <w:rFonts w:eastAsia="仿宋_GB2312"/>
          <w:color w:val="000000"/>
          <w:sz w:val="32"/>
          <w:szCs w:val="32"/>
        </w:rPr>
        <w:t>140</w:t>
      </w:r>
      <w:r>
        <w:rPr>
          <w:rFonts w:hint="eastAsia" w:eastAsia="仿宋_GB2312" w:cs="仿宋_GB2312"/>
          <w:color w:val="000000"/>
          <w:sz w:val="32"/>
          <w:szCs w:val="32"/>
        </w:rPr>
        <w:t>万元，覆盖率达到</w:t>
      </w:r>
      <w:r>
        <w:rPr>
          <w:rFonts w:eastAsia="仿宋_GB2312"/>
          <w:color w:val="000000"/>
          <w:sz w:val="32"/>
          <w:szCs w:val="32"/>
        </w:rPr>
        <w:t>100%</w:t>
      </w:r>
      <w:r>
        <w:rPr>
          <w:rFonts w:hint="eastAsia" w:eastAsia="仿宋_GB2312" w:cs="仿宋_GB2312"/>
          <w:color w:val="000000"/>
          <w:sz w:val="32"/>
          <w:szCs w:val="32"/>
        </w:rPr>
        <w:t>，完成率</w:t>
      </w:r>
      <w:r>
        <w:rPr>
          <w:rFonts w:eastAsia="仿宋_GB2312"/>
          <w:color w:val="000000"/>
          <w:sz w:val="32"/>
          <w:szCs w:val="32"/>
        </w:rPr>
        <w:t>100%</w:t>
      </w:r>
      <w:r>
        <w:rPr>
          <w:rFonts w:hint="eastAsia" w:eastAsia="仿宋_GB2312" w:cs="仿宋_GB2312"/>
          <w:color w:val="000000"/>
          <w:sz w:val="32"/>
          <w:szCs w:val="32"/>
        </w:rPr>
        <w:t>。</w:t>
      </w:r>
    </w:p>
    <w:p>
      <w:pPr>
        <w:spacing w:line="580" w:lineRule="exact"/>
        <w:ind w:firstLine="31680" w:firstLineChars="200"/>
        <w:rPr>
          <w:rFonts w:ascii="仿宋" w:hAnsi="仿宋" w:eastAsia="仿宋"/>
          <w:sz w:val="32"/>
          <w:szCs w:val="32"/>
        </w:rPr>
      </w:pPr>
      <w:r>
        <w:rPr>
          <w:rFonts w:hint="eastAsia" w:ascii="仿宋" w:hAnsi="仿宋" w:eastAsia="仿宋" w:cs="仿宋"/>
          <w:sz w:val="32"/>
          <w:szCs w:val="32"/>
        </w:rPr>
        <w:t>（三）结果应用情况。</w:t>
      </w:r>
    </w:p>
    <w:p>
      <w:pPr>
        <w:snapToGrid w:val="0"/>
        <w:spacing w:line="560" w:lineRule="exact"/>
        <w:ind w:firstLine="31680" w:firstLineChars="200"/>
        <w:rPr>
          <w:rFonts w:ascii="仿宋_GB2312"/>
          <w:color w:val="000000"/>
        </w:rPr>
      </w:pPr>
      <w:r>
        <w:rPr>
          <w:rFonts w:hint="eastAsia" w:cs="宋体"/>
          <w:color w:val="000000"/>
          <w:sz w:val="32"/>
          <w:szCs w:val="32"/>
        </w:rPr>
        <w:t>我办</w:t>
      </w:r>
      <w:r>
        <w:rPr>
          <w:rFonts w:hint="eastAsia" w:eastAsia="仿宋_GB2312" w:cs="仿宋_GB2312"/>
          <w:color w:val="000000"/>
          <w:sz w:val="32"/>
          <w:szCs w:val="32"/>
        </w:rPr>
        <w:t>对</w:t>
      </w:r>
      <w:r>
        <w:rPr>
          <w:rFonts w:eastAsia="仿宋_GB2312"/>
          <w:color w:val="000000"/>
          <w:sz w:val="32"/>
          <w:szCs w:val="32"/>
        </w:rPr>
        <w:t>2018</w:t>
      </w:r>
      <w:r>
        <w:rPr>
          <w:rFonts w:hint="eastAsia" w:eastAsia="仿宋_GB2312" w:cs="仿宋_GB2312"/>
          <w:color w:val="000000"/>
          <w:sz w:val="32"/>
          <w:szCs w:val="32"/>
        </w:rPr>
        <w:t>年整体支出开展绩效自评，存在的问题：一是制度机制还有待完善，二是新时期下工作创新举措还不够，三是</w:t>
      </w:r>
      <w:r>
        <w:rPr>
          <w:rFonts w:hint="eastAsia" w:eastAsia="仿宋_GB2312" w:cs="仿宋_GB2312"/>
          <w:sz w:val="32"/>
          <w:szCs w:val="32"/>
        </w:rPr>
        <w:t>对全县各部门、各乡镇接待指导不够</w:t>
      </w:r>
      <w:r>
        <w:rPr>
          <w:rFonts w:hint="eastAsia" w:eastAsia="仿宋_GB2312" w:cs="仿宋_GB2312"/>
          <w:color w:val="000000"/>
          <w:sz w:val="32"/>
          <w:szCs w:val="32"/>
        </w:rPr>
        <w:t>。下一步改进措施：一是</w:t>
      </w:r>
      <w:r>
        <w:rPr>
          <w:rFonts w:hint="eastAsia" w:eastAsia="仿宋_GB2312" w:cs="仿宋_GB2312"/>
          <w:sz w:val="32"/>
          <w:szCs w:val="32"/>
        </w:rPr>
        <w:t>将继续围绕全县中心工作，坚持</w:t>
      </w:r>
      <w:r>
        <w:rPr>
          <w:rFonts w:eastAsia="仿宋_GB2312"/>
          <w:sz w:val="32"/>
          <w:szCs w:val="32"/>
        </w:rPr>
        <w:t>“</w:t>
      </w:r>
      <w:r>
        <w:rPr>
          <w:rFonts w:hint="eastAsia" w:eastAsia="仿宋_GB2312" w:cs="仿宋_GB2312"/>
          <w:sz w:val="32"/>
          <w:szCs w:val="32"/>
        </w:rPr>
        <w:t>八项规定</w:t>
      </w:r>
      <w:r>
        <w:rPr>
          <w:rFonts w:eastAsia="仿宋_GB2312"/>
          <w:sz w:val="32"/>
          <w:szCs w:val="32"/>
        </w:rPr>
        <w:t>”</w:t>
      </w:r>
      <w:r>
        <w:rPr>
          <w:rFonts w:hint="eastAsia" w:eastAsia="仿宋_GB2312" w:cs="仿宋_GB2312"/>
          <w:sz w:val="32"/>
          <w:szCs w:val="32"/>
        </w:rPr>
        <w:t>、严格执行《党政机关国内公务接待管理规定》</w:t>
      </w:r>
      <w:r>
        <w:rPr>
          <w:rFonts w:hint="eastAsia" w:eastAsia="仿宋_GB2312" w:cs="仿宋_GB2312"/>
          <w:color w:val="000000"/>
          <w:sz w:val="32"/>
          <w:szCs w:val="32"/>
        </w:rPr>
        <w:t>，二是</w:t>
      </w:r>
      <w:r>
        <w:rPr>
          <w:rFonts w:hint="eastAsia" w:eastAsia="仿宋_GB2312" w:cs="仿宋_GB2312"/>
          <w:sz w:val="32"/>
          <w:szCs w:val="32"/>
        </w:rPr>
        <w:t>明确重点、转变观念、细化操作流程，三是加强与部门之间联系，做到</w:t>
      </w:r>
      <w:r>
        <w:rPr>
          <w:rFonts w:eastAsia="仿宋_GB2312"/>
          <w:sz w:val="32"/>
          <w:szCs w:val="32"/>
        </w:rPr>
        <w:t>“</w:t>
      </w:r>
      <w:r>
        <w:rPr>
          <w:rFonts w:hint="eastAsia" w:eastAsia="仿宋_GB2312" w:cs="仿宋_GB2312"/>
          <w:sz w:val="32"/>
          <w:szCs w:val="32"/>
        </w:rPr>
        <w:t>无缝</w:t>
      </w:r>
      <w:r>
        <w:rPr>
          <w:rFonts w:eastAsia="仿宋_GB2312"/>
          <w:sz w:val="32"/>
          <w:szCs w:val="32"/>
        </w:rPr>
        <w:t>”</w:t>
      </w:r>
      <w:r>
        <w:rPr>
          <w:rFonts w:hint="eastAsia" w:eastAsia="仿宋_GB2312" w:cs="仿宋_GB2312"/>
          <w:sz w:val="32"/>
          <w:szCs w:val="32"/>
        </w:rPr>
        <w:t>衔接</w:t>
      </w:r>
      <w:r>
        <w:rPr>
          <w:rFonts w:hint="eastAsia" w:eastAsia="仿宋_GB2312" w:cs="仿宋_GB2312"/>
          <w:color w:val="000000"/>
          <w:sz w:val="32"/>
          <w:szCs w:val="32"/>
        </w:rPr>
        <w:t>。</w:t>
      </w:r>
    </w:p>
    <w:p>
      <w:pPr>
        <w:spacing w:line="580" w:lineRule="exact"/>
        <w:rPr>
          <w:rFonts w:ascii="黑体" w:hAnsi="黑体" w:eastAsia="黑体"/>
          <w:sz w:val="32"/>
          <w:szCs w:val="32"/>
        </w:rPr>
      </w:pPr>
    </w:p>
    <w:p>
      <w:pPr>
        <w:spacing w:line="580" w:lineRule="exact"/>
        <w:rPr>
          <w:rFonts w:ascii="黑体" w:hAnsi="黑体" w:eastAsia="黑体"/>
          <w:sz w:val="32"/>
          <w:szCs w:val="32"/>
        </w:rPr>
      </w:pPr>
      <w:r>
        <w:rPr>
          <w:rFonts w:hint="eastAsia" w:ascii="黑体" w:hAnsi="黑体" w:eastAsia="黑体" w:cs="黑体"/>
          <w:sz w:val="32"/>
          <w:szCs w:val="32"/>
        </w:rPr>
        <w:t>四、评价结论及建议</w:t>
      </w:r>
    </w:p>
    <w:p>
      <w:pPr>
        <w:spacing w:line="580" w:lineRule="exac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（一）评价结论。</w:t>
      </w:r>
    </w:p>
    <w:p>
      <w:pPr>
        <w:snapToGrid w:val="0"/>
        <w:spacing w:line="560" w:lineRule="exact"/>
        <w:ind w:firstLine="31680" w:firstLineChars="200"/>
        <w:rPr>
          <w:rFonts w:eastAsia="仿宋_GB2312"/>
          <w:sz w:val="32"/>
          <w:szCs w:val="32"/>
        </w:rPr>
      </w:pPr>
      <w:r>
        <w:rPr>
          <w:rFonts w:eastAsia="仿宋_GB2312"/>
          <w:sz w:val="32"/>
          <w:szCs w:val="32"/>
        </w:rPr>
        <w:t>1</w:t>
      </w:r>
      <w:r>
        <w:rPr>
          <w:rFonts w:hint="eastAsia" w:eastAsia="仿宋_GB2312" w:cs="仿宋_GB2312"/>
          <w:sz w:val="32"/>
          <w:szCs w:val="32"/>
        </w:rPr>
        <w:t>、</w:t>
      </w:r>
      <w:r>
        <w:rPr>
          <w:rFonts w:eastAsia="仿宋_GB2312"/>
          <w:sz w:val="32"/>
          <w:szCs w:val="32"/>
        </w:rPr>
        <w:t>2018</w:t>
      </w:r>
      <w:r>
        <w:rPr>
          <w:rFonts w:hint="eastAsia" w:eastAsia="仿宋_GB2312" w:cs="仿宋_GB2312"/>
          <w:sz w:val="32"/>
          <w:szCs w:val="32"/>
        </w:rPr>
        <w:t>年我办财务管理、决算组织、编报、审核情况认真按照上级财务部门规定和要求执行。</w:t>
      </w:r>
    </w:p>
    <w:p>
      <w:pPr>
        <w:spacing w:line="560" w:lineRule="exact"/>
        <w:ind w:firstLine="31680" w:firstLineChars="200"/>
        <w:rPr>
          <w:rFonts w:eastAsia="仿宋_GB2312"/>
          <w:sz w:val="32"/>
          <w:szCs w:val="32"/>
        </w:rPr>
      </w:pPr>
      <w:r>
        <w:rPr>
          <w:rFonts w:eastAsia="仿宋_GB2312"/>
          <w:sz w:val="32"/>
          <w:szCs w:val="32"/>
        </w:rPr>
        <w:t>2</w:t>
      </w:r>
      <w:r>
        <w:rPr>
          <w:rFonts w:hint="eastAsia" w:eastAsia="仿宋_GB2312" w:cs="仿宋_GB2312"/>
          <w:sz w:val="32"/>
          <w:szCs w:val="32"/>
        </w:rPr>
        <w:t>、</w:t>
      </w:r>
      <w:r>
        <w:rPr>
          <w:rFonts w:eastAsia="仿宋_GB2312"/>
          <w:sz w:val="32"/>
          <w:szCs w:val="32"/>
        </w:rPr>
        <w:t>2018</w:t>
      </w:r>
      <w:r>
        <w:rPr>
          <w:rFonts w:hint="eastAsia" w:eastAsia="仿宋_GB2312" w:cs="仿宋_GB2312"/>
          <w:sz w:val="32"/>
          <w:szCs w:val="32"/>
        </w:rPr>
        <w:t>年我办认真按照上级财务部门要求，及时规范晚餐决算公共工作及绩效信息公开工作。</w:t>
      </w:r>
    </w:p>
    <w:p>
      <w:pPr>
        <w:spacing w:line="580" w:lineRule="exac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（二）存在问题。</w:t>
      </w:r>
    </w:p>
    <w:p>
      <w:pPr>
        <w:spacing w:line="560" w:lineRule="exact"/>
        <w:ind w:firstLine="31680" w:firstLineChars="200"/>
        <w:rPr>
          <w:rFonts w:ascii="仿宋" w:hAnsi="仿宋" w:eastAsia="仿宋"/>
          <w:sz w:val="32"/>
          <w:szCs w:val="32"/>
        </w:rPr>
      </w:pPr>
      <w:r>
        <w:rPr>
          <w:rFonts w:hint="eastAsia" w:eastAsia="仿宋_GB2312" w:cs="仿宋_GB2312"/>
          <w:sz w:val="32"/>
          <w:szCs w:val="32"/>
        </w:rPr>
        <w:t>因财务人员变动较为频繁，对我办实际情况不熟悉，导致实际操作中缺少预见性，资产管理信息系统更新不及时</w:t>
      </w:r>
      <w:r>
        <w:rPr>
          <w:rFonts w:eastAsia="仿宋_GB2312"/>
          <w:sz w:val="32"/>
          <w:szCs w:val="32"/>
        </w:rPr>
        <w:t xml:space="preserve">  </w:t>
      </w:r>
    </w:p>
    <w:p>
      <w:pPr>
        <w:numPr>
          <w:ilvl w:val="0"/>
          <w:numId w:val="10"/>
        </w:numPr>
        <w:spacing w:line="580" w:lineRule="exact"/>
        <w:ind w:firstLine="31680" w:firstLineChars="200"/>
        <w:rPr>
          <w:rFonts w:ascii="仿宋" w:hAnsi="仿宋" w:eastAsia="仿宋"/>
          <w:sz w:val="32"/>
          <w:szCs w:val="32"/>
        </w:rPr>
      </w:pPr>
      <w:r>
        <w:rPr>
          <w:rFonts w:hint="eastAsia" w:ascii="仿宋" w:hAnsi="仿宋" w:eastAsia="仿宋" w:cs="仿宋"/>
          <w:sz w:val="32"/>
          <w:szCs w:val="32"/>
        </w:rPr>
        <w:t>改进建议。</w:t>
      </w:r>
    </w:p>
    <w:p>
      <w:pPr>
        <w:spacing w:line="560" w:lineRule="exact"/>
        <w:ind w:firstLine="31680" w:firstLineChars="200"/>
        <w:rPr>
          <w:rFonts w:eastAsia="仿宋_GB2312"/>
          <w:sz w:val="32"/>
          <w:szCs w:val="32"/>
        </w:rPr>
      </w:pPr>
      <w:r>
        <w:rPr>
          <w:rFonts w:hint="eastAsia" w:eastAsia="仿宋_GB2312" w:cs="仿宋_GB2312"/>
          <w:sz w:val="32"/>
          <w:szCs w:val="32"/>
        </w:rPr>
        <w:t>保持财务人员相对稳定，结合实际需求加强财务人员培训工作，落实专人负责资产管理工作，保证信息上报及时、准确。</w:t>
      </w:r>
    </w:p>
    <w:p>
      <w:pPr>
        <w:spacing w:line="560" w:lineRule="exact"/>
        <w:ind w:firstLine="31680" w:firstLineChars="200"/>
        <w:rPr>
          <w:rFonts w:eastAsia="仿宋_GB2312"/>
          <w:sz w:val="32"/>
          <w:szCs w:val="32"/>
        </w:rPr>
      </w:pPr>
    </w:p>
    <w:p>
      <w:pPr>
        <w:widowControl/>
        <w:jc w:val="left"/>
        <w:rPr>
          <w:rFonts w:ascii="仿宋_GB2312" w:hAnsi="仿宋_GB2312" w:eastAsia="仿宋_GB2312"/>
          <w:sz w:val="32"/>
          <w:szCs w:val="32"/>
        </w:rPr>
      </w:pPr>
      <w:r>
        <w:rPr>
          <w:rFonts w:ascii="仿宋_GB2312" w:hAnsi="仿宋_GB2312" w:eastAsia="仿宋_GB2312"/>
          <w:sz w:val="32"/>
          <w:szCs w:val="32"/>
        </w:rPr>
        <w:br w:type="page"/>
      </w:r>
    </w:p>
    <w:p>
      <w:pPr>
        <w:spacing w:line="600" w:lineRule="exact"/>
        <w:jc w:val="center"/>
        <w:outlineLvl w:val="0"/>
        <w:rPr>
          <w:rStyle w:val="16"/>
          <w:rFonts w:ascii="黑体" w:hAnsi="黑体" w:eastAsia="黑体"/>
          <w:b w:val="0"/>
          <w:bCs w:val="0"/>
        </w:rPr>
      </w:pPr>
      <w:bookmarkStart w:id="61" w:name="_Toc15396618"/>
      <w:r>
        <w:rPr>
          <w:rFonts w:hint="eastAsia" w:ascii="黑体" w:hAnsi="黑体" w:eastAsia="黑体" w:cs="黑体"/>
          <w:color w:val="000000"/>
          <w:sz w:val="44"/>
          <w:szCs w:val="44"/>
        </w:rPr>
        <w:t>第</w:t>
      </w:r>
      <w:r>
        <w:rPr>
          <w:rStyle w:val="16"/>
          <w:rFonts w:hint="eastAsia" w:ascii="黑体" w:hAnsi="黑体" w:eastAsia="黑体" w:cs="黑体"/>
          <w:b w:val="0"/>
          <w:bCs w:val="0"/>
        </w:rPr>
        <w:t>五部分</w:t>
      </w:r>
      <w:r>
        <w:rPr>
          <w:rStyle w:val="16"/>
          <w:rFonts w:ascii="黑体" w:hAnsi="黑体" w:eastAsia="黑体" w:cs="黑体"/>
          <w:b w:val="0"/>
          <w:bCs w:val="0"/>
        </w:rPr>
        <w:t xml:space="preserve"> </w:t>
      </w:r>
      <w:r>
        <w:rPr>
          <w:rStyle w:val="16"/>
          <w:rFonts w:hint="eastAsia" w:ascii="黑体" w:hAnsi="黑体" w:eastAsia="黑体" w:cs="黑体"/>
          <w:b w:val="0"/>
          <w:bCs w:val="0"/>
        </w:rPr>
        <w:t>附表</w:t>
      </w:r>
      <w:bookmarkEnd w:id="58"/>
      <w:bookmarkEnd w:id="61"/>
    </w:p>
    <w:p>
      <w:pPr>
        <w:spacing w:line="600" w:lineRule="exact"/>
        <w:jc w:val="center"/>
        <w:outlineLvl w:val="0"/>
        <w:rPr>
          <w:rFonts w:ascii="仿宋" w:hAnsi="仿宋" w:eastAsia="仿宋"/>
          <w:b/>
          <w:bCs/>
          <w:color w:val="000000"/>
          <w:sz w:val="44"/>
          <w:szCs w:val="44"/>
        </w:rPr>
      </w:pPr>
    </w:p>
    <w:p>
      <w:pPr>
        <w:pStyle w:val="3"/>
        <w:rPr>
          <w:rFonts w:ascii="仿宋" w:hAnsi="仿宋" w:eastAsia="仿宋" w:cs="Times New Roman"/>
          <w:color w:val="000000"/>
        </w:rPr>
      </w:pPr>
      <w:bookmarkStart w:id="62" w:name="_Toc15396619"/>
      <w:r>
        <w:rPr>
          <w:rFonts w:hint="eastAsia" w:ascii="仿宋" w:hAnsi="仿宋" w:eastAsia="仿宋" w:cs="仿宋"/>
          <w:b w:val="0"/>
          <w:bCs w:val="0"/>
          <w:color w:val="000000"/>
        </w:rPr>
        <w:t>一、收</w:t>
      </w:r>
      <w:r>
        <w:rPr>
          <w:rStyle w:val="17"/>
          <w:rFonts w:hint="eastAsia" w:ascii="仿宋" w:hAnsi="仿宋" w:eastAsia="仿宋" w:cs="仿宋"/>
          <w:b w:val="0"/>
          <w:bCs w:val="0"/>
        </w:rPr>
        <w:t>入支出决算总表</w:t>
      </w:r>
      <w:bookmarkEnd w:id="62"/>
    </w:p>
    <w:p>
      <w:pPr>
        <w:pStyle w:val="3"/>
        <w:rPr>
          <w:rFonts w:ascii="仿宋" w:hAnsi="仿宋" w:eastAsia="仿宋" w:cs="Times New Roman"/>
          <w:color w:val="000000"/>
        </w:rPr>
      </w:pPr>
      <w:bookmarkStart w:id="63" w:name="_Toc15396620"/>
      <w:r>
        <w:rPr>
          <w:rFonts w:hint="eastAsia" w:ascii="仿宋" w:hAnsi="仿宋" w:eastAsia="仿宋" w:cs="仿宋"/>
          <w:b w:val="0"/>
          <w:bCs w:val="0"/>
          <w:color w:val="000000"/>
        </w:rPr>
        <w:t>二、收</w:t>
      </w:r>
      <w:r>
        <w:rPr>
          <w:rStyle w:val="17"/>
          <w:rFonts w:hint="eastAsia" w:ascii="仿宋" w:hAnsi="仿宋" w:eastAsia="仿宋" w:cs="仿宋"/>
          <w:b w:val="0"/>
          <w:bCs w:val="0"/>
        </w:rPr>
        <w:t>入总表</w:t>
      </w:r>
      <w:bookmarkEnd w:id="63"/>
    </w:p>
    <w:p>
      <w:pPr>
        <w:pStyle w:val="3"/>
        <w:rPr>
          <w:rFonts w:ascii="仿宋" w:hAnsi="仿宋" w:eastAsia="仿宋" w:cs="Times New Roman"/>
          <w:color w:val="000000"/>
        </w:rPr>
      </w:pPr>
      <w:bookmarkStart w:id="64" w:name="_Toc15396621"/>
      <w:r>
        <w:rPr>
          <w:rStyle w:val="17"/>
          <w:rFonts w:hint="eastAsia" w:ascii="仿宋" w:hAnsi="仿宋" w:eastAsia="仿宋" w:cs="仿宋"/>
          <w:b w:val="0"/>
          <w:bCs w:val="0"/>
        </w:rPr>
        <w:t>三、</w:t>
      </w:r>
      <w:r>
        <w:rPr>
          <w:rFonts w:hint="eastAsia" w:ascii="仿宋" w:hAnsi="仿宋" w:eastAsia="仿宋" w:cs="仿宋"/>
          <w:b w:val="0"/>
          <w:bCs w:val="0"/>
          <w:color w:val="000000"/>
        </w:rPr>
        <w:t>支</w:t>
      </w:r>
      <w:r>
        <w:rPr>
          <w:rStyle w:val="17"/>
          <w:rFonts w:hint="eastAsia" w:ascii="仿宋" w:hAnsi="仿宋" w:eastAsia="仿宋" w:cs="仿宋"/>
          <w:b w:val="0"/>
          <w:bCs w:val="0"/>
        </w:rPr>
        <w:t>出总表</w:t>
      </w:r>
      <w:bookmarkEnd w:id="64"/>
    </w:p>
    <w:p>
      <w:pPr>
        <w:pStyle w:val="3"/>
        <w:rPr>
          <w:rFonts w:ascii="仿宋" w:hAnsi="仿宋" w:eastAsia="仿宋" w:cs="Times New Roman"/>
          <w:b w:val="0"/>
          <w:bCs w:val="0"/>
          <w:color w:val="000000"/>
        </w:rPr>
      </w:pPr>
      <w:bookmarkStart w:id="65" w:name="_Toc15396622"/>
      <w:r>
        <w:rPr>
          <w:rStyle w:val="17"/>
          <w:rFonts w:hint="eastAsia" w:ascii="仿宋" w:hAnsi="仿宋" w:eastAsia="仿宋" w:cs="仿宋"/>
          <w:b w:val="0"/>
          <w:bCs w:val="0"/>
        </w:rPr>
        <w:t>四、</w:t>
      </w:r>
      <w:r>
        <w:rPr>
          <w:rFonts w:hint="eastAsia" w:ascii="仿宋" w:hAnsi="仿宋" w:eastAsia="仿宋" w:cs="仿宋"/>
          <w:b w:val="0"/>
          <w:bCs w:val="0"/>
          <w:color w:val="000000"/>
        </w:rPr>
        <w:t>财</w:t>
      </w:r>
      <w:r>
        <w:rPr>
          <w:rStyle w:val="17"/>
          <w:rFonts w:hint="eastAsia" w:ascii="仿宋" w:hAnsi="仿宋" w:eastAsia="仿宋" w:cs="仿宋"/>
          <w:b w:val="0"/>
          <w:bCs w:val="0"/>
        </w:rPr>
        <w:t>政拨款收入支出决算总表</w:t>
      </w:r>
      <w:bookmarkEnd w:id="65"/>
    </w:p>
    <w:p>
      <w:pPr>
        <w:pStyle w:val="3"/>
        <w:rPr>
          <w:rFonts w:ascii="仿宋" w:hAnsi="仿宋" w:eastAsia="仿宋" w:cs="Times New Roman"/>
          <w:color w:val="000000"/>
        </w:rPr>
      </w:pPr>
      <w:bookmarkStart w:id="66" w:name="_Toc15396623"/>
      <w:r>
        <w:rPr>
          <w:rStyle w:val="17"/>
          <w:rFonts w:hint="eastAsia" w:ascii="仿宋" w:hAnsi="仿宋" w:eastAsia="仿宋" w:cs="仿宋"/>
          <w:b w:val="0"/>
          <w:bCs w:val="0"/>
        </w:rPr>
        <w:t>五、</w:t>
      </w:r>
      <w:r>
        <w:rPr>
          <w:rFonts w:hint="eastAsia" w:ascii="仿宋" w:hAnsi="仿宋" w:eastAsia="仿宋" w:cs="仿宋"/>
          <w:b w:val="0"/>
          <w:bCs w:val="0"/>
          <w:color w:val="000000"/>
        </w:rPr>
        <w:t>财</w:t>
      </w:r>
      <w:r>
        <w:rPr>
          <w:rStyle w:val="17"/>
          <w:rFonts w:hint="eastAsia" w:ascii="仿宋" w:hAnsi="仿宋" w:eastAsia="仿宋" w:cs="仿宋"/>
          <w:b w:val="0"/>
          <w:bCs w:val="0"/>
        </w:rPr>
        <w:t>政拨款支出决算明细表（政府经济分类科目）</w:t>
      </w:r>
      <w:bookmarkEnd w:id="66"/>
    </w:p>
    <w:p>
      <w:pPr>
        <w:pStyle w:val="3"/>
        <w:rPr>
          <w:rFonts w:ascii="仿宋" w:hAnsi="仿宋" w:eastAsia="仿宋" w:cs="Times New Roman"/>
          <w:color w:val="000000"/>
        </w:rPr>
      </w:pPr>
      <w:bookmarkStart w:id="67" w:name="_Toc15396624"/>
      <w:r>
        <w:rPr>
          <w:rStyle w:val="17"/>
          <w:rFonts w:hint="eastAsia" w:ascii="仿宋" w:hAnsi="仿宋" w:eastAsia="仿宋" w:cs="仿宋"/>
          <w:b w:val="0"/>
          <w:bCs w:val="0"/>
        </w:rPr>
        <w:t>六、</w:t>
      </w:r>
      <w:r>
        <w:rPr>
          <w:rFonts w:hint="eastAsia" w:ascii="仿宋" w:hAnsi="仿宋" w:eastAsia="仿宋" w:cs="仿宋"/>
          <w:b w:val="0"/>
          <w:bCs w:val="0"/>
          <w:color w:val="000000"/>
        </w:rPr>
        <w:t>一</w:t>
      </w:r>
      <w:r>
        <w:rPr>
          <w:rStyle w:val="17"/>
          <w:rFonts w:hint="eastAsia" w:ascii="仿宋" w:hAnsi="仿宋" w:eastAsia="仿宋" w:cs="仿宋"/>
          <w:b w:val="0"/>
          <w:bCs w:val="0"/>
        </w:rPr>
        <w:t>般公共预算财政拨款支出决算表</w:t>
      </w:r>
      <w:bookmarkEnd w:id="67"/>
    </w:p>
    <w:p>
      <w:pPr>
        <w:pStyle w:val="3"/>
        <w:rPr>
          <w:rFonts w:ascii="仿宋" w:hAnsi="仿宋" w:eastAsia="仿宋" w:cs="Times New Roman"/>
          <w:color w:val="000000"/>
        </w:rPr>
      </w:pPr>
      <w:bookmarkStart w:id="68" w:name="_Toc15396625"/>
      <w:r>
        <w:rPr>
          <w:rStyle w:val="17"/>
          <w:rFonts w:hint="eastAsia" w:ascii="仿宋" w:hAnsi="仿宋" w:eastAsia="仿宋" w:cs="仿宋"/>
          <w:b w:val="0"/>
          <w:bCs w:val="0"/>
        </w:rPr>
        <w:t>七、</w:t>
      </w:r>
      <w:r>
        <w:rPr>
          <w:rFonts w:hint="eastAsia" w:ascii="仿宋" w:hAnsi="仿宋" w:eastAsia="仿宋" w:cs="仿宋"/>
          <w:b w:val="0"/>
          <w:bCs w:val="0"/>
          <w:color w:val="000000"/>
        </w:rPr>
        <w:t>一</w:t>
      </w:r>
      <w:r>
        <w:rPr>
          <w:rStyle w:val="17"/>
          <w:rFonts w:hint="eastAsia" w:ascii="仿宋" w:hAnsi="仿宋" w:eastAsia="仿宋" w:cs="仿宋"/>
          <w:b w:val="0"/>
          <w:bCs w:val="0"/>
        </w:rPr>
        <w:t>般公共预算财政拨款支出决算明细表</w:t>
      </w:r>
      <w:bookmarkEnd w:id="68"/>
    </w:p>
    <w:p>
      <w:pPr>
        <w:pStyle w:val="3"/>
        <w:rPr>
          <w:rFonts w:ascii="仿宋" w:hAnsi="仿宋" w:eastAsia="仿宋" w:cs="Times New Roman"/>
          <w:color w:val="000000"/>
        </w:rPr>
      </w:pPr>
      <w:bookmarkStart w:id="69" w:name="_Toc15396626"/>
      <w:r>
        <w:rPr>
          <w:rStyle w:val="17"/>
          <w:rFonts w:hint="eastAsia" w:ascii="仿宋" w:hAnsi="仿宋" w:eastAsia="仿宋" w:cs="仿宋"/>
          <w:b w:val="0"/>
          <w:bCs w:val="0"/>
        </w:rPr>
        <w:t>八、</w:t>
      </w:r>
      <w:r>
        <w:rPr>
          <w:rFonts w:hint="eastAsia" w:ascii="仿宋" w:hAnsi="仿宋" w:eastAsia="仿宋" w:cs="仿宋"/>
          <w:b w:val="0"/>
          <w:bCs w:val="0"/>
          <w:color w:val="000000"/>
        </w:rPr>
        <w:t>一</w:t>
      </w:r>
      <w:r>
        <w:rPr>
          <w:rStyle w:val="17"/>
          <w:rFonts w:hint="eastAsia" w:ascii="仿宋" w:hAnsi="仿宋" w:eastAsia="仿宋" w:cs="仿宋"/>
          <w:b w:val="0"/>
          <w:bCs w:val="0"/>
        </w:rPr>
        <w:t>般公共预算财政拨款基本支出决算表</w:t>
      </w:r>
      <w:bookmarkEnd w:id="69"/>
    </w:p>
    <w:p>
      <w:pPr>
        <w:pStyle w:val="3"/>
        <w:rPr>
          <w:rFonts w:ascii="仿宋" w:hAnsi="仿宋" w:eastAsia="仿宋" w:cs="Times New Roman"/>
          <w:color w:val="000000"/>
        </w:rPr>
      </w:pPr>
      <w:bookmarkStart w:id="70" w:name="_Toc15396627"/>
      <w:r>
        <w:rPr>
          <w:rStyle w:val="17"/>
          <w:rFonts w:hint="eastAsia" w:ascii="仿宋" w:hAnsi="仿宋" w:eastAsia="仿宋" w:cs="仿宋"/>
          <w:b w:val="0"/>
          <w:bCs w:val="0"/>
        </w:rPr>
        <w:t>九、</w:t>
      </w:r>
      <w:r>
        <w:rPr>
          <w:rFonts w:hint="eastAsia" w:ascii="仿宋" w:hAnsi="仿宋" w:eastAsia="仿宋" w:cs="仿宋"/>
          <w:b w:val="0"/>
          <w:bCs w:val="0"/>
          <w:color w:val="000000"/>
        </w:rPr>
        <w:t>一</w:t>
      </w:r>
      <w:r>
        <w:rPr>
          <w:rStyle w:val="17"/>
          <w:rFonts w:hint="eastAsia" w:ascii="仿宋" w:hAnsi="仿宋" w:eastAsia="仿宋" w:cs="仿宋"/>
          <w:b w:val="0"/>
          <w:bCs w:val="0"/>
        </w:rPr>
        <w:t>般公共预算财政拨款项目支出决算表</w:t>
      </w:r>
      <w:bookmarkEnd w:id="70"/>
    </w:p>
    <w:p>
      <w:pPr>
        <w:pStyle w:val="3"/>
        <w:rPr>
          <w:rFonts w:ascii="仿宋" w:hAnsi="仿宋" w:eastAsia="仿宋" w:cs="Times New Roman"/>
          <w:color w:val="000000"/>
        </w:rPr>
      </w:pPr>
      <w:bookmarkStart w:id="71" w:name="_Toc15396628"/>
      <w:r>
        <w:rPr>
          <w:rStyle w:val="17"/>
          <w:rFonts w:hint="eastAsia" w:ascii="仿宋" w:hAnsi="仿宋" w:eastAsia="仿宋" w:cs="仿宋"/>
          <w:b w:val="0"/>
          <w:bCs w:val="0"/>
        </w:rPr>
        <w:t>十、</w:t>
      </w:r>
      <w:r>
        <w:rPr>
          <w:rFonts w:hint="eastAsia" w:ascii="仿宋" w:hAnsi="仿宋" w:eastAsia="仿宋" w:cs="仿宋"/>
          <w:b w:val="0"/>
          <w:bCs w:val="0"/>
          <w:color w:val="000000"/>
        </w:rPr>
        <w:t>一</w:t>
      </w:r>
      <w:r>
        <w:rPr>
          <w:rStyle w:val="17"/>
          <w:rFonts w:hint="eastAsia" w:ascii="仿宋" w:hAnsi="仿宋" w:eastAsia="仿宋" w:cs="仿宋"/>
          <w:b w:val="0"/>
          <w:bCs w:val="0"/>
        </w:rPr>
        <w:t>般公共预算财政拨款“三公”经费支出决算表</w:t>
      </w:r>
      <w:bookmarkEnd w:id="71"/>
    </w:p>
    <w:p>
      <w:pPr>
        <w:pStyle w:val="3"/>
        <w:rPr>
          <w:rFonts w:ascii="仿宋" w:hAnsi="仿宋" w:eastAsia="仿宋" w:cs="Times New Roman"/>
          <w:color w:val="000000"/>
        </w:rPr>
      </w:pPr>
      <w:bookmarkStart w:id="72" w:name="_Toc15396629"/>
      <w:r>
        <w:rPr>
          <w:rStyle w:val="17"/>
          <w:rFonts w:hint="eastAsia" w:ascii="仿宋" w:hAnsi="仿宋" w:eastAsia="仿宋" w:cs="仿宋"/>
          <w:b w:val="0"/>
          <w:bCs w:val="0"/>
        </w:rPr>
        <w:t>十一、</w:t>
      </w:r>
      <w:r>
        <w:rPr>
          <w:rFonts w:hint="eastAsia" w:ascii="仿宋" w:hAnsi="仿宋" w:eastAsia="仿宋" w:cs="仿宋"/>
          <w:b w:val="0"/>
          <w:bCs w:val="0"/>
          <w:color w:val="000000"/>
        </w:rPr>
        <w:t>政</w:t>
      </w:r>
      <w:r>
        <w:rPr>
          <w:rStyle w:val="17"/>
          <w:rFonts w:hint="eastAsia" w:ascii="仿宋" w:hAnsi="仿宋" w:eastAsia="仿宋" w:cs="仿宋"/>
          <w:b w:val="0"/>
          <w:bCs w:val="0"/>
        </w:rPr>
        <w:t>府性基金预算财政拨款收入支出决算表</w:t>
      </w:r>
      <w:bookmarkEnd w:id="72"/>
    </w:p>
    <w:p>
      <w:pPr>
        <w:pStyle w:val="3"/>
        <w:rPr>
          <w:rFonts w:ascii="仿宋" w:hAnsi="仿宋" w:eastAsia="仿宋" w:cs="Times New Roman"/>
          <w:color w:val="000000"/>
        </w:rPr>
      </w:pPr>
      <w:bookmarkStart w:id="73" w:name="_Toc15396630"/>
      <w:r>
        <w:rPr>
          <w:rStyle w:val="17"/>
          <w:rFonts w:hint="eastAsia" w:ascii="仿宋" w:hAnsi="仿宋" w:eastAsia="仿宋" w:cs="仿宋"/>
          <w:b w:val="0"/>
          <w:bCs w:val="0"/>
        </w:rPr>
        <w:t>十二、</w:t>
      </w:r>
      <w:r>
        <w:rPr>
          <w:rFonts w:hint="eastAsia" w:ascii="仿宋" w:hAnsi="仿宋" w:eastAsia="仿宋" w:cs="仿宋"/>
          <w:b w:val="0"/>
          <w:bCs w:val="0"/>
          <w:color w:val="000000"/>
        </w:rPr>
        <w:t>政</w:t>
      </w:r>
      <w:r>
        <w:rPr>
          <w:rStyle w:val="17"/>
          <w:rFonts w:hint="eastAsia" w:ascii="仿宋" w:hAnsi="仿宋" w:eastAsia="仿宋" w:cs="仿宋"/>
          <w:b w:val="0"/>
          <w:bCs w:val="0"/>
        </w:rPr>
        <w:t>府性基金预算财政拨款“三公”经费支出决算表</w:t>
      </w:r>
      <w:bookmarkEnd w:id="73"/>
    </w:p>
    <w:p>
      <w:pPr>
        <w:pStyle w:val="3"/>
        <w:rPr>
          <w:rFonts w:ascii="仿宋" w:hAnsi="仿宋" w:eastAsia="仿宋" w:cs="Times New Roman"/>
          <w:color w:val="000000"/>
        </w:rPr>
      </w:pPr>
      <w:bookmarkStart w:id="74" w:name="_Toc15396631"/>
      <w:r>
        <w:rPr>
          <w:rStyle w:val="17"/>
          <w:rFonts w:hint="eastAsia" w:ascii="仿宋" w:hAnsi="仿宋" w:eastAsia="仿宋" w:cs="仿宋"/>
          <w:b w:val="0"/>
          <w:bCs w:val="0"/>
        </w:rPr>
        <w:t>十三、</w:t>
      </w:r>
      <w:r>
        <w:rPr>
          <w:rFonts w:hint="eastAsia" w:ascii="仿宋" w:hAnsi="仿宋" w:eastAsia="仿宋" w:cs="仿宋"/>
          <w:b w:val="0"/>
          <w:bCs w:val="0"/>
          <w:color w:val="000000"/>
        </w:rPr>
        <w:t>国</w:t>
      </w:r>
      <w:r>
        <w:rPr>
          <w:rStyle w:val="17"/>
          <w:rFonts w:hint="eastAsia" w:ascii="仿宋" w:hAnsi="仿宋" w:eastAsia="仿宋" w:cs="仿宋"/>
          <w:b w:val="0"/>
          <w:bCs w:val="0"/>
        </w:rPr>
        <w:t>有资本经营预算支出决算表</w:t>
      </w:r>
      <w:bookmarkEnd w:id="74"/>
      <w:bookmarkStart w:id="75" w:name="_GoBack"/>
      <w:bookmarkEnd w:id="75"/>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Arial Rounded MT Bold">
    <w:panose1 w:val="020F0704030504030204"/>
    <w:charset w:val="00"/>
    <w:family w:val="swiss"/>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Calisto MT">
    <w:panose1 w:val="02040603050505030304"/>
    <w:charset w:val="00"/>
    <w:family w:val="auto"/>
    <w:pitch w:val="default"/>
    <w:sig w:usb0="00000003" w:usb1="00000000" w:usb2="00000000" w:usb3="00000000" w:csb0="20000001" w:csb1="00000000"/>
  </w:font>
  <w:font w:name="Calisto MT">
    <w:panose1 w:val="02040603050505030304"/>
    <w:charset w:val="00"/>
    <w:family w:val="roman"/>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cs="Times New Roman"/>
      </w:rPr>
    </w:pPr>
    <w:r>
      <w:fldChar w:fldCharType="begin"/>
    </w:r>
    <w:r>
      <w:instrText xml:space="preserve">PAGE   \* MERGEFORMAT</w:instrText>
    </w:r>
    <w:r>
      <w:fldChar w:fldCharType="separate"/>
    </w:r>
    <w:r>
      <w:rPr>
        <w:lang w:val="zh-CN"/>
      </w:rPr>
      <w:t>21</w:t>
    </w:r>
    <w:r>
      <w:rPr>
        <w:lang w:val="zh-CN"/>
      </w:rPr>
      <w:fldChar w:fldCharType="end"/>
    </w:r>
  </w:p>
  <w:p>
    <w:pPr>
      <w:pStyle w:val="8"/>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5DA838C5"/>
    <w:multiLevelType w:val="singleLevel"/>
    <w:tmpl w:val="5DA838C5"/>
    <w:lvl w:ilvl="0" w:tentative="0">
      <w:start w:val="2"/>
      <w:numFmt w:val="chineseCounting"/>
      <w:suff w:val="nothing"/>
      <w:lvlText w:val="%1、"/>
      <w:lvlJc w:val="left"/>
    </w:lvl>
  </w:abstractNum>
  <w:abstractNum w:abstractNumId="7">
    <w:nsid w:val="5DAD6414"/>
    <w:multiLevelType w:val="singleLevel"/>
    <w:tmpl w:val="5DAD6414"/>
    <w:lvl w:ilvl="0" w:tentative="0">
      <w:start w:val="2"/>
      <w:numFmt w:val="chineseCounting"/>
      <w:suff w:val="nothing"/>
      <w:lvlText w:val="（%1）"/>
      <w:lvlJc w:val="left"/>
    </w:lvl>
  </w:abstractNum>
  <w:abstractNum w:abstractNumId="8">
    <w:nsid w:val="5DAD6422"/>
    <w:multiLevelType w:val="singleLevel"/>
    <w:tmpl w:val="5DAD6422"/>
    <w:lvl w:ilvl="0" w:tentative="0">
      <w:start w:val="3"/>
      <w:numFmt w:val="chineseCounting"/>
      <w:suff w:val="nothing"/>
      <w:lvlText w:val="（%1）"/>
      <w:lvlJc w:val="left"/>
    </w:lvl>
  </w:abstractNum>
  <w:abstractNum w:abstractNumId="9">
    <w:nsid w:val="5DAD6642"/>
    <w:multiLevelType w:val="singleLevel"/>
    <w:tmpl w:val="5DAD6642"/>
    <w:lvl w:ilvl="0" w:tentative="0">
      <w:start w:val="2"/>
      <w:numFmt w:val="chineseCounting"/>
      <w:suff w:val="nothing"/>
      <w:lvlText w:val="（%1）"/>
      <w:lvlJc w:val="left"/>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549F"/>
    <w:rsid w:val="0006487A"/>
    <w:rsid w:val="00065F8F"/>
    <w:rsid w:val="000768F2"/>
    <w:rsid w:val="000825D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3C03"/>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156FE"/>
    <w:rsid w:val="003216A9"/>
    <w:rsid w:val="0037013F"/>
    <w:rsid w:val="00380C92"/>
    <w:rsid w:val="0038162C"/>
    <w:rsid w:val="0039612F"/>
    <w:rsid w:val="003A484F"/>
    <w:rsid w:val="003B0BE0"/>
    <w:rsid w:val="003B0C1B"/>
    <w:rsid w:val="003B688C"/>
    <w:rsid w:val="003C0291"/>
    <w:rsid w:val="003C39AE"/>
    <w:rsid w:val="003C7B60"/>
    <w:rsid w:val="003D1FB2"/>
    <w:rsid w:val="003D66DA"/>
    <w:rsid w:val="003E1310"/>
    <w:rsid w:val="003E6F55"/>
    <w:rsid w:val="00402D8C"/>
    <w:rsid w:val="00406254"/>
    <w:rsid w:val="004223DE"/>
    <w:rsid w:val="00426CE5"/>
    <w:rsid w:val="00430E98"/>
    <w:rsid w:val="004336A4"/>
    <w:rsid w:val="00434489"/>
    <w:rsid w:val="00437085"/>
    <w:rsid w:val="00443880"/>
    <w:rsid w:val="004464F4"/>
    <w:rsid w:val="004667C8"/>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94285"/>
    <w:rsid w:val="005D1C8B"/>
    <w:rsid w:val="005D5CED"/>
    <w:rsid w:val="005E25EC"/>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D7DF6"/>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36C3"/>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AF756F"/>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04D28"/>
    <w:rsid w:val="00C33E72"/>
    <w:rsid w:val="00C354B2"/>
    <w:rsid w:val="00C35554"/>
    <w:rsid w:val="00C42709"/>
    <w:rsid w:val="00C4655A"/>
    <w:rsid w:val="00C533CC"/>
    <w:rsid w:val="00C5751C"/>
    <w:rsid w:val="00C61BFC"/>
    <w:rsid w:val="00C62B85"/>
    <w:rsid w:val="00C65438"/>
    <w:rsid w:val="00C91CBB"/>
    <w:rsid w:val="00CB036A"/>
    <w:rsid w:val="00CC09B6"/>
    <w:rsid w:val="00CC666F"/>
    <w:rsid w:val="00CD1E3F"/>
    <w:rsid w:val="00CE44F6"/>
    <w:rsid w:val="00CE49DA"/>
    <w:rsid w:val="00CE6663"/>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46DEB"/>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5140D"/>
    <w:rsid w:val="00F602DF"/>
    <w:rsid w:val="00F81FD9"/>
    <w:rsid w:val="00F841AA"/>
    <w:rsid w:val="00FA23E8"/>
    <w:rsid w:val="00FD3CC1"/>
    <w:rsid w:val="00FF1E02"/>
    <w:rsid w:val="00FF30B4"/>
    <w:rsid w:val="01A41904"/>
    <w:rsid w:val="04DB3FC6"/>
    <w:rsid w:val="07E9437A"/>
    <w:rsid w:val="08480746"/>
    <w:rsid w:val="08BA38C0"/>
    <w:rsid w:val="09A31FD5"/>
    <w:rsid w:val="0F2A78A5"/>
    <w:rsid w:val="10C055FF"/>
    <w:rsid w:val="13BB0C47"/>
    <w:rsid w:val="16BB723D"/>
    <w:rsid w:val="18442BF2"/>
    <w:rsid w:val="22727644"/>
    <w:rsid w:val="240371BF"/>
    <w:rsid w:val="2531538C"/>
    <w:rsid w:val="280F3191"/>
    <w:rsid w:val="28C1574B"/>
    <w:rsid w:val="29FD04D3"/>
    <w:rsid w:val="2A9D54A8"/>
    <w:rsid w:val="2FCD1B21"/>
    <w:rsid w:val="314744DF"/>
    <w:rsid w:val="319F7F4E"/>
    <w:rsid w:val="32FE5EE9"/>
    <w:rsid w:val="35F904C4"/>
    <w:rsid w:val="377D7BA2"/>
    <w:rsid w:val="39022832"/>
    <w:rsid w:val="3B056A86"/>
    <w:rsid w:val="3BA22913"/>
    <w:rsid w:val="3C057E91"/>
    <w:rsid w:val="3EDA122B"/>
    <w:rsid w:val="40F75CD3"/>
    <w:rsid w:val="413F3CF5"/>
    <w:rsid w:val="42866519"/>
    <w:rsid w:val="435F4539"/>
    <w:rsid w:val="4BA86B23"/>
    <w:rsid w:val="4F4F5996"/>
    <w:rsid w:val="511D10DC"/>
    <w:rsid w:val="525162BD"/>
    <w:rsid w:val="543E50C6"/>
    <w:rsid w:val="58470E34"/>
    <w:rsid w:val="5B62675E"/>
    <w:rsid w:val="5D580A8A"/>
    <w:rsid w:val="5DE215A2"/>
    <w:rsid w:val="5DEE5127"/>
    <w:rsid w:val="5E751D80"/>
    <w:rsid w:val="60372532"/>
    <w:rsid w:val="61053A00"/>
    <w:rsid w:val="62060CE6"/>
    <w:rsid w:val="630C0F2A"/>
    <w:rsid w:val="636B4153"/>
    <w:rsid w:val="647E5FE7"/>
    <w:rsid w:val="66883F2C"/>
    <w:rsid w:val="690A2ABF"/>
    <w:rsid w:val="69152E2B"/>
    <w:rsid w:val="6FB54BEC"/>
    <w:rsid w:val="70B242EA"/>
    <w:rsid w:val="71887669"/>
    <w:rsid w:val="74D939AA"/>
    <w:rsid w:val="75AE1318"/>
    <w:rsid w:val="7BB35656"/>
    <w:rsid w:val="7BF166BA"/>
    <w:rsid w:val="7F5B2758"/>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name="toc 1"/>
    <w:lsdException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2">
    <w:name w:val="Default Paragraph Font"/>
    <w:semiHidden/>
    <w:uiPriority w:val="99"/>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cs="仿宋_GB2312"/>
      <w:kern w:val="0"/>
      <w:sz w:val="24"/>
      <w:szCs w:val="24"/>
    </w:rPr>
  </w:style>
  <w:style w:type="paragraph" w:styleId="6">
    <w:name w:val="toc 3"/>
    <w:basedOn w:val="1"/>
    <w:next w:val="1"/>
    <w:semiHidden/>
    <w:qFormat/>
    <w:uiPriority w:val="99"/>
    <w:pPr>
      <w:tabs>
        <w:tab w:val="right" w:leader="dot" w:pos="8296"/>
      </w:tabs>
      <w:ind w:left="840" w:leftChars="400"/>
    </w:pPr>
  </w:style>
  <w:style w:type="paragraph" w:styleId="7">
    <w:name w:val="Balloon Text"/>
    <w:basedOn w:val="1"/>
    <w:link w:val="20"/>
    <w:semiHidden/>
    <w:qFormat/>
    <w:uiPriority w:val="99"/>
    <w:rPr>
      <w:sz w:val="18"/>
      <w:szCs w:val="18"/>
    </w:rPr>
  </w:style>
  <w:style w:type="paragraph" w:styleId="8">
    <w:name w:val="footer"/>
    <w:basedOn w:val="1"/>
    <w:link w:val="24"/>
    <w:uiPriority w:val="99"/>
    <w:pPr>
      <w:tabs>
        <w:tab w:val="center" w:pos="4153"/>
        <w:tab w:val="right" w:pos="8306"/>
      </w:tabs>
      <w:snapToGrid w:val="0"/>
      <w:jc w:val="left"/>
    </w:pPr>
    <w:rPr>
      <w:rFonts w:ascii="Calibri" w:hAnsi="Calibri" w:cs="Calibri"/>
      <w:kern w:val="0"/>
      <w:sz w:val="18"/>
      <w:szCs w:val="18"/>
    </w:rPr>
  </w:style>
  <w:style w:type="paragraph" w:styleId="9">
    <w:name w:val="header"/>
    <w:basedOn w:val="1"/>
    <w:link w:val="23"/>
    <w:semiHidden/>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0">
    <w:name w:val="toc 1"/>
    <w:basedOn w:val="1"/>
    <w:next w:val="1"/>
    <w:semiHidden/>
    <w:uiPriority w:val="99"/>
    <w:pPr>
      <w:tabs>
        <w:tab w:val="right" w:leader="dot" w:pos="8296"/>
      </w:tabs>
      <w:spacing w:before="93"/>
      <w:jc w:val="center"/>
    </w:pPr>
    <w:rPr>
      <w:rFonts w:ascii="仿宋" w:hAnsi="仿宋" w:eastAsia="仿宋" w:cs="仿宋"/>
      <w:sz w:val="28"/>
      <w:szCs w:val="28"/>
    </w:rPr>
  </w:style>
  <w:style w:type="paragraph" w:styleId="11">
    <w:name w:val="toc 2"/>
    <w:basedOn w:val="1"/>
    <w:next w:val="1"/>
    <w:semiHidden/>
    <w:uiPriority w:val="99"/>
    <w:pPr>
      <w:tabs>
        <w:tab w:val="right" w:leader="dot" w:pos="8296"/>
      </w:tabs>
      <w:ind w:left="420" w:leftChars="200"/>
    </w:pPr>
  </w:style>
  <w:style w:type="character" w:styleId="13">
    <w:name w:val="Strong"/>
    <w:basedOn w:val="12"/>
    <w:qFormat/>
    <w:uiPriority w:val="99"/>
    <w:rPr>
      <w:b/>
      <w:bCs/>
    </w:rPr>
  </w:style>
  <w:style w:type="character" w:styleId="14">
    <w:name w:val="Hyperlink"/>
    <w:basedOn w:val="12"/>
    <w:uiPriority w:val="99"/>
    <w:rPr>
      <w:color w:val="0000FF"/>
      <w:u w:val="single"/>
    </w:rPr>
  </w:style>
  <w:style w:type="character" w:customStyle="1" w:styleId="16">
    <w:name w:val="Heading 1 Char"/>
    <w:basedOn w:val="12"/>
    <w:link w:val="2"/>
    <w:locked/>
    <w:uiPriority w:val="99"/>
    <w:rPr>
      <w:rFonts w:ascii="Times New Roman" w:hAnsi="Times New Roman" w:cs="Times New Roman"/>
      <w:b/>
      <w:bCs/>
      <w:kern w:val="44"/>
      <w:sz w:val="44"/>
      <w:szCs w:val="44"/>
    </w:rPr>
  </w:style>
  <w:style w:type="character" w:customStyle="1" w:styleId="17">
    <w:name w:val="Heading 2 Char"/>
    <w:basedOn w:val="12"/>
    <w:link w:val="3"/>
    <w:locked/>
    <w:uiPriority w:val="99"/>
    <w:rPr>
      <w:rFonts w:ascii="Cambria" w:hAnsi="Cambria" w:eastAsia="宋体" w:cs="Cambria"/>
      <w:b/>
      <w:bCs/>
      <w:kern w:val="2"/>
      <w:sz w:val="32"/>
      <w:szCs w:val="32"/>
    </w:rPr>
  </w:style>
  <w:style w:type="character" w:customStyle="1" w:styleId="18">
    <w:name w:val="Heading 3 Char"/>
    <w:basedOn w:val="12"/>
    <w:link w:val="4"/>
    <w:qFormat/>
    <w:locked/>
    <w:uiPriority w:val="99"/>
    <w:rPr>
      <w:rFonts w:ascii="Times New Roman" w:hAnsi="Times New Roman" w:cs="Times New Roman"/>
      <w:b/>
      <w:bCs/>
      <w:kern w:val="2"/>
      <w:sz w:val="32"/>
      <w:szCs w:val="32"/>
    </w:rPr>
  </w:style>
  <w:style w:type="character" w:customStyle="1" w:styleId="19">
    <w:name w:val="Body Text Char"/>
    <w:basedOn w:val="12"/>
    <w:link w:val="5"/>
    <w:semiHidden/>
    <w:locked/>
    <w:uiPriority w:val="99"/>
    <w:rPr>
      <w:rFonts w:ascii="Times New Roman" w:hAnsi="Times New Roman" w:cs="Times New Roman"/>
      <w:sz w:val="24"/>
      <w:szCs w:val="24"/>
    </w:rPr>
  </w:style>
  <w:style w:type="character" w:customStyle="1" w:styleId="20">
    <w:name w:val="Balloon Text Char"/>
    <w:basedOn w:val="12"/>
    <w:link w:val="7"/>
    <w:semiHidden/>
    <w:qFormat/>
    <w:locked/>
    <w:uiPriority w:val="99"/>
    <w:rPr>
      <w:rFonts w:ascii="Times New Roman" w:hAnsi="Times New Roman" w:cs="Times New Roman"/>
      <w:kern w:val="2"/>
      <w:sz w:val="18"/>
      <w:szCs w:val="18"/>
    </w:rPr>
  </w:style>
  <w:style w:type="character" w:customStyle="1" w:styleId="21">
    <w:name w:val="Footer Char"/>
    <w:basedOn w:val="12"/>
    <w:link w:val="8"/>
    <w:semiHidden/>
    <w:locked/>
    <w:uiPriority w:val="99"/>
    <w:rPr>
      <w:rFonts w:ascii="Times New Roman" w:hAnsi="Times New Roman" w:cs="Times New Roman"/>
      <w:sz w:val="18"/>
      <w:szCs w:val="18"/>
    </w:rPr>
  </w:style>
  <w:style w:type="character" w:customStyle="1" w:styleId="22">
    <w:name w:val="Header Char"/>
    <w:basedOn w:val="12"/>
    <w:link w:val="9"/>
    <w:semiHidden/>
    <w:locked/>
    <w:uiPriority w:val="99"/>
    <w:rPr>
      <w:rFonts w:ascii="Times New Roman" w:hAnsi="Times New Roman" w:cs="Times New Roman"/>
      <w:sz w:val="18"/>
      <w:szCs w:val="18"/>
    </w:rPr>
  </w:style>
  <w:style w:type="character" w:customStyle="1" w:styleId="23">
    <w:name w:val="Header Char1"/>
    <w:link w:val="9"/>
    <w:semiHidden/>
    <w:locked/>
    <w:uiPriority w:val="99"/>
    <w:rPr>
      <w:sz w:val="18"/>
      <w:szCs w:val="18"/>
    </w:rPr>
  </w:style>
  <w:style w:type="character" w:customStyle="1" w:styleId="24">
    <w:name w:val="Footer Char1"/>
    <w:link w:val="8"/>
    <w:locked/>
    <w:uiPriority w:val="99"/>
    <w:rPr>
      <w:sz w:val="18"/>
      <w:szCs w:val="18"/>
    </w:rPr>
  </w:style>
  <w:style w:type="character" w:customStyle="1" w:styleId="25">
    <w:name w:val="Body Text Char1"/>
    <w:link w:val="5"/>
    <w:locked/>
    <w:uiPriority w:val="99"/>
    <w:rPr>
      <w:rFonts w:ascii="仿宋_GB2312" w:hAnsi="Times New Roman" w:eastAsia="仿宋_GB2312" w:cs="仿宋_GB2312"/>
      <w:sz w:val="24"/>
      <w:szCs w:val="24"/>
    </w:rPr>
  </w:style>
  <w:style w:type="paragraph" w:customStyle="1" w:styleId="26">
    <w:name w:val="Defaul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27">
    <w:name w:val="List Paragraph1"/>
    <w:basedOn w:val="1"/>
    <w:uiPriority w:val="99"/>
    <w:pPr>
      <w:ind w:firstLine="420" w:firstLineChars="200"/>
    </w:pPr>
  </w:style>
  <w:style w:type="paragraph" w:customStyle="1" w:styleId="28">
    <w:name w:val="TOC Heading1"/>
    <w:basedOn w:val="2"/>
    <w:next w:val="1"/>
    <w:uiPriority w:val="99"/>
    <w:pPr>
      <w:widowControl/>
      <w:spacing w:before="480" w:after="0" w:line="276" w:lineRule="auto"/>
      <w:jc w:val="left"/>
      <w:outlineLvl w:val="9"/>
    </w:pPr>
    <w:rPr>
      <w:rFonts w:ascii="Cambria" w:hAnsi="Cambria" w:cs="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emf"/><Relationship Id="rId17" Type="http://schemas.openxmlformats.org/officeDocument/2006/relationships/oleObject" Target="embeddings/oleObject7.bin"/><Relationship Id="rId16" Type="http://schemas.openxmlformats.org/officeDocument/2006/relationships/image" Target="media/image5.emf"/><Relationship Id="rId15" Type="http://schemas.openxmlformats.org/officeDocument/2006/relationships/oleObject" Target="embeddings/oleObject6.bin"/><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21</Pages>
  <Words>1121</Words>
  <Characters>6393</Characters>
  <Lines>0</Lines>
  <Paragraphs>0</Paragraphs>
  <TotalTime>0</TotalTime>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lynx</cp:lastModifiedBy>
  <cp:lastPrinted>2019-10-21T08:07:00Z</cp:lastPrinted>
  <dcterms:modified xsi:type="dcterms:W3CDTF">2019-10-31T06:26:35Z</dcterms:modified>
  <dc:title>四川省***</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