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397336">
      <w:pPr>
        <w:spacing w:line="600" w:lineRule="exact"/>
        <w:jc w:val="center"/>
        <w:outlineLvl w:val="0"/>
        <w:rPr>
          <w:rFonts w:ascii="方正小标宋简体" w:hAnsi="宋体" w:eastAsia="方正小标宋简体"/>
          <w:color w:val="000000"/>
          <w:sz w:val="72"/>
          <w:szCs w:val="72"/>
        </w:rPr>
      </w:pPr>
      <w:bookmarkStart w:id="0" w:name="_Toc15306267"/>
    </w:p>
    <w:p w14:paraId="3AEC6893">
      <w:pPr>
        <w:spacing w:line="600" w:lineRule="exact"/>
        <w:jc w:val="center"/>
        <w:outlineLvl w:val="0"/>
        <w:rPr>
          <w:rFonts w:ascii="方正小标宋简体" w:hAnsi="宋体" w:eastAsia="方正小标宋简体"/>
          <w:color w:val="000000"/>
          <w:sz w:val="72"/>
          <w:szCs w:val="72"/>
        </w:rPr>
      </w:pPr>
    </w:p>
    <w:p w14:paraId="6B1EF35D">
      <w:pPr>
        <w:spacing w:line="600" w:lineRule="exact"/>
        <w:jc w:val="center"/>
        <w:outlineLvl w:val="0"/>
        <w:rPr>
          <w:rFonts w:ascii="方正小标宋简体" w:hAnsi="宋体" w:eastAsia="方正小标宋简体"/>
          <w:color w:val="000000"/>
          <w:sz w:val="72"/>
          <w:szCs w:val="72"/>
        </w:rPr>
      </w:pPr>
    </w:p>
    <w:p w14:paraId="05E8A30B">
      <w:pPr>
        <w:spacing w:line="600" w:lineRule="exact"/>
        <w:jc w:val="center"/>
        <w:outlineLvl w:val="0"/>
        <w:rPr>
          <w:rFonts w:ascii="方正小标宋简体" w:hAnsi="宋体" w:eastAsia="方正小标宋简体"/>
          <w:color w:val="000000"/>
          <w:sz w:val="72"/>
          <w:szCs w:val="72"/>
        </w:rPr>
      </w:pPr>
    </w:p>
    <w:p w14:paraId="197E1946">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96597"/>
      <w:bookmarkStart w:id="3" w:name="_Toc15378441"/>
      <w:bookmarkStart w:id="4" w:name="_Toc15377193"/>
      <w:bookmarkStart w:id="5" w:name="_Toc15396475"/>
      <w:r>
        <w:rPr>
          <w:rFonts w:ascii="方正小标宋简体" w:hAnsi="宋体" w:eastAsia="方正小标宋简体"/>
          <w:color w:val="000000"/>
          <w:sz w:val="72"/>
          <w:szCs w:val="72"/>
        </w:rPr>
        <w:t>20</w:t>
      </w:r>
      <w:r>
        <w:rPr>
          <w:rFonts w:hint="eastAsia" w:ascii="方正小标宋简体" w:hAnsi="宋体" w:eastAsia="方正小标宋简体"/>
          <w:color w:val="000000"/>
          <w:sz w:val="72"/>
          <w:szCs w:val="72"/>
        </w:rPr>
        <w:t>20年度</w:t>
      </w:r>
      <w:bookmarkEnd w:id="1"/>
      <w:bookmarkEnd w:id="2"/>
      <w:bookmarkEnd w:id="3"/>
      <w:bookmarkEnd w:id="4"/>
      <w:bookmarkEnd w:id="5"/>
    </w:p>
    <w:p w14:paraId="08ED9B38">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476"/>
      <w:bookmarkStart w:id="7" w:name="_Toc15396598"/>
      <w:bookmarkStart w:id="8" w:name="_Toc15377194"/>
      <w:bookmarkStart w:id="9" w:name="_Toc15378442"/>
      <w:bookmarkStart w:id="10" w:name="_Toc15377426"/>
      <w:r>
        <w:rPr>
          <w:rFonts w:hint="eastAsia" w:ascii="方正小标宋简体" w:hAnsi="宋体" w:eastAsia="方正小标宋简体"/>
          <w:color w:val="000000"/>
          <w:sz w:val="72"/>
          <w:szCs w:val="72"/>
        </w:rPr>
        <w:t>四川省乐山市井研县</w:t>
      </w:r>
      <w:bookmarkEnd w:id="0"/>
      <w:bookmarkStart w:id="11" w:name="_Toc15306268"/>
      <w:r>
        <w:rPr>
          <w:rFonts w:hint="eastAsia" w:ascii="方正小标宋简体" w:hAnsi="宋体" w:eastAsia="方正小标宋简体"/>
          <w:color w:val="000000"/>
          <w:sz w:val="72"/>
          <w:szCs w:val="72"/>
        </w:rPr>
        <w:t>镇阳镇人民政府部门决算</w:t>
      </w:r>
      <w:bookmarkEnd w:id="6"/>
      <w:bookmarkEnd w:id="7"/>
      <w:bookmarkEnd w:id="8"/>
      <w:bookmarkEnd w:id="9"/>
      <w:bookmarkEnd w:id="10"/>
      <w:bookmarkEnd w:id="11"/>
    </w:p>
    <w:p w14:paraId="59526F48">
      <w:pPr>
        <w:adjustRightInd w:val="0"/>
        <w:snapToGrid w:val="0"/>
        <w:spacing w:line="360" w:lineRule="auto"/>
        <w:jc w:val="center"/>
        <w:outlineLvl w:val="0"/>
        <w:rPr>
          <w:rFonts w:ascii="方正小标宋简体" w:hAnsi="宋体" w:eastAsia="方正小标宋简体"/>
          <w:color w:val="000000"/>
          <w:sz w:val="52"/>
          <w:szCs w:val="52"/>
        </w:rPr>
      </w:pPr>
    </w:p>
    <w:p w14:paraId="3DF025A5">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 录</w:t>
      </w:r>
      <w:bookmarkStart w:id="12" w:name="_Toc15377196"/>
      <w:bookmarkStart w:id="13" w:name="_Toc15396599"/>
    </w:p>
    <w:p w14:paraId="4651D282">
      <w:pPr>
        <w:widowControl/>
        <w:jc w:val="center"/>
        <w:rPr>
          <w:rFonts w:ascii="仿宋" w:hAnsi="仿宋" w:eastAsia="仿宋"/>
          <w:color w:val="000000"/>
          <w:sz w:val="28"/>
          <w:szCs w:val="28"/>
        </w:rPr>
      </w:pPr>
      <w:r>
        <w:rPr>
          <w:rFonts w:ascii="仿宋" w:hAnsi="仿宋" w:eastAsia="仿宋"/>
          <w:color w:val="000000"/>
          <w:sz w:val="32"/>
          <w:szCs w:val="32"/>
        </w:rPr>
        <w:fldChar w:fldCharType="begin"/>
      </w:r>
      <w:r>
        <w:rPr>
          <w:rFonts w:ascii="仿宋" w:hAnsi="仿宋" w:eastAsia="仿宋"/>
          <w:color w:val="000000"/>
          <w:sz w:val="32"/>
          <w:szCs w:val="32"/>
        </w:rPr>
        <w:instrText xml:space="preserve"> TOC \o "1-2" \h \z \u </w:instrText>
      </w:r>
      <w:r>
        <w:rPr>
          <w:rFonts w:ascii="仿宋" w:hAnsi="仿宋" w:eastAsia="仿宋"/>
          <w:color w:val="000000"/>
          <w:sz w:val="32"/>
          <w:szCs w:val="32"/>
        </w:rPr>
        <w:fldChar w:fldCharType="separate"/>
      </w:r>
      <w:r>
        <w:rPr>
          <w:rFonts w:ascii="仿宋" w:hAnsi="仿宋" w:eastAsia="仿宋"/>
          <w:color w:val="000000"/>
          <w:sz w:val="28"/>
          <w:szCs w:val="28"/>
        </w:rPr>
        <w:fldChar w:fldCharType="begin"/>
      </w:r>
      <w:r>
        <w:rPr>
          <w:rFonts w:ascii="仿宋" w:hAnsi="仿宋" w:eastAsia="仿宋"/>
          <w:color w:val="000000"/>
          <w:sz w:val="28"/>
          <w:szCs w:val="28"/>
        </w:rPr>
        <w:instrText xml:space="preserve"> TOC \o "1-2" \h \z \u </w:instrText>
      </w:r>
      <w:r>
        <w:rPr>
          <w:rFonts w:ascii="仿宋" w:hAnsi="仿宋" w:eastAsia="仿宋"/>
          <w:color w:val="000000"/>
          <w:sz w:val="28"/>
          <w:szCs w:val="28"/>
        </w:rPr>
        <w:fldChar w:fldCharType="separate"/>
      </w:r>
    </w:p>
    <w:p w14:paraId="47DCEB07">
      <w:pPr>
        <w:pStyle w:val="10"/>
      </w:pPr>
      <w:r>
        <w:rPr>
          <w:rFonts w:hint="eastAsia"/>
        </w:rPr>
        <w:t>公开时间：2021年9月2</w:t>
      </w:r>
      <w:r>
        <w:rPr>
          <w:rFonts w:hint="eastAsia"/>
          <w:lang w:val="en-US" w:eastAsia="zh-CN"/>
        </w:rPr>
        <w:t>7</w:t>
      </w:r>
      <w:r>
        <w:rPr>
          <w:rFonts w:hint="eastAsia"/>
        </w:rPr>
        <w:t>日</w:t>
      </w:r>
    </w:p>
    <w:p w14:paraId="1F1C0DE1">
      <w:pPr>
        <w:rPr>
          <w:rFonts w:ascii="仿宋" w:hAnsi="仿宋" w:eastAsia="仿宋"/>
          <w:sz w:val="28"/>
          <w:szCs w:val="28"/>
        </w:rPr>
      </w:pPr>
    </w:p>
    <w:p w14:paraId="065F5E29">
      <w:pPr>
        <w:pStyle w:val="10"/>
        <w:rPr>
          <w:rFonts w:cstheme="minorBidi"/>
        </w:rPr>
      </w:pPr>
      <w:r>
        <w:fldChar w:fldCharType="begin"/>
      </w:r>
      <w:r>
        <w:instrText xml:space="preserve"> HYPERLINK \l "_Toc15396599" </w:instrText>
      </w:r>
      <w:r>
        <w:fldChar w:fldCharType="separate"/>
      </w:r>
      <w:r>
        <w:rPr>
          <w:rStyle w:val="16"/>
          <w:rFonts w:hint="eastAsia"/>
        </w:rPr>
        <w:t>第一部分部门概况</w:t>
      </w:r>
      <w:r>
        <w:tab/>
      </w:r>
      <w:r>
        <w:rPr>
          <w:rFonts w:hint="eastAsia"/>
        </w:rPr>
        <w:t>4</w:t>
      </w:r>
      <w:r>
        <w:rPr>
          <w:rFonts w:hint="eastAsia"/>
        </w:rPr>
        <w:fldChar w:fldCharType="end"/>
      </w:r>
    </w:p>
    <w:p w14:paraId="0A6DF818">
      <w:pPr>
        <w:pStyle w:val="11"/>
        <w:ind w:firstLine="210" w:firstLineChars="100"/>
        <w:rPr>
          <w:rFonts w:ascii="仿宋" w:hAnsi="仿宋" w:eastAsia="仿宋" w:cstheme="minorBidi"/>
          <w:sz w:val="28"/>
          <w:szCs w:val="28"/>
        </w:rPr>
      </w:pPr>
      <w:r>
        <w:fldChar w:fldCharType="begin"/>
      </w:r>
      <w:r>
        <w:instrText xml:space="preserve"> HYPERLINK \l "_Toc15396600" </w:instrText>
      </w:r>
      <w:r>
        <w:fldChar w:fldCharType="separate"/>
      </w:r>
      <w:r>
        <w:rPr>
          <w:rStyle w:val="16"/>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14:paraId="3B7100D5">
      <w:pPr>
        <w:pStyle w:val="11"/>
        <w:ind w:firstLine="210" w:firstLineChars="100"/>
        <w:rPr>
          <w:rFonts w:ascii="仿宋" w:hAnsi="仿宋" w:eastAsia="仿宋" w:cstheme="minorBidi"/>
          <w:sz w:val="28"/>
          <w:szCs w:val="28"/>
        </w:rPr>
      </w:pPr>
      <w:r>
        <w:fldChar w:fldCharType="begin"/>
      </w:r>
      <w:r>
        <w:instrText xml:space="preserve"> HYPERLINK \l "_Toc15396601" </w:instrText>
      </w:r>
      <w:r>
        <w:fldChar w:fldCharType="separate"/>
      </w:r>
      <w:r>
        <w:rPr>
          <w:rStyle w:val="16"/>
          <w:rFonts w:hint="eastAsia" w:ascii="仿宋" w:hAnsi="仿宋" w:eastAsia="仿宋"/>
          <w:sz w:val="28"/>
          <w:szCs w:val="28"/>
        </w:rPr>
        <w:t>二、机构设置</w:t>
      </w:r>
      <w:r>
        <w:rPr>
          <w:rFonts w:ascii="仿宋" w:hAnsi="仿宋" w:eastAsia="仿宋"/>
          <w:sz w:val="28"/>
          <w:szCs w:val="28"/>
        </w:rPr>
        <w:tab/>
      </w:r>
      <w:r>
        <w:rPr>
          <w:rFonts w:hint="eastAsia" w:ascii="仿宋" w:hAnsi="仿宋" w:eastAsia="仿宋"/>
          <w:sz w:val="28"/>
          <w:szCs w:val="28"/>
        </w:rPr>
        <w:t>9</w:t>
      </w:r>
      <w:r>
        <w:rPr>
          <w:rFonts w:hint="eastAsia" w:ascii="仿宋" w:hAnsi="仿宋" w:eastAsia="仿宋"/>
          <w:sz w:val="28"/>
          <w:szCs w:val="28"/>
        </w:rPr>
        <w:fldChar w:fldCharType="end"/>
      </w:r>
    </w:p>
    <w:p w14:paraId="20BD870E">
      <w:pPr>
        <w:pStyle w:val="10"/>
      </w:pPr>
      <w:r>
        <w:fldChar w:fldCharType="begin"/>
      </w:r>
      <w:r>
        <w:instrText xml:space="preserve"> HYPERLINK \l "_Toc15396602" </w:instrText>
      </w:r>
      <w:r>
        <w:fldChar w:fldCharType="separate"/>
      </w:r>
      <w:r>
        <w:rPr>
          <w:rStyle w:val="16"/>
          <w:rFonts w:hint="eastAsia"/>
        </w:rPr>
        <w:t>第二部分</w:t>
      </w:r>
      <w:r>
        <w:rPr>
          <w:rStyle w:val="16"/>
        </w:rPr>
        <w:t xml:space="preserve"> 20</w:t>
      </w:r>
      <w:r>
        <w:rPr>
          <w:rStyle w:val="16"/>
          <w:rFonts w:hint="eastAsia"/>
        </w:rPr>
        <w:t>20年度部门决算情况说明</w:t>
      </w:r>
      <w:r>
        <w:tab/>
      </w:r>
      <w:r>
        <w:rPr>
          <w:rFonts w:hint="eastAsia"/>
        </w:rPr>
        <w:t>10</w:t>
      </w:r>
      <w:r>
        <w:rPr>
          <w:rFonts w:hint="eastAsia"/>
        </w:rPr>
        <w:fldChar w:fldCharType="end"/>
      </w:r>
    </w:p>
    <w:p w14:paraId="5A92ADC4">
      <w:pPr>
        <w:pStyle w:val="11"/>
        <w:ind w:firstLine="210" w:firstLineChars="100"/>
        <w:rPr>
          <w:rFonts w:ascii="仿宋" w:hAnsi="仿宋" w:eastAsia="仿宋" w:cstheme="minorBidi"/>
          <w:sz w:val="28"/>
          <w:szCs w:val="28"/>
        </w:rPr>
      </w:pPr>
      <w:r>
        <w:fldChar w:fldCharType="begin"/>
      </w:r>
      <w:r>
        <w:instrText xml:space="preserve"> HYPERLINK \l "_Toc15396603" </w:instrText>
      </w:r>
      <w:r>
        <w:fldChar w:fldCharType="separate"/>
      </w:r>
      <w:r>
        <w:rPr>
          <w:rStyle w:val="16"/>
          <w:rFonts w:hint="eastAsia" w:ascii="仿宋" w:hAnsi="仿宋" w:eastAsia="仿宋" w:cstheme="majorBidi"/>
          <w:bCs/>
          <w:sz w:val="28"/>
          <w:szCs w:val="28"/>
        </w:rPr>
        <w:t>一、</w:t>
      </w:r>
      <w:r>
        <w:rPr>
          <w:rStyle w:val="16"/>
          <w:rFonts w:hint="eastAsia" w:ascii="仿宋" w:hAnsi="仿宋" w:eastAsia="仿宋"/>
          <w:sz w:val="28"/>
          <w:szCs w:val="28"/>
        </w:rPr>
        <w:t>收</w:t>
      </w:r>
      <w:r>
        <w:rPr>
          <w:rStyle w:val="16"/>
          <w:rFonts w:hint="eastAsia" w:ascii="仿宋" w:hAnsi="仿宋" w:eastAsia="仿宋" w:cstheme="majorBidi"/>
          <w:bCs/>
          <w:sz w:val="28"/>
          <w:szCs w:val="28"/>
        </w:rPr>
        <w:t>入支出决算总体情况说明</w:t>
      </w:r>
      <w:r>
        <w:rPr>
          <w:rFonts w:ascii="仿宋" w:hAnsi="仿宋" w:eastAsia="仿宋"/>
          <w:sz w:val="28"/>
          <w:szCs w:val="28"/>
        </w:rPr>
        <w:tab/>
      </w:r>
      <w:r>
        <w:rPr>
          <w:rFonts w:hint="eastAsia" w:ascii="仿宋" w:hAnsi="仿宋" w:eastAsia="仿宋"/>
          <w:sz w:val="28"/>
          <w:szCs w:val="28"/>
        </w:rPr>
        <w:t>10</w:t>
      </w:r>
      <w:r>
        <w:rPr>
          <w:rFonts w:hint="eastAsia" w:ascii="仿宋" w:hAnsi="仿宋" w:eastAsia="仿宋"/>
          <w:sz w:val="28"/>
          <w:szCs w:val="28"/>
        </w:rPr>
        <w:fldChar w:fldCharType="end"/>
      </w:r>
    </w:p>
    <w:p w14:paraId="234873A4">
      <w:pPr>
        <w:pStyle w:val="11"/>
        <w:ind w:firstLine="210" w:firstLineChars="100"/>
        <w:rPr>
          <w:rFonts w:ascii="仿宋" w:hAnsi="仿宋" w:eastAsia="仿宋" w:cstheme="minorBidi"/>
          <w:sz w:val="28"/>
          <w:szCs w:val="28"/>
        </w:rPr>
      </w:pPr>
      <w:r>
        <w:fldChar w:fldCharType="begin"/>
      </w:r>
      <w:r>
        <w:instrText xml:space="preserve"> HYPERLINK \l "_Toc15396604" </w:instrText>
      </w:r>
      <w:r>
        <w:fldChar w:fldCharType="separate"/>
      </w:r>
      <w:r>
        <w:rPr>
          <w:rStyle w:val="16"/>
          <w:rFonts w:hint="eastAsia" w:ascii="仿宋" w:hAnsi="仿宋" w:eastAsia="仿宋" w:cstheme="majorBidi"/>
          <w:bCs/>
          <w:sz w:val="28"/>
          <w:szCs w:val="28"/>
        </w:rPr>
        <w:t>二、</w:t>
      </w:r>
      <w:r>
        <w:rPr>
          <w:rStyle w:val="16"/>
          <w:rFonts w:hint="eastAsia" w:ascii="仿宋" w:hAnsi="仿宋" w:eastAsia="仿宋"/>
          <w:sz w:val="28"/>
          <w:szCs w:val="28"/>
        </w:rPr>
        <w:t>收</w:t>
      </w:r>
      <w:r>
        <w:rPr>
          <w:rStyle w:val="16"/>
          <w:rFonts w:hint="eastAsia" w:ascii="仿宋" w:hAnsi="仿宋" w:eastAsia="仿宋" w:cstheme="majorBidi"/>
          <w:bCs/>
          <w:sz w:val="28"/>
          <w:szCs w:val="28"/>
        </w:rPr>
        <w:t>入决算情况说明</w:t>
      </w:r>
      <w:r>
        <w:rPr>
          <w:rFonts w:ascii="仿宋" w:hAnsi="仿宋" w:eastAsia="仿宋"/>
          <w:sz w:val="28"/>
          <w:szCs w:val="28"/>
        </w:rPr>
        <w:tab/>
      </w:r>
      <w:r>
        <w:rPr>
          <w:rFonts w:hint="eastAsia" w:ascii="仿宋" w:hAnsi="仿宋" w:eastAsia="仿宋"/>
          <w:sz w:val="28"/>
          <w:szCs w:val="28"/>
        </w:rPr>
        <w:t>10</w:t>
      </w:r>
      <w:r>
        <w:rPr>
          <w:rFonts w:hint="eastAsia" w:ascii="仿宋" w:hAnsi="仿宋" w:eastAsia="仿宋"/>
          <w:sz w:val="28"/>
          <w:szCs w:val="28"/>
        </w:rPr>
        <w:fldChar w:fldCharType="end"/>
      </w:r>
    </w:p>
    <w:p w14:paraId="729B65DB">
      <w:pPr>
        <w:pStyle w:val="11"/>
        <w:ind w:firstLine="210" w:firstLineChars="100"/>
        <w:rPr>
          <w:rFonts w:ascii="仿宋" w:hAnsi="仿宋" w:eastAsia="仿宋" w:cstheme="minorBidi"/>
          <w:sz w:val="28"/>
          <w:szCs w:val="28"/>
        </w:rPr>
      </w:pPr>
      <w:r>
        <w:fldChar w:fldCharType="begin"/>
      </w:r>
      <w:r>
        <w:instrText xml:space="preserve"> HYPERLINK \l "_Toc15396605" </w:instrText>
      </w:r>
      <w:r>
        <w:fldChar w:fldCharType="separate"/>
      </w:r>
      <w:r>
        <w:rPr>
          <w:rStyle w:val="16"/>
          <w:rFonts w:hint="eastAsia" w:ascii="仿宋" w:hAnsi="仿宋" w:eastAsia="仿宋" w:cstheme="majorBidi"/>
          <w:bCs/>
          <w:sz w:val="28"/>
          <w:szCs w:val="28"/>
        </w:rPr>
        <w:t>三、</w:t>
      </w:r>
      <w:r>
        <w:rPr>
          <w:rStyle w:val="16"/>
          <w:rFonts w:hint="eastAsia" w:ascii="仿宋" w:hAnsi="仿宋" w:eastAsia="仿宋"/>
          <w:sz w:val="28"/>
          <w:szCs w:val="28"/>
        </w:rPr>
        <w:t>支</w:t>
      </w:r>
      <w:r>
        <w:rPr>
          <w:rStyle w:val="16"/>
          <w:rFonts w:hint="eastAsia" w:ascii="仿宋" w:hAnsi="仿宋" w:eastAsia="仿宋" w:cstheme="majorBidi"/>
          <w:bCs/>
          <w:sz w:val="28"/>
          <w:szCs w:val="28"/>
        </w:rPr>
        <w:t>出决算情况说明</w:t>
      </w:r>
      <w:r>
        <w:rPr>
          <w:rFonts w:ascii="仿宋" w:hAnsi="仿宋" w:eastAsia="仿宋"/>
          <w:sz w:val="28"/>
          <w:szCs w:val="28"/>
        </w:rPr>
        <w:tab/>
      </w:r>
      <w:r>
        <w:rPr>
          <w:rFonts w:hint="eastAsia" w:ascii="仿宋" w:hAnsi="仿宋" w:eastAsia="仿宋"/>
          <w:sz w:val="28"/>
          <w:szCs w:val="28"/>
        </w:rPr>
        <w:t>11</w:t>
      </w:r>
      <w:r>
        <w:rPr>
          <w:rFonts w:hint="eastAsia" w:ascii="仿宋" w:hAnsi="仿宋" w:eastAsia="仿宋"/>
          <w:sz w:val="28"/>
          <w:szCs w:val="28"/>
        </w:rPr>
        <w:fldChar w:fldCharType="end"/>
      </w:r>
    </w:p>
    <w:p w14:paraId="34FD1BA2">
      <w:pPr>
        <w:pStyle w:val="11"/>
        <w:ind w:firstLine="210" w:firstLineChars="100"/>
        <w:rPr>
          <w:rFonts w:ascii="仿宋" w:hAnsi="仿宋" w:eastAsia="仿宋" w:cstheme="minorBidi"/>
          <w:sz w:val="28"/>
          <w:szCs w:val="28"/>
        </w:rPr>
      </w:pPr>
      <w:r>
        <w:fldChar w:fldCharType="begin"/>
      </w:r>
      <w:r>
        <w:instrText xml:space="preserve"> HYPERLINK \l "_Toc15396606" </w:instrText>
      </w:r>
      <w:r>
        <w:fldChar w:fldCharType="separate"/>
      </w:r>
      <w:r>
        <w:rPr>
          <w:rStyle w:val="16"/>
          <w:rFonts w:hint="eastAsia" w:ascii="仿宋" w:hAnsi="仿宋" w:eastAsia="仿宋"/>
          <w:sz w:val="28"/>
          <w:szCs w:val="28"/>
        </w:rPr>
        <w:t>四、财</w:t>
      </w:r>
      <w:r>
        <w:rPr>
          <w:rStyle w:val="16"/>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hint="eastAsia" w:ascii="仿宋" w:hAnsi="仿宋" w:eastAsia="仿宋"/>
          <w:sz w:val="28"/>
          <w:szCs w:val="28"/>
        </w:rPr>
        <w:t>11</w:t>
      </w:r>
      <w:r>
        <w:rPr>
          <w:rFonts w:hint="eastAsia" w:ascii="仿宋" w:hAnsi="仿宋" w:eastAsia="仿宋"/>
          <w:sz w:val="28"/>
          <w:szCs w:val="28"/>
        </w:rPr>
        <w:fldChar w:fldCharType="end"/>
      </w:r>
    </w:p>
    <w:p w14:paraId="29872622">
      <w:pPr>
        <w:pStyle w:val="11"/>
        <w:ind w:firstLine="210" w:firstLineChars="100"/>
        <w:rPr>
          <w:rFonts w:ascii="仿宋" w:hAnsi="仿宋" w:eastAsia="仿宋" w:cstheme="minorBidi"/>
          <w:sz w:val="28"/>
          <w:szCs w:val="28"/>
        </w:rPr>
      </w:pPr>
      <w:r>
        <w:fldChar w:fldCharType="begin"/>
      </w:r>
      <w:r>
        <w:instrText xml:space="preserve"> HYPERLINK \l "_Toc15396607" </w:instrText>
      </w:r>
      <w:r>
        <w:fldChar w:fldCharType="separate"/>
      </w:r>
      <w:r>
        <w:rPr>
          <w:rStyle w:val="16"/>
          <w:rFonts w:hint="eastAsia" w:ascii="仿宋" w:hAnsi="仿宋" w:eastAsia="仿宋"/>
          <w:sz w:val="28"/>
          <w:szCs w:val="28"/>
        </w:rPr>
        <w:t>五、一</w:t>
      </w:r>
      <w:r>
        <w:rPr>
          <w:rStyle w:val="16"/>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hint="eastAsia" w:ascii="仿宋" w:hAnsi="仿宋" w:eastAsia="仿宋"/>
          <w:sz w:val="28"/>
          <w:szCs w:val="28"/>
        </w:rPr>
        <w:t>12</w:t>
      </w:r>
      <w:r>
        <w:rPr>
          <w:rFonts w:hint="eastAsia" w:ascii="仿宋" w:hAnsi="仿宋" w:eastAsia="仿宋"/>
          <w:sz w:val="28"/>
          <w:szCs w:val="28"/>
        </w:rPr>
        <w:fldChar w:fldCharType="end"/>
      </w:r>
    </w:p>
    <w:p w14:paraId="5FC85135">
      <w:pPr>
        <w:pStyle w:val="11"/>
        <w:ind w:firstLine="210" w:firstLineChars="100"/>
        <w:rPr>
          <w:rFonts w:ascii="仿宋" w:hAnsi="仿宋" w:eastAsia="仿宋" w:cstheme="minorBidi"/>
          <w:sz w:val="28"/>
          <w:szCs w:val="28"/>
        </w:rPr>
      </w:pPr>
      <w:r>
        <w:fldChar w:fldCharType="begin"/>
      </w:r>
      <w:r>
        <w:instrText xml:space="preserve"> HYPERLINK \l "_Toc15396608" </w:instrText>
      </w:r>
      <w:r>
        <w:fldChar w:fldCharType="separate"/>
      </w:r>
      <w:r>
        <w:rPr>
          <w:rStyle w:val="16"/>
          <w:rFonts w:hint="eastAsia" w:ascii="仿宋" w:hAnsi="仿宋" w:eastAsia="仿宋"/>
          <w:sz w:val="28"/>
          <w:szCs w:val="28"/>
        </w:rPr>
        <w:t>六、一</w:t>
      </w:r>
      <w:r>
        <w:rPr>
          <w:rStyle w:val="16"/>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hint="eastAsia" w:ascii="仿宋" w:hAnsi="仿宋" w:eastAsia="仿宋"/>
          <w:sz w:val="28"/>
          <w:szCs w:val="28"/>
        </w:rPr>
        <w:t>15</w:t>
      </w:r>
      <w:r>
        <w:rPr>
          <w:rFonts w:hint="eastAsia" w:ascii="仿宋" w:hAnsi="仿宋" w:eastAsia="仿宋"/>
          <w:sz w:val="28"/>
          <w:szCs w:val="28"/>
        </w:rPr>
        <w:fldChar w:fldCharType="end"/>
      </w:r>
    </w:p>
    <w:p w14:paraId="5C88AF4E">
      <w:pPr>
        <w:pStyle w:val="11"/>
        <w:ind w:firstLine="210" w:firstLineChars="100"/>
        <w:rPr>
          <w:rFonts w:ascii="仿宋" w:hAnsi="仿宋" w:eastAsia="仿宋" w:cstheme="minorBidi"/>
          <w:sz w:val="28"/>
          <w:szCs w:val="28"/>
        </w:rPr>
      </w:pPr>
      <w:r>
        <w:fldChar w:fldCharType="begin"/>
      </w:r>
      <w:r>
        <w:instrText xml:space="preserve"> HYPERLINK \l "_Toc15396609" </w:instrText>
      </w:r>
      <w:r>
        <w:fldChar w:fldCharType="separate"/>
      </w:r>
      <w:r>
        <w:rPr>
          <w:rStyle w:val="16"/>
          <w:rFonts w:hint="eastAsia" w:ascii="仿宋" w:hAnsi="仿宋" w:eastAsia="仿宋"/>
          <w:sz w:val="28"/>
          <w:szCs w:val="28"/>
        </w:rPr>
        <w:t>七、</w:t>
      </w:r>
      <w:r>
        <w:rPr>
          <w:rStyle w:val="16"/>
          <w:rFonts w:ascii="仿宋" w:hAnsi="仿宋" w:eastAsia="仿宋"/>
          <w:sz w:val="28"/>
          <w:szCs w:val="28"/>
        </w:rPr>
        <w:t>“</w:t>
      </w:r>
      <w:r>
        <w:rPr>
          <w:rStyle w:val="16"/>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hint="eastAsia" w:ascii="仿宋" w:hAnsi="仿宋" w:eastAsia="仿宋"/>
          <w:sz w:val="28"/>
          <w:szCs w:val="28"/>
        </w:rPr>
        <w:t>15</w:t>
      </w:r>
      <w:r>
        <w:rPr>
          <w:rFonts w:hint="eastAsia" w:ascii="仿宋" w:hAnsi="仿宋" w:eastAsia="仿宋"/>
          <w:sz w:val="28"/>
          <w:szCs w:val="28"/>
        </w:rPr>
        <w:fldChar w:fldCharType="end"/>
      </w:r>
    </w:p>
    <w:p w14:paraId="3B69C1FF">
      <w:pPr>
        <w:pStyle w:val="11"/>
        <w:ind w:firstLine="210" w:firstLineChars="100"/>
        <w:rPr>
          <w:rFonts w:ascii="仿宋" w:hAnsi="仿宋" w:eastAsia="仿宋" w:cstheme="minorBidi"/>
          <w:sz w:val="28"/>
          <w:szCs w:val="28"/>
        </w:rPr>
      </w:pPr>
      <w:r>
        <w:fldChar w:fldCharType="begin"/>
      </w:r>
      <w:r>
        <w:instrText xml:space="preserve"> HYPERLINK \l "_Toc15396610" </w:instrText>
      </w:r>
      <w:r>
        <w:fldChar w:fldCharType="separate"/>
      </w:r>
      <w:r>
        <w:rPr>
          <w:rStyle w:val="16"/>
          <w:rFonts w:hint="eastAsia" w:ascii="仿宋" w:hAnsi="仿宋" w:eastAsia="仿宋"/>
          <w:sz w:val="28"/>
          <w:szCs w:val="28"/>
        </w:rPr>
        <w:t>八、</w:t>
      </w:r>
      <w:r>
        <w:rPr>
          <w:rStyle w:val="16"/>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hint="eastAsia" w:ascii="仿宋" w:hAnsi="仿宋" w:eastAsia="仿宋"/>
          <w:sz w:val="28"/>
          <w:szCs w:val="28"/>
        </w:rPr>
        <w:t>17</w:t>
      </w:r>
      <w:r>
        <w:rPr>
          <w:rFonts w:hint="eastAsia" w:ascii="仿宋" w:hAnsi="仿宋" w:eastAsia="仿宋"/>
          <w:sz w:val="28"/>
          <w:szCs w:val="28"/>
        </w:rPr>
        <w:fldChar w:fldCharType="end"/>
      </w:r>
    </w:p>
    <w:p w14:paraId="5BB4E78D">
      <w:pPr>
        <w:pStyle w:val="11"/>
        <w:ind w:firstLine="210" w:firstLineChars="100"/>
        <w:rPr>
          <w:rFonts w:ascii="仿宋" w:hAnsi="仿宋" w:eastAsia="仿宋"/>
          <w:sz w:val="28"/>
          <w:szCs w:val="28"/>
        </w:rPr>
      </w:pPr>
      <w:r>
        <w:fldChar w:fldCharType="begin"/>
      </w:r>
      <w:r>
        <w:instrText xml:space="preserve"> HYPERLINK \l "_Toc15396611" </w:instrText>
      </w:r>
      <w:r>
        <w:fldChar w:fldCharType="separate"/>
      </w:r>
      <w:r>
        <w:rPr>
          <w:rStyle w:val="16"/>
          <w:rFonts w:hint="eastAsia" w:ascii="仿宋" w:hAnsi="仿宋" w:eastAsia="仿宋" w:cstheme="majorBidi"/>
          <w:bCs/>
          <w:sz w:val="28"/>
          <w:szCs w:val="28"/>
        </w:rPr>
        <w:t>九、</w:t>
      </w:r>
      <w:r>
        <w:rPr>
          <w:rStyle w:val="16"/>
          <w:rFonts w:hint="eastAsia" w:ascii="仿宋" w:hAnsi="仿宋" w:eastAsia="仿宋"/>
          <w:sz w:val="28"/>
          <w:szCs w:val="28"/>
        </w:rPr>
        <w:t xml:space="preserve"> 国</w:t>
      </w:r>
      <w:r>
        <w:rPr>
          <w:rStyle w:val="16"/>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hint="eastAsia" w:ascii="仿宋" w:hAnsi="仿宋" w:eastAsia="仿宋"/>
          <w:sz w:val="28"/>
          <w:szCs w:val="28"/>
        </w:rPr>
        <w:t>17</w:t>
      </w:r>
      <w:r>
        <w:rPr>
          <w:rFonts w:hint="eastAsia" w:ascii="仿宋" w:hAnsi="仿宋" w:eastAsia="仿宋"/>
          <w:sz w:val="28"/>
          <w:szCs w:val="28"/>
        </w:rPr>
        <w:fldChar w:fldCharType="end"/>
      </w:r>
    </w:p>
    <w:p w14:paraId="13BC8021">
      <w:pPr>
        <w:pStyle w:val="11"/>
        <w:ind w:firstLine="210" w:firstLineChars="100"/>
        <w:rPr>
          <w:rFonts w:ascii="仿宋" w:hAnsi="仿宋" w:eastAsia="仿宋" w:cstheme="minorBidi"/>
          <w:sz w:val="28"/>
          <w:szCs w:val="28"/>
        </w:rPr>
      </w:pPr>
      <w:r>
        <w:fldChar w:fldCharType="begin"/>
      </w:r>
      <w:r>
        <w:instrText xml:space="preserve"> HYPERLINK \l "_Toc15396612" </w:instrText>
      </w:r>
      <w:r>
        <w:fldChar w:fldCharType="separate"/>
      </w:r>
      <w:r>
        <w:rPr>
          <w:rStyle w:val="16"/>
          <w:rFonts w:hint="eastAsia" w:ascii="仿宋" w:hAnsi="仿宋" w:eastAsia="仿宋"/>
          <w:sz w:val="28"/>
          <w:szCs w:val="28"/>
        </w:rPr>
        <w:t>十</w:t>
      </w:r>
      <w:r>
        <w:rPr>
          <w:rStyle w:val="16"/>
          <w:rFonts w:hint="eastAsia" w:ascii="仿宋" w:hAnsi="仿宋" w:eastAsia="仿宋" w:cstheme="majorBidi"/>
          <w:bCs/>
          <w:sz w:val="28"/>
          <w:szCs w:val="28"/>
        </w:rPr>
        <w:t>、</w:t>
      </w:r>
      <w:r>
        <w:rPr>
          <w:rFonts w:hint="eastAsia" w:ascii="仿宋" w:hAnsi="仿宋" w:eastAsia="仿宋"/>
          <w:color w:val="000000"/>
          <w:sz w:val="32"/>
          <w:szCs w:val="32"/>
        </w:rPr>
        <w:t>其他重要事项的情况说明</w:t>
      </w:r>
      <w:r>
        <w:rPr>
          <w:rFonts w:ascii="仿宋" w:hAnsi="仿宋" w:eastAsia="仿宋"/>
          <w:sz w:val="28"/>
          <w:szCs w:val="28"/>
        </w:rPr>
        <w:tab/>
      </w:r>
      <w:r>
        <w:rPr>
          <w:rFonts w:hint="eastAsia" w:ascii="仿宋" w:hAnsi="仿宋" w:eastAsia="仿宋"/>
          <w:sz w:val="28"/>
          <w:szCs w:val="28"/>
        </w:rPr>
        <w:t>17</w:t>
      </w:r>
      <w:r>
        <w:rPr>
          <w:rFonts w:hint="eastAsia" w:ascii="仿宋" w:hAnsi="仿宋" w:eastAsia="仿宋"/>
          <w:sz w:val="28"/>
          <w:szCs w:val="28"/>
        </w:rPr>
        <w:fldChar w:fldCharType="end"/>
      </w:r>
    </w:p>
    <w:p w14:paraId="7D106ED7">
      <w:pPr>
        <w:pStyle w:val="10"/>
        <w:rPr>
          <w:rFonts w:cstheme="minorBidi"/>
        </w:rPr>
      </w:pPr>
      <w:r>
        <w:fldChar w:fldCharType="begin"/>
      </w:r>
      <w:r>
        <w:instrText xml:space="preserve"> HYPERLINK \l "_Toc15396613" </w:instrText>
      </w:r>
      <w:r>
        <w:fldChar w:fldCharType="separate"/>
      </w:r>
      <w:r>
        <w:rPr>
          <w:rStyle w:val="16"/>
          <w:rFonts w:hint="eastAsia"/>
          <w:bCs/>
          <w:kern w:val="44"/>
        </w:rPr>
        <w:t>第三部分</w:t>
      </w:r>
      <w:r>
        <w:rPr>
          <w:rStyle w:val="16"/>
          <w:rFonts w:hint="eastAsia"/>
        </w:rPr>
        <w:t xml:space="preserve"> 名</w:t>
      </w:r>
      <w:r>
        <w:rPr>
          <w:rStyle w:val="16"/>
          <w:rFonts w:hint="eastAsia"/>
          <w:bCs/>
          <w:kern w:val="44"/>
        </w:rPr>
        <w:t>词解释</w:t>
      </w:r>
      <w:r>
        <w:tab/>
      </w:r>
      <w:r>
        <w:rPr>
          <w:rFonts w:hint="eastAsia"/>
        </w:rPr>
        <w:t>24</w:t>
      </w:r>
      <w:r>
        <w:rPr>
          <w:rFonts w:hint="eastAsia"/>
        </w:rPr>
        <w:fldChar w:fldCharType="end"/>
      </w:r>
    </w:p>
    <w:p w14:paraId="5A612821">
      <w:pPr>
        <w:pStyle w:val="10"/>
        <w:rPr>
          <w:rFonts w:cstheme="minorBidi"/>
        </w:rPr>
      </w:pPr>
      <w:r>
        <w:fldChar w:fldCharType="begin"/>
      </w:r>
      <w:r>
        <w:instrText xml:space="preserve"> HYPERLINK \l "_Toc15396614" </w:instrText>
      </w:r>
      <w:r>
        <w:fldChar w:fldCharType="separate"/>
      </w:r>
      <w:r>
        <w:rPr>
          <w:rStyle w:val="16"/>
          <w:rFonts w:hint="eastAsia"/>
        </w:rPr>
        <w:t>第</w:t>
      </w:r>
      <w:r>
        <w:rPr>
          <w:rStyle w:val="16"/>
          <w:rFonts w:hint="eastAsia"/>
          <w:bCs/>
          <w:kern w:val="44"/>
        </w:rPr>
        <w:t>四部分附件</w:t>
      </w:r>
      <w:r>
        <w:tab/>
      </w:r>
      <w:r>
        <w:rPr>
          <w:rFonts w:hint="eastAsia"/>
        </w:rPr>
        <w:t>30</w:t>
      </w:r>
      <w:r>
        <w:rPr>
          <w:rFonts w:hint="eastAsia"/>
        </w:rPr>
        <w:fldChar w:fldCharType="end"/>
      </w:r>
    </w:p>
    <w:p w14:paraId="0CA562D6">
      <w:pPr>
        <w:pStyle w:val="11"/>
        <w:ind w:firstLine="210" w:firstLineChars="100"/>
      </w:pPr>
      <w:r>
        <w:fldChar w:fldCharType="begin"/>
      </w:r>
      <w:r>
        <w:instrText xml:space="preserve"> HYPERLINK \l "_Toc15396615"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1</w:t>
      </w:r>
      <w:r>
        <w:rPr>
          <w:rFonts w:ascii="仿宋" w:hAnsi="仿宋" w:eastAsia="仿宋"/>
          <w:sz w:val="28"/>
          <w:szCs w:val="28"/>
        </w:rPr>
        <w:tab/>
      </w:r>
      <w:r>
        <w:rPr>
          <w:rFonts w:hint="eastAsia" w:ascii="仿宋" w:hAnsi="仿宋" w:eastAsia="仿宋"/>
          <w:sz w:val="28"/>
          <w:szCs w:val="28"/>
        </w:rPr>
        <w:t>30</w:t>
      </w:r>
      <w:r>
        <w:rPr>
          <w:rFonts w:hint="eastAsia" w:ascii="仿宋" w:hAnsi="仿宋" w:eastAsia="仿宋"/>
          <w:sz w:val="28"/>
          <w:szCs w:val="28"/>
        </w:rPr>
        <w:fldChar w:fldCharType="end"/>
      </w:r>
    </w:p>
    <w:p w14:paraId="11FC7136">
      <w:pPr>
        <w:pStyle w:val="11"/>
        <w:ind w:left="0" w:leftChars="0" w:firstLine="630" w:firstLineChars="300"/>
      </w:pPr>
      <w:r>
        <w:fldChar w:fldCharType="begin"/>
      </w:r>
      <w:r>
        <w:instrText xml:space="preserve"> HYPERLINK \l "_Toc15396615" </w:instrText>
      </w:r>
      <w:r>
        <w:fldChar w:fldCharType="separate"/>
      </w:r>
      <w:r>
        <w:rPr>
          <w:rStyle w:val="16"/>
          <w:rFonts w:hint="eastAsia" w:ascii="仿宋" w:hAnsi="仿宋" w:eastAsia="仿宋"/>
          <w:kern w:val="44"/>
          <w:sz w:val="28"/>
          <w:szCs w:val="28"/>
        </w:rPr>
        <w:t>附件2</w:t>
      </w:r>
      <w:r>
        <w:rPr>
          <w:rFonts w:ascii="仿宋" w:hAnsi="仿宋" w:eastAsia="仿宋"/>
          <w:sz w:val="28"/>
          <w:szCs w:val="28"/>
        </w:rPr>
        <w:tab/>
      </w:r>
      <w:r>
        <w:rPr>
          <w:rFonts w:hint="eastAsia" w:ascii="仿宋" w:hAnsi="仿宋" w:eastAsia="仿宋"/>
          <w:sz w:val="28"/>
          <w:szCs w:val="28"/>
        </w:rPr>
        <w:t>40</w:t>
      </w:r>
      <w:r>
        <w:rPr>
          <w:rFonts w:hint="eastAsia" w:ascii="仿宋" w:hAnsi="仿宋" w:eastAsia="仿宋"/>
          <w:sz w:val="28"/>
          <w:szCs w:val="28"/>
        </w:rPr>
        <w:fldChar w:fldCharType="end"/>
      </w:r>
    </w:p>
    <w:p w14:paraId="3BFACCA7">
      <w:pPr>
        <w:pStyle w:val="10"/>
        <w:rPr>
          <w:rFonts w:cstheme="minorBidi"/>
        </w:rPr>
      </w:pPr>
      <w:r>
        <w:fldChar w:fldCharType="begin"/>
      </w:r>
      <w:r>
        <w:instrText xml:space="preserve"> HYPERLINK \l "_Toc15396618" </w:instrText>
      </w:r>
      <w:r>
        <w:fldChar w:fldCharType="separate"/>
      </w:r>
      <w:r>
        <w:rPr>
          <w:rStyle w:val="16"/>
          <w:rFonts w:hint="eastAsia"/>
        </w:rPr>
        <w:t>第</w:t>
      </w:r>
      <w:r>
        <w:rPr>
          <w:rStyle w:val="16"/>
          <w:rFonts w:hint="eastAsia"/>
          <w:bCs/>
          <w:kern w:val="44"/>
        </w:rPr>
        <w:t>五部分附表</w:t>
      </w:r>
      <w:r>
        <w:tab/>
      </w:r>
      <w:r>
        <w:rPr>
          <w:rFonts w:hint="eastAsia"/>
        </w:rPr>
        <w:t>43</w:t>
      </w:r>
      <w:r>
        <w:rPr>
          <w:rFonts w:hint="eastAsia"/>
        </w:rPr>
        <w:fldChar w:fldCharType="end"/>
      </w:r>
    </w:p>
    <w:p w14:paraId="07AAB640">
      <w:pPr>
        <w:pStyle w:val="11"/>
        <w:ind w:firstLine="280" w:firstLineChars="100"/>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6"/>
          <w:rFonts w:hint="eastAsia" w:ascii="仿宋" w:hAnsi="仿宋" w:eastAsia="仿宋"/>
          <w:sz w:val="28"/>
          <w:szCs w:val="28"/>
        </w:rPr>
        <w:t>收入支出决算总表</w:t>
      </w:r>
      <w:r>
        <w:rPr>
          <w:rFonts w:ascii="仿宋" w:hAnsi="仿宋" w:eastAsia="仿宋"/>
          <w:sz w:val="28"/>
          <w:szCs w:val="28"/>
        </w:rPr>
        <w:tab/>
      </w:r>
      <w:r>
        <w:rPr>
          <w:rFonts w:hint="eastAsia" w:ascii="仿宋" w:hAnsi="仿宋" w:eastAsia="仿宋"/>
          <w:sz w:val="28"/>
          <w:szCs w:val="28"/>
        </w:rPr>
        <w:t>43</w:t>
      </w:r>
      <w:r>
        <w:rPr>
          <w:rFonts w:hint="eastAsia" w:ascii="仿宋" w:hAnsi="仿宋" w:eastAsia="仿宋"/>
          <w:sz w:val="28"/>
          <w:szCs w:val="28"/>
        </w:rPr>
        <w:fldChar w:fldCharType="end"/>
      </w:r>
    </w:p>
    <w:p w14:paraId="74A9B80B">
      <w:pPr>
        <w:pStyle w:val="11"/>
        <w:ind w:firstLine="280" w:firstLineChars="100"/>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6"/>
          <w:rFonts w:hint="eastAsia" w:ascii="仿宋" w:hAnsi="仿宋" w:eastAsia="仿宋"/>
          <w:sz w:val="28"/>
          <w:szCs w:val="28"/>
        </w:rPr>
        <w:t>收入决算表</w:t>
      </w:r>
      <w:r>
        <w:rPr>
          <w:rFonts w:ascii="仿宋" w:hAnsi="仿宋" w:eastAsia="仿宋"/>
          <w:sz w:val="28"/>
          <w:szCs w:val="28"/>
        </w:rPr>
        <w:tab/>
      </w:r>
      <w:r>
        <w:rPr>
          <w:rFonts w:hint="eastAsia" w:ascii="仿宋" w:hAnsi="仿宋" w:eastAsia="仿宋"/>
          <w:sz w:val="28"/>
          <w:szCs w:val="28"/>
        </w:rPr>
        <w:t>43</w:t>
      </w:r>
      <w:r>
        <w:rPr>
          <w:rFonts w:hint="eastAsia" w:ascii="仿宋" w:hAnsi="仿宋" w:eastAsia="仿宋"/>
          <w:sz w:val="28"/>
          <w:szCs w:val="28"/>
        </w:rPr>
        <w:fldChar w:fldCharType="end"/>
      </w:r>
    </w:p>
    <w:p w14:paraId="5BE19F45">
      <w:pPr>
        <w:pStyle w:val="11"/>
        <w:ind w:firstLine="280" w:firstLineChars="100"/>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6"/>
          <w:rFonts w:hint="eastAsia" w:ascii="仿宋" w:hAnsi="仿宋" w:eastAsia="仿宋"/>
          <w:sz w:val="28"/>
          <w:szCs w:val="28"/>
        </w:rPr>
        <w:t>支出决算表</w:t>
      </w:r>
      <w:r>
        <w:rPr>
          <w:rFonts w:ascii="仿宋" w:hAnsi="仿宋" w:eastAsia="仿宋"/>
          <w:sz w:val="28"/>
          <w:szCs w:val="28"/>
        </w:rPr>
        <w:tab/>
      </w:r>
      <w:r>
        <w:rPr>
          <w:rFonts w:hint="eastAsia" w:ascii="仿宋" w:hAnsi="仿宋" w:eastAsia="仿宋"/>
          <w:sz w:val="28"/>
          <w:szCs w:val="28"/>
        </w:rPr>
        <w:t>43</w:t>
      </w:r>
      <w:r>
        <w:rPr>
          <w:rFonts w:hint="eastAsia" w:ascii="仿宋" w:hAnsi="仿宋" w:eastAsia="仿宋"/>
          <w:sz w:val="28"/>
          <w:szCs w:val="28"/>
        </w:rPr>
        <w:fldChar w:fldCharType="end"/>
      </w:r>
    </w:p>
    <w:p w14:paraId="5258BA84">
      <w:pPr>
        <w:pStyle w:val="11"/>
        <w:ind w:firstLine="280" w:firstLineChars="100"/>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6"/>
          <w:rFonts w:hint="eastAsia" w:ascii="仿宋" w:hAnsi="仿宋" w:eastAsia="仿宋"/>
          <w:sz w:val="28"/>
          <w:szCs w:val="28"/>
        </w:rPr>
        <w:t>财政拨款收入支出决算总表</w:t>
      </w:r>
      <w:r>
        <w:rPr>
          <w:rFonts w:ascii="仿宋" w:hAnsi="仿宋" w:eastAsia="仿宋"/>
          <w:sz w:val="28"/>
          <w:szCs w:val="28"/>
        </w:rPr>
        <w:tab/>
      </w:r>
      <w:r>
        <w:rPr>
          <w:rFonts w:hint="eastAsia" w:ascii="仿宋" w:hAnsi="仿宋" w:eastAsia="仿宋"/>
          <w:sz w:val="28"/>
          <w:szCs w:val="28"/>
        </w:rPr>
        <w:t>43</w:t>
      </w:r>
      <w:r>
        <w:rPr>
          <w:rFonts w:hint="eastAsia" w:ascii="仿宋" w:hAnsi="仿宋" w:eastAsia="仿宋"/>
          <w:sz w:val="28"/>
          <w:szCs w:val="28"/>
        </w:rPr>
        <w:fldChar w:fldCharType="end"/>
      </w:r>
    </w:p>
    <w:p w14:paraId="04D5EFEC">
      <w:pPr>
        <w:pStyle w:val="11"/>
        <w:ind w:firstLine="280" w:firstLineChars="100"/>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hint="eastAsia" w:ascii="仿宋" w:hAnsi="仿宋" w:eastAsia="仿宋"/>
          <w:sz w:val="28"/>
          <w:szCs w:val="28"/>
        </w:rPr>
        <w:t>43</w:t>
      </w:r>
      <w:r>
        <w:rPr>
          <w:rFonts w:hint="eastAsia" w:ascii="仿宋" w:hAnsi="仿宋" w:eastAsia="仿宋"/>
          <w:sz w:val="28"/>
          <w:szCs w:val="28"/>
        </w:rPr>
        <w:fldChar w:fldCharType="end"/>
      </w:r>
    </w:p>
    <w:p w14:paraId="008ABF8A">
      <w:pPr>
        <w:pStyle w:val="11"/>
        <w:ind w:firstLine="280" w:firstLineChars="100"/>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6"/>
          <w:rFonts w:hint="eastAsia" w:ascii="仿宋" w:hAnsi="仿宋" w:eastAsia="仿宋"/>
          <w:sz w:val="28"/>
          <w:szCs w:val="28"/>
        </w:rPr>
        <w:t>一般公共预算财政拨款支出决算表</w:t>
      </w:r>
      <w:r>
        <w:rPr>
          <w:rFonts w:ascii="仿宋" w:hAnsi="仿宋" w:eastAsia="仿宋"/>
          <w:sz w:val="28"/>
          <w:szCs w:val="28"/>
        </w:rPr>
        <w:tab/>
      </w:r>
      <w:r>
        <w:rPr>
          <w:rFonts w:hint="eastAsia" w:ascii="仿宋" w:hAnsi="仿宋" w:eastAsia="仿宋"/>
          <w:sz w:val="28"/>
          <w:szCs w:val="28"/>
        </w:rPr>
        <w:t>43</w:t>
      </w:r>
      <w:r>
        <w:rPr>
          <w:rFonts w:hint="eastAsia" w:ascii="仿宋" w:hAnsi="仿宋" w:eastAsia="仿宋"/>
          <w:sz w:val="28"/>
          <w:szCs w:val="28"/>
        </w:rPr>
        <w:fldChar w:fldCharType="end"/>
      </w:r>
    </w:p>
    <w:p w14:paraId="5015E602">
      <w:pPr>
        <w:pStyle w:val="11"/>
        <w:ind w:firstLine="280" w:firstLineChars="100"/>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6"/>
          <w:rFonts w:hint="eastAsia" w:ascii="仿宋" w:hAnsi="仿宋" w:eastAsia="仿宋"/>
          <w:sz w:val="28"/>
          <w:szCs w:val="28"/>
        </w:rPr>
        <w:t>一般公共预算财政拨款支出决算明细表</w:t>
      </w:r>
      <w:r>
        <w:rPr>
          <w:rFonts w:ascii="仿宋" w:hAnsi="仿宋" w:eastAsia="仿宋"/>
          <w:sz w:val="28"/>
          <w:szCs w:val="28"/>
        </w:rPr>
        <w:tab/>
      </w:r>
      <w:r>
        <w:rPr>
          <w:rFonts w:hint="eastAsia" w:ascii="仿宋" w:hAnsi="仿宋" w:eastAsia="仿宋"/>
          <w:sz w:val="28"/>
          <w:szCs w:val="28"/>
        </w:rPr>
        <w:t>43</w:t>
      </w:r>
      <w:r>
        <w:rPr>
          <w:rFonts w:hint="eastAsia" w:ascii="仿宋" w:hAnsi="仿宋" w:eastAsia="仿宋"/>
          <w:sz w:val="28"/>
          <w:szCs w:val="28"/>
        </w:rPr>
        <w:fldChar w:fldCharType="end"/>
      </w:r>
    </w:p>
    <w:p w14:paraId="48EF300D">
      <w:pPr>
        <w:pStyle w:val="11"/>
        <w:ind w:firstLine="280" w:firstLineChars="100"/>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6"/>
          <w:rFonts w:hint="eastAsia" w:ascii="仿宋" w:hAnsi="仿宋" w:eastAsia="仿宋"/>
          <w:sz w:val="28"/>
          <w:szCs w:val="28"/>
        </w:rPr>
        <w:t>一般公共预算财政拨款基本支出决算表</w:t>
      </w:r>
      <w:r>
        <w:rPr>
          <w:rFonts w:ascii="仿宋" w:hAnsi="仿宋" w:eastAsia="仿宋"/>
          <w:sz w:val="28"/>
          <w:szCs w:val="28"/>
        </w:rPr>
        <w:tab/>
      </w:r>
      <w:r>
        <w:rPr>
          <w:rFonts w:hint="eastAsia" w:ascii="仿宋" w:hAnsi="仿宋" w:eastAsia="仿宋"/>
          <w:sz w:val="28"/>
          <w:szCs w:val="28"/>
        </w:rPr>
        <w:t>43</w:t>
      </w:r>
      <w:r>
        <w:rPr>
          <w:rFonts w:hint="eastAsia" w:ascii="仿宋" w:hAnsi="仿宋" w:eastAsia="仿宋"/>
          <w:sz w:val="28"/>
          <w:szCs w:val="28"/>
        </w:rPr>
        <w:fldChar w:fldCharType="end"/>
      </w:r>
    </w:p>
    <w:p w14:paraId="593A39F2">
      <w:pPr>
        <w:pStyle w:val="11"/>
        <w:ind w:firstLine="280" w:firstLineChars="100"/>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6"/>
          <w:rFonts w:hint="eastAsia" w:ascii="仿宋" w:hAnsi="仿宋" w:eastAsia="仿宋"/>
          <w:sz w:val="28"/>
          <w:szCs w:val="28"/>
        </w:rPr>
        <w:t>一般公共预算财政拨款项目支出决算表</w:t>
      </w:r>
      <w:r>
        <w:rPr>
          <w:rFonts w:ascii="仿宋" w:hAnsi="仿宋" w:eastAsia="仿宋"/>
          <w:sz w:val="28"/>
          <w:szCs w:val="28"/>
        </w:rPr>
        <w:tab/>
      </w:r>
      <w:r>
        <w:rPr>
          <w:rFonts w:hint="eastAsia" w:ascii="仿宋" w:hAnsi="仿宋" w:eastAsia="仿宋"/>
          <w:sz w:val="28"/>
          <w:szCs w:val="28"/>
        </w:rPr>
        <w:t>43</w:t>
      </w:r>
      <w:r>
        <w:rPr>
          <w:rFonts w:hint="eastAsia" w:ascii="仿宋" w:hAnsi="仿宋" w:eastAsia="仿宋"/>
          <w:sz w:val="28"/>
          <w:szCs w:val="28"/>
        </w:rPr>
        <w:fldChar w:fldCharType="end"/>
      </w:r>
    </w:p>
    <w:p w14:paraId="25C472E7">
      <w:pPr>
        <w:pStyle w:val="11"/>
        <w:ind w:firstLine="280" w:firstLineChars="100"/>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6"/>
          <w:rFonts w:hint="eastAsia" w:ascii="仿宋" w:hAnsi="仿宋" w:eastAsia="仿宋"/>
          <w:sz w:val="28"/>
          <w:szCs w:val="28"/>
        </w:rPr>
        <w:t>一般公共预算财政拨款“三公”经费支出决算表</w:t>
      </w:r>
      <w:r>
        <w:rPr>
          <w:rFonts w:ascii="仿宋" w:hAnsi="仿宋" w:eastAsia="仿宋"/>
          <w:sz w:val="28"/>
          <w:szCs w:val="28"/>
        </w:rPr>
        <w:tab/>
      </w:r>
      <w:r>
        <w:rPr>
          <w:rFonts w:hint="eastAsia" w:ascii="仿宋" w:hAnsi="仿宋" w:eastAsia="仿宋"/>
          <w:sz w:val="28"/>
          <w:szCs w:val="28"/>
        </w:rPr>
        <w:t>43</w:t>
      </w:r>
      <w:r>
        <w:rPr>
          <w:rFonts w:hint="eastAsia" w:ascii="仿宋" w:hAnsi="仿宋" w:eastAsia="仿宋"/>
          <w:sz w:val="28"/>
          <w:szCs w:val="28"/>
        </w:rPr>
        <w:fldChar w:fldCharType="end"/>
      </w:r>
    </w:p>
    <w:p w14:paraId="396F1CF2">
      <w:pPr>
        <w:pStyle w:val="11"/>
        <w:ind w:firstLine="280" w:firstLineChars="100"/>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6"/>
          <w:rFonts w:hint="eastAsia" w:ascii="仿宋" w:hAnsi="仿宋" w:eastAsia="仿宋"/>
          <w:sz w:val="28"/>
          <w:szCs w:val="28"/>
        </w:rPr>
        <w:t>政府性基金预算财政拨款收入支出决算表</w:t>
      </w:r>
      <w:r>
        <w:rPr>
          <w:rFonts w:ascii="仿宋" w:hAnsi="仿宋" w:eastAsia="仿宋"/>
          <w:sz w:val="28"/>
          <w:szCs w:val="28"/>
        </w:rPr>
        <w:tab/>
      </w:r>
      <w:r>
        <w:rPr>
          <w:rFonts w:hint="eastAsia" w:ascii="仿宋" w:hAnsi="仿宋" w:eastAsia="仿宋"/>
          <w:sz w:val="28"/>
          <w:szCs w:val="28"/>
        </w:rPr>
        <w:t>43</w:t>
      </w:r>
      <w:r>
        <w:rPr>
          <w:rFonts w:hint="eastAsia" w:ascii="仿宋" w:hAnsi="仿宋" w:eastAsia="仿宋"/>
          <w:sz w:val="28"/>
          <w:szCs w:val="28"/>
        </w:rPr>
        <w:fldChar w:fldCharType="end"/>
      </w:r>
    </w:p>
    <w:p w14:paraId="4A7FF624">
      <w:pPr>
        <w:pStyle w:val="11"/>
        <w:ind w:firstLine="280" w:firstLineChars="100"/>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6"/>
          <w:rFonts w:hint="eastAsia" w:ascii="仿宋" w:hAnsi="仿宋" w:eastAsia="仿宋"/>
          <w:sz w:val="28"/>
          <w:szCs w:val="28"/>
        </w:rPr>
        <w:t>政府性基金预算财政拨款“三公”经费支出决算表</w:t>
      </w:r>
      <w:r>
        <w:rPr>
          <w:rFonts w:ascii="仿宋" w:hAnsi="仿宋" w:eastAsia="仿宋"/>
          <w:sz w:val="28"/>
          <w:szCs w:val="28"/>
        </w:rPr>
        <w:tab/>
      </w:r>
      <w:r>
        <w:rPr>
          <w:rFonts w:hint="eastAsia" w:ascii="仿宋" w:hAnsi="仿宋" w:eastAsia="仿宋"/>
          <w:sz w:val="28"/>
          <w:szCs w:val="28"/>
        </w:rPr>
        <w:t>43</w:t>
      </w:r>
      <w:r>
        <w:rPr>
          <w:rFonts w:hint="eastAsia" w:ascii="仿宋" w:hAnsi="仿宋" w:eastAsia="仿宋"/>
          <w:sz w:val="28"/>
          <w:szCs w:val="28"/>
        </w:rPr>
        <w:fldChar w:fldCharType="end"/>
      </w:r>
    </w:p>
    <w:p w14:paraId="6A9549ED">
      <w:pPr>
        <w:pStyle w:val="11"/>
        <w:ind w:firstLine="280" w:firstLineChars="100"/>
        <w:rPr>
          <w:rFonts w:ascii="仿宋" w:hAnsi="仿宋" w:eastAsia="仿宋"/>
          <w:sz w:val="28"/>
          <w:szCs w:val="28"/>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6"/>
          <w:rFonts w:hint="eastAsia" w:ascii="仿宋" w:hAnsi="仿宋" w:eastAsia="仿宋"/>
          <w:sz w:val="28"/>
          <w:szCs w:val="28"/>
        </w:rPr>
        <w:t>国有资本经营预算财政拨款支出决算表</w:t>
      </w:r>
      <w:r>
        <w:rPr>
          <w:rFonts w:ascii="仿宋" w:hAnsi="仿宋" w:eastAsia="仿宋"/>
          <w:sz w:val="28"/>
          <w:szCs w:val="28"/>
        </w:rPr>
        <w:tab/>
      </w:r>
      <w:r>
        <w:rPr>
          <w:rFonts w:hint="eastAsia" w:ascii="仿宋" w:hAnsi="仿宋" w:eastAsia="仿宋"/>
          <w:sz w:val="28"/>
          <w:szCs w:val="28"/>
        </w:rPr>
        <w:t>43</w:t>
      </w:r>
      <w:r>
        <w:rPr>
          <w:rFonts w:hint="eastAsia" w:ascii="仿宋" w:hAnsi="仿宋" w:eastAsia="仿宋"/>
          <w:sz w:val="28"/>
          <w:szCs w:val="28"/>
        </w:rPr>
        <w:fldChar w:fldCharType="end"/>
      </w:r>
    </w:p>
    <w:p w14:paraId="0352C0F7">
      <w:pPr>
        <w:pStyle w:val="11"/>
        <w:adjustRightInd w:val="0"/>
        <w:snapToGrid w:val="0"/>
        <w:spacing w:line="440" w:lineRule="exact"/>
        <w:ind w:firstLine="280" w:firstLineChars="100"/>
        <w:jc w:val="left"/>
        <w:rPr>
          <w:rFonts w:ascii="仿宋" w:hAnsi="仿宋" w:eastAsia="仿宋"/>
          <w:sz w:val="28"/>
          <w:szCs w:val="28"/>
        </w:rPr>
      </w:pPr>
      <w:r>
        <w:rPr>
          <w:rFonts w:hint="eastAsia" w:ascii="仿宋" w:hAnsi="仿宋" w:eastAsia="仿宋"/>
          <w:sz w:val="28"/>
          <w:szCs w:val="28"/>
        </w:rPr>
        <w:t>十四、</w:t>
      </w:r>
      <w:r>
        <w:fldChar w:fldCharType="begin"/>
      </w:r>
      <w:r>
        <w:instrText xml:space="preserve"> HYPERLINK \l "_Toc15396631" </w:instrText>
      </w:r>
      <w:r>
        <w:fldChar w:fldCharType="separate"/>
      </w:r>
      <w:r>
        <w:rPr>
          <w:rStyle w:val="16"/>
          <w:rFonts w:hint="eastAsia" w:ascii="仿宋" w:hAnsi="仿宋" w:eastAsia="仿宋"/>
          <w:sz w:val="28"/>
          <w:szCs w:val="28"/>
        </w:rPr>
        <w:t>国有资本经营预算财政拨款支出决算表</w:t>
      </w:r>
      <w:r>
        <w:rPr>
          <w:rFonts w:ascii="仿宋" w:hAnsi="仿宋" w:eastAsia="仿宋"/>
          <w:sz w:val="28"/>
          <w:szCs w:val="28"/>
        </w:rPr>
        <w:tab/>
      </w:r>
      <w:r>
        <w:rPr>
          <w:rFonts w:hint="eastAsia" w:ascii="仿宋" w:hAnsi="仿宋" w:eastAsia="仿宋"/>
          <w:sz w:val="28"/>
          <w:szCs w:val="28"/>
        </w:rPr>
        <w:t>43</w:t>
      </w:r>
      <w:r>
        <w:rPr>
          <w:rFonts w:hint="eastAsia" w:ascii="仿宋" w:hAnsi="仿宋" w:eastAsia="仿宋"/>
          <w:sz w:val="28"/>
          <w:szCs w:val="28"/>
        </w:rPr>
        <w:fldChar w:fldCharType="end"/>
      </w:r>
    </w:p>
    <w:p w14:paraId="44ECF9DF">
      <w:pPr>
        <w:rPr>
          <w:rFonts w:eastAsia="仿宋"/>
        </w:rPr>
      </w:pPr>
    </w:p>
    <w:p w14:paraId="6A52DA41">
      <w:pPr>
        <w:pStyle w:val="11"/>
        <w:adjustRightInd w:val="0"/>
        <w:snapToGrid w:val="0"/>
        <w:spacing w:line="440" w:lineRule="exact"/>
        <w:ind w:left="0" w:leftChars="0"/>
        <w:jc w:val="left"/>
        <w:rPr>
          <w:rFonts w:ascii="仿宋" w:hAnsi="仿宋" w:eastAsia="仿宋"/>
          <w:sz w:val="24"/>
        </w:rPr>
      </w:pPr>
      <w:r>
        <w:rPr>
          <w:rFonts w:ascii="仿宋" w:hAnsi="仿宋" w:eastAsia="仿宋"/>
          <w:color w:val="000000"/>
          <w:sz w:val="28"/>
          <w:szCs w:val="28"/>
        </w:rPr>
        <w:fldChar w:fldCharType="end"/>
      </w:r>
    </w:p>
    <w:p w14:paraId="74DC0947">
      <w:pPr>
        <w:widowControl/>
        <w:jc w:val="left"/>
        <w:rPr>
          <w:rStyle w:val="16"/>
          <w:rFonts w:ascii="仿宋" w:hAnsi="仿宋" w:eastAsia="仿宋"/>
          <w:color w:val="000000"/>
          <w:sz w:val="32"/>
          <w:szCs w:val="32"/>
          <w:u w:val="none"/>
        </w:rPr>
      </w:pPr>
    </w:p>
    <w:p w14:paraId="338CFA4B">
      <w:pPr>
        <w:spacing w:line="600" w:lineRule="exact"/>
        <w:rPr>
          <w:rFonts w:ascii="方正小标宋简体" w:hAnsi="宋体" w:eastAsia="方正小标宋简体"/>
          <w:color w:val="000000"/>
          <w:sz w:val="36"/>
          <w:szCs w:val="36"/>
        </w:rPr>
      </w:pPr>
      <w:r>
        <w:rPr>
          <w:rFonts w:ascii="仿宋" w:hAnsi="仿宋" w:eastAsia="仿宋"/>
          <w:color w:val="000000"/>
          <w:sz w:val="32"/>
          <w:szCs w:val="32"/>
        </w:rPr>
        <w:fldChar w:fldCharType="end"/>
      </w:r>
      <w:r>
        <w:rPr>
          <w:rFonts w:ascii="仿宋" w:hAnsi="仿宋" w:eastAsia="仿宋"/>
          <w:b/>
          <w:sz w:val="32"/>
          <w:szCs w:val="32"/>
        </w:rPr>
        <w:br w:type="page"/>
      </w:r>
      <w:bookmarkEnd w:id="12"/>
      <w:bookmarkEnd w:id="13"/>
    </w:p>
    <w:p w14:paraId="39455708">
      <w:pPr>
        <w:spacing w:line="600" w:lineRule="exact"/>
        <w:jc w:val="center"/>
        <w:rPr>
          <w:rFonts w:ascii="黑体" w:hAnsi="黑体" w:eastAsia="黑体"/>
          <w:b/>
          <w:bCs/>
          <w:color w:val="000000"/>
          <w:sz w:val="44"/>
          <w:szCs w:val="44"/>
        </w:rPr>
      </w:pPr>
      <w:r>
        <w:rPr>
          <w:rFonts w:hint="eastAsia" w:ascii="黑体" w:hAnsi="黑体" w:eastAsia="黑体"/>
          <w:b/>
          <w:bCs/>
          <w:color w:val="000000"/>
          <w:sz w:val="44"/>
          <w:szCs w:val="44"/>
        </w:rPr>
        <w:t>第一部分 部门概况</w:t>
      </w:r>
    </w:p>
    <w:p w14:paraId="4130F603">
      <w:pPr>
        <w:spacing w:line="600" w:lineRule="exact"/>
        <w:rPr>
          <w:rFonts w:ascii="宋体" w:hAnsi="宋体"/>
          <w:b/>
          <w:color w:val="000000"/>
          <w:sz w:val="44"/>
          <w:szCs w:val="44"/>
        </w:rPr>
      </w:pPr>
    </w:p>
    <w:p w14:paraId="145AB832">
      <w:pPr>
        <w:spacing w:line="600" w:lineRule="exact"/>
        <w:ind w:firstLine="643" w:firstLineChars="200"/>
        <w:rPr>
          <w:rFonts w:ascii="黑体" w:eastAsia="黑体"/>
          <w:b/>
          <w:bCs/>
          <w:color w:val="000000"/>
          <w:sz w:val="32"/>
          <w:szCs w:val="32"/>
        </w:rPr>
      </w:pPr>
      <w:r>
        <w:rPr>
          <w:rFonts w:hint="eastAsia" w:ascii="黑体" w:eastAsia="黑体"/>
          <w:b/>
          <w:bCs/>
          <w:color w:val="000000"/>
          <w:sz w:val="32"/>
          <w:szCs w:val="32"/>
        </w:rPr>
        <w:t>一、基本职能及主要工作</w:t>
      </w:r>
    </w:p>
    <w:p w14:paraId="1536876E">
      <w:pPr>
        <w:spacing w:line="600" w:lineRule="exact"/>
        <w:ind w:firstLine="964" w:firstLineChars="300"/>
        <w:rPr>
          <w:rFonts w:ascii="黑体" w:eastAsia="黑体"/>
          <w:b/>
          <w:color w:val="000000"/>
          <w:sz w:val="32"/>
          <w:szCs w:val="32"/>
        </w:rPr>
      </w:pPr>
      <w:r>
        <w:rPr>
          <w:rFonts w:hint="eastAsia" w:ascii="黑体" w:eastAsia="黑体"/>
          <w:b/>
          <w:color w:val="000000"/>
          <w:sz w:val="32"/>
          <w:szCs w:val="32"/>
        </w:rPr>
        <w:t>(一)、基本职能</w:t>
      </w:r>
    </w:p>
    <w:p w14:paraId="04942DFC">
      <w:pPr>
        <w:widowControl/>
        <w:shd w:val="clear" w:color="auto" w:fill="FFFFFF"/>
        <w:spacing w:line="600" w:lineRule="atLeast"/>
        <w:ind w:firstLine="643"/>
        <w:rPr>
          <w:rFonts w:ascii="仿宋" w:hAnsi="仿宋" w:eastAsia="仿宋" w:cs="仿宋_GB2312"/>
          <w:color w:val="000000"/>
          <w:sz w:val="32"/>
          <w:szCs w:val="32"/>
        </w:rPr>
      </w:pPr>
      <w:r>
        <w:rPr>
          <w:rStyle w:val="15"/>
          <w:rFonts w:hint="eastAsia" w:ascii="仿宋" w:hAnsi="仿宋" w:eastAsia="仿宋" w:cs="仿宋_GB2312"/>
          <w:color w:val="000000"/>
          <w:kern w:val="0"/>
          <w:sz w:val="32"/>
          <w:szCs w:val="32"/>
          <w:shd w:val="clear" w:color="auto" w:fill="FFFFFF"/>
        </w:rPr>
        <w:t xml:space="preserve">  1、镇党委的主要职责。</w:t>
      </w:r>
      <w:r>
        <w:rPr>
          <w:rFonts w:hint="eastAsia" w:ascii="仿宋" w:hAnsi="仿宋" w:eastAsia="仿宋" w:cs="仿宋_GB2312"/>
          <w:color w:val="000000"/>
          <w:kern w:val="0"/>
          <w:sz w:val="32"/>
          <w:szCs w:val="32"/>
          <w:shd w:val="clear" w:color="auto" w:fill="FFFFFF"/>
        </w:rPr>
        <w:t>一是贯彻执行党的路线方针政策和上级党组织及本镇党员代表大会的决议。二是讨论决定本镇经济建设和社会发展中的重大问题。需由镇政权机关或集体经济组织决定的问题，由镇政权机关或集体经济组织依照法律和有关规定作出决定。三是领导镇政权机关和群众组织，支持和保证这些机关的组织依照国家法律法规及各自章程充分行使职权。四是加强镇党委自身建设和以党支部为核心的村级组织建设。五是按照干部管理权限，负责对干部的教育、培养、选拔和监督工作。协助管理上级有关部门驻镇单位的干部。六是领导本镇的社会主义民主法</w:t>
      </w:r>
      <w:r>
        <w:rPr>
          <w:rFonts w:hint="eastAsia" w:ascii="仿宋" w:hAnsi="仿宋" w:eastAsia="仿宋" w:cs="仿宋_GB2312"/>
          <w:color w:val="000000"/>
          <w:kern w:val="0"/>
          <w:sz w:val="32"/>
          <w:szCs w:val="32"/>
          <w:shd w:val="clear" w:color="auto" w:fill="FFFFFF"/>
          <w:lang w:eastAsia="zh-CN"/>
        </w:rPr>
        <w:t>治</w:t>
      </w:r>
      <w:r>
        <w:rPr>
          <w:rFonts w:hint="eastAsia" w:ascii="仿宋" w:hAnsi="仿宋" w:eastAsia="仿宋" w:cs="仿宋_GB2312"/>
          <w:color w:val="000000"/>
          <w:kern w:val="0"/>
          <w:sz w:val="32"/>
          <w:szCs w:val="32"/>
          <w:shd w:val="clear" w:color="auto" w:fill="FFFFFF"/>
        </w:rPr>
        <w:t>建设和精神文明建设，做好社会治安综合治理及计划生育工作。七是完成县委交办的工作任务。</w:t>
      </w:r>
    </w:p>
    <w:p w14:paraId="78AF9F2D">
      <w:pPr>
        <w:widowControl/>
        <w:shd w:val="clear" w:color="auto" w:fill="FFFFFF"/>
        <w:spacing w:line="600" w:lineRule="atLeast"/>
        <w:ind w:firstLine="643"/>
        <w:rPr>
          <w:rFonts w:ascii="仿宋" w:hAnsi="仿宋" w:eastAsia="仿宋" w:cs="仿宋_GB2312"/>
          <w:color w:val="000000"/>
          <w:sz w:val="32"/>
          <w:szCs w:val="32"/>
        </w:rPr>
      </w:pPr>
      <w:r>
        <w:rPr>
          <w:rStyle w:val="15"/>
          <w:rFonts w:hint="eastAsia" w:ascii="仿宋" w:hAnsi="仿宋" w:eastAsia="仿宋" w:cs="仿宋_GB2312"/>
          <w:color w:val="000000"/>
          <w:kern w:val="0"/>
          <w:sz w:val="32"/>
          <w:szCs w:val="32"/>
          <w:shd w:val="clear" w:color="auto" w:fill="FFFFFF"/>
        </w:rPr>
        <w:t>2、镇政府的主要职能。</w:t>
      </w:r>
      <w:r>
        <w:rPr>
          <w:rFonts w:hint="eastAsia" w:ascii="仿宋" w:hAnsi="仿宋" w:eastAsia="仿宋" w:cs="仿宋_GB2312"/>
          <w:color w:val="000000"/>
          <w:kern w:val="0"/>
          <w:sz w:val="32"/>
          <w:szCs w:val="32"/>
          <w:shd w:val="clear" w:color="auto" w:fill="FFFFFF"/>
        </w:rPr>
        <w:t>一是落实政策。宣传、落实党的路线、方针、政策和国家的法律、法规，稳定农村基本经济制度，坚持依法行政，推进政务公开，加强对村民委员会的指导，提高、培育村民委员会自治能力。二是促进发展。科学制订发展规划，营造农村经济发展环境，加强农村市场监督，培育、提升市场功能，搞活市场流通，推广农业技术，完善农业社会化服务体系，引导农民发展现代农业，调整产业结构，加强农村劳动力技能培训，引导农村劳动力转移和就业，不断提高社会主义新农村建设水平。三是维护稳定。坚持“立党为公，执政为民”，紧紧围绕实现和维护群众利益开展工作，突出解决人民群众最关心、最直接、最现实的利益问题。加强和巩固农村基层政权建设和民主法</w:t>
      </w:r>
      <w:r>
        <w:rPr>
          <w:rFonts w:hint="eastAsia" w:ascii="仿宋" w:hAnsi="仿宋" w:eastAsia="仿宋" w:cs="仿宋_GB2312"/>
          <w:color w:val="000000"/>
          <w:kern w:val="0"/>
          <w:sz w:val="32"/>
          <w:szCs w:val="32"/>
          <w:shd w:val="clear" w:color="auto" w:fill="FFFFFF"/>
          <w:lang w:eastAsia="zh-CN"/>
        </w:rPr>
        <w:t>治</w:t>
      </w:r>
      <w:r>
        <w:rPr>
          <w:rFonts w:hint="eastAsia" w:ascii="仿宋" w:hAnsi="仿宋" w:eastAsia="仿宋" w:cs="仿宋_GB2312"/>
          <w:color w:val="000000"/>
          <w:kern w:val="0"/>
          <w:sz w:val="32"/>
          <w:szCs w:val="32"/>
          <w:shd w:val="clear" w:color="auto" w:fill="FFFFFF"/>
        </w:rPr>
        <w:t>建设，加强社会治安综合治理，加强对突发事件的预警和管理，建立、健全各种应急机制，加强民事纠纷调解，化解农村社会矛盾，开展农村扶贫和社会救助，切实保障农民合法权益，维护农村社会稳定。四是加强管理。加强民政、教育、科技、文化、卫生、计划生育、安全生产、劳动保障和镇村规划等社会管理，加强社会主义精神文明建设，做好防火减灾工作，搞好环境保护，努力改善农村人居环境，不断提高农村人口素质和农民生活质量。五是提供服务。进一步发展和完善农业社会化服务体系，引导各类协会和农村专业合作经济组织发展并充分发挥其作用，发展农村社会公益事业和集体公益事业，加强农村基础设施建设，增加公共产品，提供政策、科技、市场信息和社会救济、救助服务，及时向党委、政府反映社情民意，进一步密切党和政府与人民群众的关系。六是完成县政府交办的工作任务。</w:t>
      </w:r>
    </w:p>
    <w:p w14:paraId="78A80CC4">
      <w:pPr>
        <w:widowControl/>
        <w:shd w:val="clear" w:color="auto" w:fill="FFFFFF"/>
        <w:spacing w:line="600" w:lineRule="atLeast"/>
        <w:ind w:firstLine="643"/>
        <w:rPr>
          <w:rFonts w:ascii="仿宋" w:hAnsi="仿宋" w:eastAsia="仿宋" w:cs="仿宋_GB2312"/>
          <w:color w:val="000000"/>
          <w:kern w:val="0"/>
          <w:sz w:val="32"/>
          <w:szCs w:val="32"/>
          <w:shd w:val="clear" w:color="auto" w:fill="FFFFFF"/>
        </w:rPr>
      </w:pPr>
      <w:r>
        <w:rPr>
          <w:rStyle w:val="15"/>
          <w:rFonts w:hint="eastAsia" w:ascii="仿宋" w:hAnsi="仿宋" w:eastAsia="仿宋" w:cs="仿宋_GB2312"/>
          <w:color w:val="000000"/>
          <w:kern w:val="0"/>
          <w:sz w:val="32"/>
          <w:szCs w:val="32"/>
          <w:shd w:val="clear" w:color="auto" w:fill="FFFFFF"/>
        </w:rPr>
        <w:t xml:space="preserve"> 3、镇事业单位承担的公益性职能。</w:t>
      </w:r>
      <w:r>
        <w:rPr>
          <w:rFonts w:hint="eastAsia" w:ascii="仿宋" w:hAnsi="仿宋" w:eastAsia="仿宋" w:cs="仿宋_GB2312"/>
          <w:color w:val="000000"/>
          <w:kern w:val="0"/>
          <w:sz w:val="32"/>
          <w:szCs w:val="32"/>
          <w:shd w:val="clear" w:color="auto" w:fill="FFFFFF"/>
        </w:rPr>
        <w:t>计划生育技术服务、宣传咨询、人员培训和药具发放；农林牧业生产中关键技术和新产品、新农具的引进、试验、示范；农作物的林木病虫害、动物疫病及农业灾害的监测、预报防治和处置；农作物苗情监测和农牧产品生产过程中的质量安全检测、监测和强制性检验；农业公共信息和培训教育服务；小型水利工程及病害水库的整治；水资源管理和防汛抗旱技术服务；水土保持的预防及水土流失的治理；农机安全检查和事故的预防、报告及处理；镇村机耕道的规划、建设；组织农机进行抗灾抢险和跨区域农机作业；城镇登记失业人员和农村劳动力转移就业人员的职业培训、劳务输出和就业管理服务；企事业单位退休人的社会化管理服务；制定年度农村公益性文化项目实施计划；开展多种形式的文娱体育活动和宣传教育活动；完成党委政府交办的其他工作任务。</w:t>
      </w:r>
    </w:p>
    <w:p w14:paraId="12C7AE2F">
      <w:pPr>
        <w:widowControl/>
        <w:shd w:val="clear" w:color="auto" w:fill="FFFFFF"/>
        <w:spacing w:line="600" w:lineRule="atLeast"/>
        <w:ind w:firstLine="472" w:firstLineChars="147"/>
        <w:rPr>
          <w:rFonts w:ascii="仿宋" w:hAnsi="仿宋" w:eastAsia="仿宋" w:cs="仿宋_GB2312"/>
          <w:b/>
          <w:color w:val="000000"/>
          <w:kern w:val="0"/>
          <w:sz w:val="32"/>
          <w:szCs w:val="32"/>
          <w:shd w:val="clear" w:color="auto" w:fill="FFFFFF"/>
        </w:rPr>
      </w:pPr>
      <w:r>
        <w:rPr>
          <w:rFonts w:hint="eastAsia" w:ascii="仿宋" w:hAnsi="仿宋" w:eastAsia="仿宋" w:cs="仿宋_GB2312"/>
          <w:b/>
          <w:color w:val="000000"/>
          <w:kern w:val="0"/>
          <w:sz w:val="32"/>
          <w:szCs w:val="32"/>
          <w:shd w:val="clear" w:color="auto" w:fill="FFFFFF"/>
        </w:rPr>
        <w:t>（二）主要工作</w:t>
      </w:r>
    </w:p>
    <w:p w14:paraId="1E3B80F5">
      <w:pPr>
        <w:widowControl/>
        <w:shd w:val="clear" w:color="auto" w:fill="FFFFFF"/>
        <w:spacing w:line="600" w:lineRule="exact"/>
        <w:ind w:firstLine="640" w:firstLineChars="200"/>
        <w:jc w:val="left"/>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镇阳镇人民政府</w:t>
      </w:r>
      <w:r>
        <w:rPr>
          <w:rFonts w:ascii="仿宋" w:hAnsi="仿宋" w:eastAsia="仿宋" w:cs="仿宋_GB2312"/>
          <w:color w:val="000000"/>
          <w:kern w:val="0"/>
          <w:sz w:val="32"/>
          <w:szCs w:val="32"/>
          <w:shd w:val="clear" w:color="auto" w:fill="FFFFFF"/>
        </w:rPr>
        <w:t>一年来，主要做了以下工作：</w:t>
      </w:r>
    </w:p>
    <w:p w14:paraId="70020603">
      <w:pPr>
        <w:ind w:firstLine="640"/>
        <w:rPr>
          <w:rStyle w:val="15"/>
          <w:rFonts w:ascii="仿宋" w:hAnsi="仿宋" w:eastAsia="仿宋" w:cs="仿宋_GB2312"/>
          <w:color w:val="000000"/>
          <w:kern w:val="0"/>
          <w:sz w:val="32"/>
          <w:szCs w:val="32"/>
          <w:shd w:val="clear" w:color="auto" w:fill="FFFFFF"/>
        </w:rPr>
      </w:pPr>
      <w:r>
        <w:rPr>
          <w:rStyle w:val="15"/>
          <w:rFonts w:hint="eastAsia" w:ascii="仿宋" w:hAnsi="仿宋" w:eastAsia="仿宋"/>
          <w:sz w:val="32"/>
        </w:rPr>
        <w:t>1</w:t>
      </w:r>
      <w:r>
        <w:rPr>
          <w:rStyle w:val="15"/>
          <w:rFonts w:hint="eastAsia" w:ascii="仿宋" w:hAnsi="仿宋" w:eastAsia="仿宋" w:cs="仿宋_GB2312"/>
          <w:color w:val="000000"/>
          <w:kern w:val="0"/>
          <w:sz w:val="32"/>
          <w:szCs w:val="32"/>
          <w:shd w:val="clear" w:color="auto" w:fill="FFFFFF"/>
        </w:rPr>
        <w:t>、推动经济发展迈上新台阶。</w:t>
      </w:r>
    </w:p>
    <w:p w14:paraId="12BF601A">
      <w:pPr>
        <w:ind w:firstLine="64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主要经济指标稳中有进。全年实现地区生产总值增长5%，农村居民人均可支配收入增长10%，经济社会平稳发展，积极摆脱了新冠疫情的影响。农业发展稳中向好。全年粮食种植面积稳定在6.6万亩，粮食总产实现丰收，农业产业结构进一步优化，有机茶叶、生态蔬菜和特色水果、云岭瑶鸡等种养殖产业面积稳步增加。</w:t>
      </w:r>
    </w:p>
    <w:p w14:paraId="33E121DB">
      <w:pPr>
        <w:ind w:firstLine="640"/>
        <w:rPr>
          <w:rStyle w:val="15"/>
          <w:rFonts w:ascii="仿宋" w:hAnsi="仿宋" w:eastAsia="仿宋"/>
          <w:sz w:val="32"/>
        </w:rPr>
      </w:pPr>
      <w:r>
        <w:rPr>
          <w:rStyle w:val="15"/>
          <w:rFonts w:hint="eastAsia" w:ascii="仿宋" w:hAnsi="仿宋" w:eastAsia="仿宋"/>
          <w:sz w:val="32"/>
        </w:rPr>
        <w:t>2、推进三大攻坚战更加有力。</w:t>
      </w:r>
    </w:p>
    <w:p w14:paraId="64BA4A93">
      <w:pPr>
        <w:ind w:firstLine="64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决胜脱贫攻坚力度空前。坚持以脱贫攻坚统领经济社会发展，凝心聚力，强化工作举措，加大攻坚力度，脱贫攻坚取得显著成效。2020年，2个省定贫困村和492户1358人脱贫摘帽。教育、医疗、住房等政策覆盖率达100%，同时全覆盖家庭医生签约服务，全覆盖健康体检，使群众在家门口就能享受到优质的医疗服务。扎实的基础性工作使镇阳镇顺利完成并经受住了省脱贫攻坚成效考核，圆满完成了2020年脱贫攻坚战，为决战决胜脱贫攻坚画上了完满的句号。生态保护全面加强。严格执行生态环境和资源保护制度，聚焦“绿秀井研行动”，做好辖区内大气、固废污染防治工作，扎实开展泥溪河综合治理各项工作，泥溪河河流出境断面水质达到地表水Ⅳ类水标准。全年共造林200亩，退化人工林修复2000亩，巩固退耕还林成果3541.3亩。重大风险防范攻坚战取得成效。明确把国家治理体系和治理能力现代化建设作为防患化解重大风险的关键，创新开展“五卡连心”便民惠民活动，事实证明，2020我们在基层治理能力上取得了重大成绩，有效应对了新冠疫情和8.18特大暴雨的汛情。</w:t>
      </w:r>
    </w:p>
    <w:p w14:paraId="43CF08D2">
      <w:pPr>
        <w:ind w:firstLine="640"/>
        <w:rPr>
          <w:rFonts w:ascii="仿宋" w:hAnsi="仿宋" w:eastAsia="仿宋" w:cs="仿宋_GB2312"/>
          <w:color w:val="000000"/>
          <w:kern w:val="0"/>
          <w:sz w:val="32"/>
          <w:szCs w:val="32"/>
          <w:shd w:val="clear" w:color="auto" w:fill="FFFFFF"/>
        </w:rPr>
      </w:pPr>
      <w:r>
        <w:rPr>
          <w:rFonts w:hint="eastAsia" w:ascii="仿宋" w:hAnsi="仿宋" w:eastAsia="仿宋" w:cs="仿宋_GB2312"/>
          <w:b/>
          <w:color w:val="000000"/>
          <w:kern w:val="0"/>
          <w:sz w:val="32"/>
          <w:szCs w:val="32"/>
          <w:shd w:val="clear" w:color="auto" w:fill="FFFFFF"/>
        </w:rPr>
        <w:t>3、统筹推进基础设施建设。</w:t>
      </w:r>
    </w:p>
    <w:p w14:paraId="7DEB7AF3">
      <w:pPr>
        <w:ind w:firstLine="64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乡村面貌持续向好。在持续推进农村“三大革命”的基础上，我们深入开展城乡环境综合治理，推进“城乡无垃圾”行动，巩固创建国家卫生乡镇成果，取得了较大成绩，场镇的绿化、亮化、美化为接下来乡村振兴战略的实施打下了坚实的基础。</w:t>
      </w:r>
    </w:p>
    <w:p w14:paraId="57899424">
      <w:pPr>
        <w:ind w:firstLine="640"/>
        <w:rPr>
          <w:rFonts w:ascii="仿宋" w:hAnsi="仿宋" w:eastAsia="仿宋" w:cs="仿宋_GB2312"/>
          <w:b/>
          <w:color w:val="000000"/>
          <w:kern w:val="0"/>
          <w:sz w:val="32"/>
          <w:szCs w:val="32"/>
          <w:shd w:val="clear" w:color="auto" w:fill="FFFFFF"/>
        </w:rPr>
      </w:pPr>
      <w:r>
        <w:rPr>
          <w:rFonts w:hint="eastAsia" w:ascii="仿宋" w:hAnsi="仿宋" w:eastAsia="仿宋" w:cs="仿宋_GB2312"/>
          <w:b/>
          <w:color w:val="000000"/>
          <w:kern w:val="0"/>
          <w:sz w:val="32"/>
          <w:szCs w:val="32"/>
          <w:shd w:val="clear" w:color="auto" w:fill="FFFFFF"/>
        </w:rPr>
        <w:t>4、改善民生福祉取得新成效。</w:t>
      </w:r>
    </w:p>
    <w:p w14:paraId="01310E64">
      <w:pPr>
        <w:ind w:firstLine="64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民生工程深入实施。社会保障工作全面加强，城乡居民基本医疗保险参保率达98%。推深做实“双拥”工作，加强退役军人服务管理。与此同时，妇女儿童事业健康发展。卫健服务显著提升。村级医疗卫生服务基础设施建设不断加强，加强和完善了5个行政村村级卫生室标准化建设。坚持教育优先保障。义务教育巩固率保持100%。</w:t>
      </w:r>
    </w:p>
    <w:p w14:paraId="10FF4E5D">
      <w:pPr>
        <w:ind w:firstLine="640"/>
        <w:rPr>
          <w:rFonts w:ascii="仿宋" w:hAnsi="仿宋" w:eastAsia="仿宋" w:cs="仿宋_GB2312"/>
          <w:b/>
          <w:color w:val="000000"/>
          <w:kern w:val="0"/>
          <w:sz w:val="32"/>
          <w:szCs w:val="32"/>
          <w:shd w:val="clear" w:color="auto" w:fill="FFFFFF"/>
        </w:rPr>
      </w:pPr>
      <w:r>
        <w:rPr>
          <w:rFonts w:hint="eastAsia" w:ascii="仿宋" w:hAnsi="仿宋" w:eastAsia="仿宋" w:cs="仿宋_GB2312"/>
          <w:b/>
          <w:color w:val="000000"/>
          <w:kern w:val="0"/>
          <w:sz w:val="32"/>
          <w:szCs w:val="32"/>
          <w:shd w:val="clear" w:color="auto" w:fill="FFFFFF"/>
        </w:rPr>
        <w:t>5、社会大局和谐稳定。</w:t>
      </w:r>
    </w:p>
    <w:p w14:paraId="388A498D">
      <w:pPr>
        <w:ind w:firstLine="64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法治政府建设阔步向前。巩固提升依法行政能力水平，完善制度、细化方案，强力推进法治政府建设，严格落实重大事项报告、经济责任审计等制度，使政府治理体系和治理能力现代化建设不断提升。群众幸福感满意度不断提升。纵深推进扫黑除恶专项斗争，群众安全感和政法队伍满意度实现“双提升”。持续深入开展“黄赌毒”专项行动，坚决铲除“黄赌毒”滋生土壤。强化矛盾纠纷排查化解工作，全年矛盾纠纷调解率达96%。深入开展食品药品安全和安全生产专项整治，加强安全隐患排查治理力度，有效保障了人民群众生命财产和舌尖上的安全。</w:t>
      </w:r>
    </w:p>
    <w:p w14:paraId="652FFB17">
      <w:pPr>
        <w:ind w:firstLine="640"/>
        <w:rPr>
          <w:rFonts w:ascii="仿宋" w:hAnsi="仿宋" w:eastAsia="仿宋" w:cs="仿宋_GB2312"/>
          <w:b/>
          <w:color w:val="000000"/>
          <w:kern w:val="0"/>
          <w:sz w:val="32"/>
          <w:szCs w:val="32"/>
          <w:shd w:val="clear" w:color="auto" w:fill="FFFFFF"/>
        </w:rPr>
      </w:pPr>
      <w:r>
        <w:rPr>
          <w:rFonts w:hint="eastAsia" w:ascii="仿宋" w:hAnsi="仿宋" w:eastAsia="仿宋" w:cs="仿宋_GB2312"/>
          <w:b/>
          <w:color w:val="000000"/>
          <w:kern w:val="0"/>
          <w:sz w:val="32"/>
          <w:szCs w:val="32"/>
          <w:shd w:val="clear" w:color="auto" w:fill="FFFFFF"/>
        </w:rPr>
        <w:t>6、自身建设得到加强。</w:t>
      </w:r>
    </w:p>
    <w:p w14:paraId="2395F2E5">
      <w:pPr>
        <w:ind w:firstLine="64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开展警示教育，持续转作风、纠“四风”。抓实政府系统党风廉政建设，推动工作更加规范有序。完善政府系统重大事项决策行为。不断提升政府工作透明度，全年政务信息公开52条。主动接受人大依法监督、县委巡察监督，强化审计和财政资金监管，始终保持正风反腐高压态势。</w:t>
      </w:r>
    </w:p>
    <w:p w14:paraId="1FE2ADDD">
      <w:pPr>
        <w:widowControl/>
        <w:shd w:val="clear" w:color="auto" w:fill="FFFFFF"/>
        <w:spacing w:line="600" w:lineRule="atLeast"/>
        <w:ind w:firstLine="630" w:firstLineChars="196"/>
        <w:rPr>
          <w:rFonts w:ascii="仿宋" w:hAnsi="仿宋" w:eastAsia="仿宋" w:cs="仿宋_GB2312"/>
          <w:b/>
          <w:color w:val="000000"/>
          <w:kern w:val="0"/>
          <w:sz w:val="32"/>
          <w:szCs w:val="32"/>
          <w:shd w:val="clear" w:color="auto" w:fill="FFFFFF"/>
        </w:rPr>
      </w:pPr>
      <w:r>
        <w:rPr>
          <w:rFonts w:hint="eastAsia" w:ascii="仿宋" w:hAnsi="仿宋" w:eastAsia="仿宋" w:cs="仿宋_GB2312"/>
          <w:b/>
          <w:color w:val="000000"/>
          <w:kern w:val="0"/>
          <w:sz w:val="32"/>
          <w:szCs w:val="32"/>
          <w:shd w:val="clear" w:color="auto" w:fill="FFFFFF"/>
        </w:rPr>
        <w:t>二、机构设置</w:t>
      </w:r>
    </w:p>
    <w:p w14:paraId="608E6FB5">
      <w:pPr>
        <w:widowControl/>
        <w:shd w:val="clear" w:color="auto" w:fill="FFFFFF"/>
        <w:spacing w:line="600" w:lineRule="atLeast"/>
        <w:ind w:firstLine="643" w:firstLineChars="200"/>
        <w:rPr>
          <w:rFonts w:ascii="仿宋" w:hAnsi="仿宋" w:eastAsia="仿宋" w:cs="仿宋_GB2312"/>
          <w:b/>
          <w:color w:val="000000"/>
          <w:kern w:val="0"/>
          <w:sz w:val="32"/>
          <w:szCs w:val="32"/>
          <w:shd w:val="clear" w:color="auto" w:fill="FFFFFF"/>
        </w:rPr>
      </w:pPr>
      <w:r>
        <w:rPr>
          <w:rFonts w:hint="eastAsia" w:ascii="仿宋" w:hAnsi="仿宋" w:eastAsia="仿宋" w:cs="仿宋_GB2312"/>
          <w:b/>
          <w:color w:val="000000"/>
          <w:kern w:val="0"/>
          <w:sz w:val="32"/>
          <w:szCs w:val="32"/>
          <w:shd w:val="clear" w:color="auto" w:fill="FFFFFF"/>
        </w:rPr>
        <w:t>（一）、机构情况</w:t>
      </w:r>
    </w:p>
    <w:p w14:paraId="6EA84B98">
      <w:pPr>
        <w:widowControl/>
        <w:shd w:val="clear" w:color="auto" w:fill="FFFFFF"/>
        <w:spacing w:line="600" w:lineRule="atLeast"/>
        <w:ind w:firstLine="640" w:firstLineChars="20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镇阳镇人民政府：政府部门预决算单位1个、辖6个非独立预决算单位，分别是镇阳镇便民服务中心、镇阳镇农业综合服务中心、镇阳镇农民工服务中心、村（社区）治理服务中心、井研县毛坝水库保护服务中心、井研县镇阳镇畜牧兽医站。</w:t>
      </w:r>
    </w:p>
    <w:p w14:paraId="37878F5F">
      <w:pPr>
        <w:widowControl/>
        <w:shd w:val="clear" w:color="auto" w:fill="FFFFFF"/>
        <w:spacing w:line="600" w:lineRule="atLeast"/>
        <w:ind w:firstLine="643" w:firstLineChars="200"/>
        <w:rPr>
          <w:rFonts w:ascii="仿宋" w:hAnsi="仿宋" w:eastAsia="仿宋" w:cs="仿宋_GB2312"/>
          <w:b/>
          <w:color w:val="000000"/>
          <w:kern w:val="0"/>
          <w:sz w:val="32"/>
          <w:szCs w:val="32"/>
          <w:shd w:val="clear" w:color="auto" w:fill="FFFFFF"/>
        </w:rPr>
      </w:pPr>
      <w:r>
        <w:rPr>
          <w:rFonts w:hint="eastAsia" w:ascii="仿宋" w:hAnsi="仿宋" w:eastAsia="仿宋" w:cs="仿宋_GB2312"/>
          <w:b/>
          <w:color w:val="000000"/>
          <w:kern w:val="0"/>
          <w:sz w:val="32"/>
          <w:szCs w:val="32"/>
          <w:shd w:val="clear" w:color="auto" w:fill="FFFFFF"/>
        </w:rPr>
        <w:t>（二）、人员编制情况</w:t>
      </w:r>
    </w:p>
    <w:p w14:paraId="4112D189">
      <w:pPr>
        <w:widowControl/>
        <w:shd w:val="clear" w:color="auto" w:fill="FFFFFF"/>
        <w:spacing w:line="600" w:lineRule="atLeast"/>
        <w:ind w:firstLine="640" w:firstLineChars="20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镇阳镇人民政府总编制人数72人，其中行政编制29人（包括机关工勤2人），镇阳镇便民服务中心编制人数14人、镇阳镇农业综合服务中心编制人数4人、镇阳镇农民工服务中心编制人数3人、村（社区）治理服务中心编制人数3人、井研县毛坝水库保护服务中心编制人数11人、井研县镇阳镇畜牧兽医站编制人数8人。</w:t>
      </w:r>
    </w:p>
    <w:p w14:paraId="414AFD14">
      <w:pPr>
        <w:widowControl/>
        <w:shd w:val="clear" w:color="auto" w:fill="FFFFFF"/>
        <w:spacing w:line="600" w:lineRule="atLeast"/>
        <w:ind w:firstLine="640" w:firstLineChars="20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年末实际在编人数53人，行政人员23人，镇阳镇便民服务中心9人、镇阳镇综合服务中心4人、镇阳镇农民工服务中心2人、镇阳镇村（社区）治理服务中心2人、井研县毛坝水库保护服务中心8人、镇阳镇兽医5人。</w:t>
      </w:r>
    </w:p>
    <w:p w14:paraId="3EB54164">
      <w:pPr>
        <w:spacing w:line="600" w:lineRule="exact"/>
        <w:ind w:firstLine="640" w:firstLineChars="200"/>
        <w:jc w:val="center"/>
        <w:rPr>
          <w:rFonts w:ascii="仿宋" w:hAnsi="仿宋" w:eastAsia="仿宋" w:cs="仿宋_GB2312"/>
          <w:color w:val="000000"/>
          <w:kern w:val="0"/>
          <w:sz w:val="32"/>
          <w:szCs w:val="32"/>
          <w:shd w:val="clear" w:color="auto" w:fill="FFFFFF"/>
        </w:rPr>
      </w:pPr>
    </w:p>
    <w:p w14:paraId="0D288D2E">
      <w:pPr>
        <w:spacing w:line="600" w:lineRule="exact"/>
        <w:ind w:firstLine="883" w:firstLineChars="200"/>
        <w:jc w:val="center"/>
        <w:rPr>
          <w:rFonts w:ascii="黑体" w:hAnsi="黑体" w:eastAsia="黑体" w:cs="仿宋_GB2312"/>
          <w:color w:val="000000"/>
          <w:kern w:val="0"/>
          <w:sz w:val="44"/>
          <w:szCs w:val="44"/>
          <w:shd w:val="clear" w:color="auto" w:fill="FFFFFF"/>
        </w:rPr>
      </w:pPr>
      <w:r>
        <w:rPr>
          <w:rFonts w:hint="eastAsia" w:ascii="黑体" w:hAnsi="黑体" w:eastAsia="黑体"/>
          <w:b/>
          <w:color w:val="000000"/>
          <w:sz w:val="44"/>
          <w:szCs w:val="44"/>
        </w:rPr>
        <w:t>第二部分2020年部门决算情况说明</w:t>
      </w:r>
    </w:p>
    <w:p w14:paraId="5F501637">
      <w:pPr>
        <w:spacing w:line="600" w:lineRule="exact"/>
        <w:ind w:firstLine="643" w:firstLineChars="200"/>
        <w:rPr>
          <w:rFonts w:ascii="黑体" w:hAnsi="黑体" w:eastAsia="黑体"/>
          <w:b/>
          <w:bCs/>
          <w:color w:val="000000"/>
          <w:sz w:val="32"/>
          <w:szCs w:val="32"/>
        </w:rPr>
      </w:pPr>
      <w:r>
        <w:rPr>
          <w:rFonts w:hint="eastAsia" w:ascii="黑体" w:hAnsi="黑体" w:eastAsia="黑体"/>
          <w:b/>
          <w:bCs/>
          <w:color w:val="000000"/>
          <w:sz w:val="32"/>
          <w:szCs w:val="32"/>
        </w:rPr>
        <w:t>一、收入支出决算总体情况说明</w:t>
      </w:r>
    </w:p>
    <w:p w14:paraId="4D3CD13A">
      <w:pPr>
        <w:spacing w:line="600" w:lineRule="exact"/>
        <w:ind w:firstLine="800" w:firstLineChars="250"/>
        <w:rPr>
          <w:rFonts w:ascii="仿宋" w:hAnsi="仿宋" w:eastAsia="仿宋" w:cs="仿宋_GB2312"/>
          <w:sz w:val="32"/>
          <w:szCs w:val="32"/>
        </w:rPr>
      </w:pPr>
      <w:r>
        <w:rPr>
          <w:rFonts w:hint="eastAsia" w:ascii="仿宋" w:hAnsi="仿宋" w:eastAsia="仿宋"/>
          <w:color w:val="000000"/>
          <w:sz w:val="32"/>
          <w:szCs w:val="32"/>
        </w:rPr>
        <w:drawing>
          <wp:anchor distT="0" distB="0" distL="114300" distR="114300" simplePos="0" relativeHeight="251662336" behindDoc="1" locked="0" layoutInCell="1" allowOverlap="1">
            <wp:simplePos x="0" y="0"/>
            <wp:positionH relativeFrom="column">
              <wp:posOffset>1270000</wp:posOffset>
            </wp:positionH>
            <wp:positionV relativeFrom="paragraph">
              <wp:posOffset>2129790</wp:posOffset>
            </wp:positionV>
            <wp:extent cx="3253740" cy="2094865"/>
            <wp:effectExtent l="0" t="0" r="0" b="0"/>
            <wp:wrapNone/>
            <wp:docPr id="2" name="对象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hAnsi="仿宋" w:eastAsia="仿宋"/>
          <w:color w:val="000000"/>
          <w:sz w:val="32"/>
          <w:szCs w:val="32"/>
        </w:rPr>
        <w:t>2020年度收、支总计1628.79万元。与2019年相比，收支各</w:t>
      </w:r>
      <w:r>
        <w:rPr>
          <w:rFonts w:hint="eastAsia" w:ascii="仿宋" w:hAnsi="仿宋" w:eastAsia="仿宋" w:cs="仿宋_GB2312"/>
          <w:sz w:val="32"/>
          <w:szCs w:val="32"/>
        </w:rPr>
        <w:t>减少了124.27万元，</w:t>
      </w:r>
      <w:r>
        <w:rPr>
          <w:rFonts w:hint="eastAsia" w:ascii="仿宋" w:hAnsi="仿宋" w:eastAsia="仿宋"/>
          <w:color w:val="000000"/>
          <w:sz w:val="32"/>
          <w:szCs w:val="32"/>
        </w:rPr>
        <w:t>，下降7.09%，因2020年对历年结转结余资金归集上缴171.02万元本年实际收支与2019年相比增加46.75万元，主要变动原因是环保支出增加撤村并组后村组干部报酬调整原干部保留待遇相应收入支出增加</w:t>
      </w:r>
      <w:r>
        <w:rPr>
          <w:rFonts w:hint="eastAsia" w:ascii="仿宋" w:hAnsi="仿宋" w:eastAsia="仿宋" w:cs="仿宋_GB2312"/>
          <w:sz w:val="32"/>
          <w:szCs w:val="32"/>
        </w:rPr>
        <w:t>。</w:t>
      </w:r>
    </w:p>
    <w:p w14:paraId="22A627DF">
      <w:pPr>
        <w:spacing w:line="600" w:lineRule="exact"/>
        <w:ind w:firstLine="720" w:firstLineChars="200"/>
        <w:rPr>
          <w:rFonts w:ascii="仿宋" w:hAnsi="仿宋" w:eastAsia="仿宋"/>
          <w:color w:val="000000"/>
          <w:sz w:val="36"/>
          <w:szCs w:val="32"/>
        </w:rPr>
      </w:pPr>
    </w:p>
    <w:p w14:paraId="642386D5">
      <w:pPr>
        <w:spacing w:line="600" w:lineRule="exact"/>
        <w:ind w:firstLine="720" w:firstLineChars="200"/>
        <w:rPr>
          <w:rFonts w:ascii="仿宋" w:hAnsi="仿宋" w:eastAsia="仿宋"/>
          <w:color w:val="000000"/>
          <w:sz w:val="36"/>
          <w:szCs w:val="32"/>
        </w:rPr>
      </w:pPr>
    </w:p>
    <w:p w14:paraId="5D6FEFA3">
      <w:pPr>
        <w:spacing w:line="600" w:lineRule="exact"/>
        <w:ind w:firstLine="720" w:firstLineChars="200"/>
        <w:rPr>
          <w:rFonts w:ascii="仿宋" w:hAnsi="仿宋" w:eastAsia="仿宋"/>
          <w:color w:val="000000"/>
          <w:sz w:val="36"/>
          <w:szCs w:val="32"/>
        </w:rPr>
      </w:pPr>
    </w:p>
    <w:p w14:paraId="21AE13BF">
      <w:pPr>
        <w:tabs>
          <w:tab w:val="left" w:pos="3465"/>
        </w:tabs>
        <w:spacing w:line="600" w:lineRule="exact"/>
        <w:rPr>
          <w:rFonts w:ascii="仿宋" w:hAnsi="仿宋" w:eastAsia="仿宋"/>
          <w:color w:val="000000"/>
          <w:sz w:val="36"/>
          <w:szCs w:val="32"/>
        </w:rPr>
      </w:pPr>
      <w:r>
        <w:rPr>
          <w:rFonts w:ascii="仿宋" w:hAnsi="仿宋" w:eastAsia="仿宋"/>
          <w:color w:val="000000"/>
          <w:sz w:val="36"/>
          <w:szCs w:val="32"/>
        </w:rPr>
        <w:tab/>
      </w:r>
    </w:p>
    <w:p w14:paraId="54A880EA">
      <w:pPr>
        <w:spacing w:line="600" w:lineRule="exact"/>
        <w:rPr>
          <w:rFonts w:ascii="仿宋" w:hAnsi="仿宋" w:eastAsia="仿宋"/>
          <w:color w:val="000000"/>
          <w:sz w:val="36"/>
          <w:szCs w:val="32"/>
        </w:rPr>
      </w:pPr>
    </w:p>
    <w:p w14:paraId="16B1BACF">
      <w:pPr>
        <w:numPr>
          <w:ilvl w:val="0"/>
          <w:numId w:val="3"/>
        </w:numPr>
        <w:spacing w:line="600" w:lineRule="exact"/>
        <w:ind w:firstLine="643" w:firstLineChars="200"/>
        <w:rPr>
          <w:rFonts w:ascii="黑体" w:hAnsi="黑体" w:eastAsia="黑体"/>
          <w:b/>
          <w:bCs/>
          <w:color w:val="000000"/>
          <w:sz w:val="32"/>
          <w:szCs w:val="32"/>
        </w:rPr>
      </w:pPr>
      <w:r>
        <w:rPr>
          <w:rFonts w:hint="eastAsia" w:ascii="黑体" w:hAnsi="黑体" w:eastAsia="黑体"/>
          <w:b/>
          <w:bCs/>
          <w:color w:val="000000"/>
          <w:sz w:val="32"/>
          <w:szCs w:val="32"/>
        </w:rPr>
        <w:t>收入决算情况说明</w:t>
      </w:r>
    </w:p>
    <w:p w14:paraId="71DE4D99">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2020年本年收入合计1578.38元，其中:一般公共运行预算财政拨款1577.42万元，其中政府性基金0万元，无国有资本经营预算财政拨款收入，无事业收入、无经营收入，无附属单位上缴收入，利息收入0.96万元。</w:t>
      </w:r>
    </w:p>
    <w:p w14:paraId="31AFE125">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4384" behindDoc="0" locked="0" layoutInCell="1" allowOverlap="1">
            <wp:simplePos x="0" y="0"/>
            <wp:positionH relativeFrom="column">
              <wp:posOffset>690245</wp:posOffset>
            </wp:positionH>
            <wp:positionV relativeFrom="paragraph">
              <wp:posOffset>-621030</wp:posOffset>
            </wp:positionV>
            <wp:extent cx="4072890" cy="2778125"/>
            <wp:effectExtent l="0" t="0" r="635" b="635"/>
            <wp:wrapSquare wrapText="bothSides"/>
            <wp:docPr id="3" name="对象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4AB8D293">
      <w:pPr>
        <w:spacing w:line="600" w:lineRule="exact"/>
        <w:ind w:firstLine="640" w:firstLineChars="200"/>
        <w:rPr>
          <w:rFonts w:ascii="仿宋" w:hAnsi="仿宋" w:eastAsia="仿宋"/>
          <w:color w:val="000000"/>
          <w:sz w:val="32"/>
          <w:szCs w:val="32"/>
        </w:rPr>
      </w:pPr>
    </w:p>
    <w:p w14:paraId="005CF2EF">
      <w:pPr>
        <w:spacing w:line="600" w:lineRule="exact"/>
        <w:rPr>
          <w:rFonts w:ascii="仿宋" w:hAnsi="仿宋" w:eastAsia="仿宋"/>
          <w:color w:val="000000"/>
          <w:sz w:val="32"/>
          <w:szCs w:val="32"/>
        </w:rPr>
      </w:pPr>
    </w:p>
    <w:p w14:paraId="77612B1F">
      <w:pPr>
        <w:spacing w:line="600" w:lineRule="exact"/>
        <w:rPr>
          <w:rFonts w:hint="eastAsia" w:ascii="仿宋" w:hAnsi="仿宋" w:eastAsia="仿宋"/>
          <w:color w:val="000000"/>
          <w:sz w:val="32"/>
          <w:szCs w:val="32"/>
        </w:rPr>
      </w:pPr>
    </w:p>
    <w:p w14:paraId="3BE587C9">
      <w:pPr>
        <w:spacing w:line="600" w:lineRule="exact"/>
        <w:rPr>
          <w:rFonts w:ascii="仿宋" w:hAnsi="仿宋" w:eastAsia="仿宋"/>
          <w:color w:val="000000"/>
          <w:sz w:val="32"/>
          <w:szCs w:val="32"/>
        </w:rPr>
      </w:pPr>
    </w:p>
    <w:p w14:paraId="4680C0E5">
      <w:pPr>
        <w:spacing w:line="600" w:lineRule="exact"/>
        <w:rPr>
          <w:rFonts w:hint="eastAsia" w:ascii="仿宋" w:hAnsi="仿宋" w:eastAsia="仿宋"/>
          <w:b/>
          <w:bCs/>
          <w:color w:val="000000"/>
          <w:sz w:val="32"/>
          <w:szCs w:val="32"/>
        </w:rPr>
      </w:pPr>
      <w:r>
        <w:rPr>
          <w:rFonts w:hint="eastAsia" w:ascii="仿宋" w:hAnsi="仿宋" w:eastAsia="仿宋"/>
          <w:b/>
          <w:bCs/>
          <w:color w:val="000000"/>
          <w:sz w:val="32"/>
          <w:szCs w:val="32"/>
        </w:rPr>
        <w:t xml:space="preserve">    </w:t>
      </w:r>
    </w:p>
    <w:p w14:paraId="148EB941">
      <w:pPr>
        <w:spacing w:line="600" w:lineRule="exact"/>
        <w:rPr>
          <w:rFonts w:ascii="仿宋" w:hAnsi="仿宋" w:eastAsia="仿宋"/>
          <w:b/>
          <w:bCs/>
          <w:color w:val="000000"/>
          <w:sz w:val="32"/>
          <w:szCs w:val="32"/>
        </w:rPr>
      </w:pPr>
      <w:r>
        <w:rPr>
          <w:rFonts w:hint="eastAsia" w:ascii="仿宋" w:hAnsi="仿宋" w:eastAsia="仿宋"/>
          <w:b/>
          <w:bCs/>
          <w:color w:val="000000"/>
          <w:sz w:val="32"/>
          <w:szCs w:val="32"/>
        </w:rPr>
        <w:t xml:space="preserve">    三、</w:t>
      </w:r>
      <w:r>
        <w:rPr>
          <w:rFonts w:hint="eastAsia" w:ascii="黑体" w:hAnsi="黑体" w:eastAsia="黑体"/>
          <w:b/>
          <w:bCs/>
          <w:color w:val="000000"/>
          <w:sz w:val="32"/>
          <w:szCs w:val="32"/>
        </w:rPr>
        <w:t>支出决算情况说明</w:t>
      </w:r>
    </w:p>
    <w:p w14:paraId="13AAF34A">
      <w:pPr>
        <w:spacing w:line="600" w:lineRule="exact"/>
        <w:rPr>
          <w:rFonts w:ascii="仿宋" w:hAnsi="仿宋" w:eastAsia="仿宋"/>
          <w:color w:val="000000"/>
          <w:sz w:val="32"/>
          <w:szCs w:val="32"/>
        </w:rPr>
      </w:pPr>
      <w:r>
        <w:rPr>
          <w:rFonts w:hint="eastAsia" w:ascii="仿宋" w:hAnsi="仿宋" w:eastAsia="仿宋"/>
          <w:color w:val="000000"/>
          <w:sz w:val="32"/>
          <w:szCs w:val="32"/>
        </w:rPr>
        <w:t xml:space="preserve">    2020年本年支出合计1614.66万元，其中：基本支出931.72万元，占57.7%;项目支出682.94万元，占42.3%;无上缴上级支出；无经营支出；无对附属单位补助支出</w:t>
      </w:r>
    </w:p>
    <w:p w14:paraId="573330CC">
      <w:pPr>
        <w:spacing w:line="600" w:lineRule="exact"/>
        <w:rPr>
          <w:rFonts w:ascii="仿宋" w:hAnsi="仿宋" w:eastAsia="仿宋"/>
          <w:color w:val="000000"/>
          <w:sz w:val="32"/>
          <w:szCs w:val="32"/>
        </w:rPr>
      </w:pPr>
    </w:p>
    <w:p w14:paraId="7926785C">
      <w:pPr>
        <w:spacing w:line="600" w:lineRule="exact"/>
        <w:rPr>
          <w:rFonts w:ascii="仿宋" w:hAnsi="仿宋" w:eastAsia="仿宋"/>
          <w:color w:val="000000"/>
          <w:sz w:val="32"/>
          <w:szCs w:val="32"/>
        </w:rPr>
      </w:pPr>
    </w:p>
    <w:p w14:paraId="224EB0C3">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3360" behindDoc="0" locked="0" layoutInCell="1" allowOverlap="1">
            <wp:simplePos x="0" y="0"/>
            <wp:positionH relativeFrom="column">
              <wp:posOffset>690245</wp:posOffset>
            </wp:positionH>
            <wp:positionV relativeFrom="paragraph">
              <wp:posOffset>-621030</wp:posOffset>
            </wp:positionV>
            <wp:extent cx="4072890" cy="2778125"/>
            <wp:effectExtent l="0" t="0" r="635" b="635"/>
            <wp:wrapSquare wrapText="bothSides"/>
            <wp:docPr id="4" name="对象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5AF179C8">
      <w:pPr>
        <w:spacing w:line="600" w:lineRule="exact"/>
        <w:ind w:firstLine="640" w:firstLineChars="200"/>
        <w:rPr>
          <w:rFonts w:ascii="仿宋" w:hAnsi="仿宋" w:eastAsia="仿宋"/>
          <w:color w:val="000000"/>
          <w:sz w:val="32"/>
          <w:szCs w:val="32"/>
        </w:rPr>
      </w:pPr>
    </w:p>
    <w:p w14:paraId="231266E6">
      <w:pPr>
        <w:spacing w:line="600" w:lineRule="exact"/>
        <w:ind w:firstLine="640" w:firstLineChars="200"/>
        <w:rPr>
          <w:rFonts w:ascii="仿宋" w:hAnsi="仿宋" w:eastAsia="仿宋"/>
          <w:color w:val="000000"/>
          <w:sz w:val="32"/>
          <w:szCs w:val="32"/>
        </w:rPr>
      </w:pPr>
    </w:p>
    <w:p w14:paraId="279F3E63">
      <w:pPr>
        <w:spacing w:line="600"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四、财政拨款收入支出决算情况</w:t>
      </w:r>
    </w:p>
    <w:p w14:paraId="15C73C5A">
      <w:pPr>
        <w:spacing w:line="600" w:lineRule="exact"/>
        <w:ind w:firstLine="640" w:firstLineChars="200"/>
        <w:rPr>
          <w:rFonts w:ascii="仿宋" w:hAnsi="仿宋" w:eastAsia="仿宋" w:cs="仿宋_GB2312"/>
          <w:sz w:val="32"/>
          <w:szCs w:val="32"/>
        </w:rPr>
      </w:pPr>
      <w:r>
        <w:rPr>
          <w:rFonts w:hint="eastAsia" w:ascii="仿宋" w:hAnsi="仿宋" w:eastAsia="仿宋"/>
          <w:color w:val="000000"/>
          <w:sz w:val="32"/>
          <w:szCs w:val="32"/>
        </w:rPr>
        <w:drawing>
          <wp:anchor distT="0" distB="0" distL="114300" distR="114300" simplePos="0" relativeHeight="251659264" behindDoc="1" locked="0" layoutInCell="1" allowOverlap="1">
            <wp:simplePos x="0" y="0"/>
            <wp:positionH relativeFrom="column">
              <wp:posOffset>2035810</wp:posOffset>
            </wp:positionH>
            <wp:positionV relativeFrom="paragraph">
              <wp:posOffset>2055495</wp:posOffset>
            </wp:positionV>
            <wp:extent cx="4083050" cy="2073275"/>
            <wp:effectExtent l="0" t="0" r="0" b="0"/>
            <wp:wrapNone/>
            <wp:docPr id="5" name="对象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hAnsi="仿宋" w:eastAsia="仿宋"/>
          <w:color w:val="000000"/>
          <w:sz w:val="32"/>
          <w:szCs w:val="32"/>
        </w:rPr>
        <w:t>镇阳镇人民政府2020年度财政拨款收、支总计1626.66万元。与2019年相比，财政拨款收、支总计各减少125.23万元，下降7.15%，因2020年对历年结转结余资金归集上缴171.02万元本年实际收支与2019年相比增加45.79万元，主要变动原因是环保支出增加撤村并组后村组干部报酬调整原干部保留待遇相应收入支出增加</w:t>
      </w:r>
      <w:r>
        <w:rPr>
          <w:rFonts w:hint="eastAsia" w:ascii="仿宋" w:hAnsi="仿宋" w:eastAsia="仿宋" w:cs="仿宋_GB2312"/>
          <w:sz w:val="32"/>
          <w:szCs w:val="32"/>
        </w:rPr>
        <w:t>。</w:t>
      </w:r>
    </w:p>
    <w:p w14:paraId="4D5D4526">
      <w:pPr>
        <w:spacing w:line="600" w:lineRule="exact"/>
        <w:ind w:firstLine="643" w:firstLineChars="200"/>
        <w:rPr>
          <w:rFonts w:ascii="黑体" w:hAnsi="黑体" w:eastAsia="黑体"/>
          <w:b/>
          <w:bCs/>
          <w:color w:val="000000"/>
          <w:sz w:val="32"/>
          <w:szCs w:val="32"/>
        </w:rPr>
      </w:pPr>
      <w:r>
        <w:rPr>
          <w:rFonts w:hint="eastAsia" w:ascii="黑体" w:hAnsi="黑体" w:eastAsia="黑体"/>
          <w:b/>
          <w:bCs/>
          <w:color w:val="000000"/>
          <w:sz w:val="32"/>
          <w:szCs w:val="32"/>
        </w:rPr>
        <w:t>五、一般公共预算财政拨款支出决算情况说明</w:t>
      </w:r>
    </w:p>
    <w:p w14:paraId="19B88C15">
      <w:pPr>
        <w:spacing w:line="600" w:lineRule="exact"/>
        <w:ind w:firstLine="643" w:firstLineChars="200"/>
        <w:rPr>
          <w:rFonts w:ascii="仿宋" w:hAnsi="仿宋" w:eastAsia="仿宋"/>
          <w:b/>
          <w:bCs/>
          <w:color w:val="000000"/>
          <w:sz w:val="32"/>
          <w:szCs w:val="32"/>
        </w:rPr>
      </w:pPr>
      <w:r>
        <w:rPr>
          <w:rFonts w:hint="eastAsia" w:ascii="仿宋" w:hAnsi="仿宋" w:eastAsia="仿宋"/>
          <w:b/>
          <w:bCs/>
          <w:color w:val="000000"/>
          <w:sz w:val="32"/>
          <w:szCs w:val="32"/>
        </w:rPr>
        <w:t>（一）一般公共预算财政拨款支出决算总体情况</w:t>
      </w:r>
    </w:p>
    <w:p w14:paraId="5DC14966">
      <w:pPr>
        <w:spacing w:line="600" w:lineRule="exact"/>
        <w:ind w:firstLine="800" w:firstLineChars="250"/>
        <w:rPr>
          <w:rFonts w:ascii="仿宋" w:hAnsi="仿宋" w:eastAsia="仿宋" w:cs="仿宋_GB2312"/>
          <w:sz w:val="32"/>
          <w:szCs w:val="32"/>
        </w:rPr>
      </w:pPr>
      <w:r>
        <w:rPr>
          <w:rFonts w:hint="eastAsia" w:ascii="仿宋" w:hAnsi="仿宋" w:eastAsia="仿宋"/>
          <w:color w:val="000000"/>
          <w:sz w:val="32"/>
          <w:szCs w:val="32"/>
        </w:rPr>
        <w:t>2020年度一般公共预算财政拨款支出1614.66万元，占本年支出合计的100%。与2019年相比，一般公共预算财政拨款</w:t>
      </w:r>
      <w:r>
        <w:rPr>
          <w:rFonts w:hint="eastAsia" w:ascii="仿宋" w:hAnsi="仿宋" w:eastAsia="仿宋" w:cs="仿宋_GB2312"/>
          <w:color w:val="000000"/>
          <w:sz w:val="32"/>
          <w:szCs w:val="32"/>
        </w:rPr>
        <w:t>支出增加98.46万元，增加12.12%</w:t>
      </w:r>
      <w:r>
        <w:rPr>
          <w:rFonts w:hint="eastAsia" w:ascii="仿宋" w:hAnsi="仿宋" w:eastAsia="仿宋"/>
          <w:color w:val="000000"/>
          <w:sz w:val="32"/>
          <w:szCs w:val="32"/>
        </w:rPr>
        <w:t>，主要变动原因是环保支出增加撤村并组后村组干部报酬调整原干部保留待遇相应收入支出增加</w:t>
      </w:r>
      <w:r>
        <w:rPr>
          <w:rFonts w:hint="eastAsia" w:ascii="仿宋" w:hAnsi="仿宋" w:eastAsia="仿宋" w:cs="仿宋_GB2312"/>
          <w:sz w:val="32"/>
          <w:szCs w:val="32"/>
        </w:rPr>
        <w:t>。</w:t>
      </w:r>
    </w:p>
    <w:p w14:paraId="626A19AF">
      <w:pPr>
        <w:spacing w:line="600" w:lineRule="exact"/>
        <w:ind w:firstLine="800" w:firstLineChars="25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1312" behindDoc="0" locked="0" layoutInCell="1" allowOverlap="1">
            <wp:simplePos x="0" y="0"/>
            <wp:positionH relativeFrom="column">
              <wp:posOffset>908050</wp:posOffset>
            </wp:positionH>
            <wp:positionV relativeFrom="paragraph">
              <wp:posOffset>238125</wp:posOffset>
            </wp:positionV>
            <wp:extent cx="4933950" cy="2190750"/>
            <wp:effectExtent l="0" t="0" r="0" b="0"/>
            <wp:wrapSquare wrapText="bothSides"/>
            <wp:docPr id="6" name="对象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72FF8927">
      <w:pPr>
        <w:spacing w:line="600" w:lineRule="exact"/>
        <w:ind w:firstLine="640" w:firstLineChars="200"/>
        <w:rPr>
          <w:rFonts w:ascii="仿宋" w:hAnsi="仿宋" w:eastAsia="仿宋"/>
          <w:color w:val="000000"/>
          <w:sz w:val="32"/>
          <w:szCs w:val="32"/>
        </w:rPr>
      </w:pPr>
    </w:p>
    <w:p w14:paraId="1B6E7506">
      <w:pPr>
        <w:spacing w:line="600" w:lineRule="exact"/>
        <w:ind w:firstLine="640" w:firstLineChars="200"/>
        <w:rPr>
          <w:rFonts w:ascii="仿宋" w:hAnsi="仿宋" w:eastAsia="仿宋"/>
          <w:color w:val="000000"/>
          <w:sz w:val="32"/>
          <w:szCs w:val="32"/>
        </w:rPr>
      </w:pPr>
    </w:p>
    <w:p w14:paraId="0CA3EA1C">
      <w:pPr>
        <w:spacing w:line="600" w:lineRule="exact"/>
        <w:ind w:firstLine="640" w:firstLineChars="200"/>
        <w:rPr>
          <w:rFonts w:ascii="仿宋" w:hAnsi="仿宋" w:eastAsia="仿宋"/>
          <w:color w:val="000000"/>
          <w:sz w:val="32"/>
          <w:szCs w:val="32"/>
        </w:rPr>
      </w:pPr>
    </w:p>
    <w:p w14:paraId="5A7F7140">
      <w:pPr>
        <w:spacing w:line="600" w:lineRule="exact"/>
        <w:rPr>
          <w:rFonts w:ascii="仿宋" w:hAnsi="仿宋" w:eastAsia="仿宋"/>
          <w:color w:val="000000"/>
          <w:sz w:val="32"/>
          <w:szCs w:val="32"/>
        </w:rPr>
      </w:pPr>
    </w:p>
    <w:p w14:paraId="53AFB6AB">
      <w:pPr>
        <w:spacing w:line="600" w:lineRule="exact"/>
        <w:rPr>
          <w:rFonts w:ascii="仿宋" w:hAnsi="仿宋" w:eastAsia="仿宋"/>
          <w:color w:val="000000"/>
          <w:sz w:val="32"/>
          <w:szCs w:val="32"/>
        </w:rPr>
      </w:pPr>
    </w:p>
    <w:p w14:paraId="7F721507">
      <w:pPr>
        <w:spacing w:line="600" w:lineRule="exact"/>
        <w:rPr>
          <w:rFonts w:ascii="仿宋" w:hAnsi="仿宋" w:eastAsia="仿宋"/>
          <w:color w:val="000000"/>
          <w:sz w:val="32"/>
          <w:szCs w:val="32"/>
        </w:rPr>
      </w:pPr>
    </w:p>
    <w:p w14:paraId="18ACC991">
      <w:pPr>
        <w:spacing w:line="600" w:lineRule="exact"/>
        <w:ind w:firstLine="643" w:firstLineChars="200"/>
        <w:rPr>
          <w:rFonts w:ascii="仿宋" w:hAnsi="仿宋" w:eastAsia="仿宋"/>
          <w:color w:val="000000"/>
          <w:sz w:val="32"/>
          <w:szCs w:val="32"/>
        </w:rPr>
      </w:pPr>
      <w:r>
        <w:rPr>
          <w:rFonts w:hint="eastAsia" w:ascii="仿宋" w:hAnsi="仿宋" w:eastAsia="仿宋"/>
          <w:b/>
          <w:bCs/>
          <w:color w:val="000000"/>
          <w:sz w:val="32"/>
          <w:szCs w:val="32"/>
        </w:rPr>
        <w:t>（二）一般公共预算财政拨款支出决算结构情况</w:t>
      </w:r>
    </w:p>
    <w:p w14:paraId="6F859850">
      <w:pPr>
        <w:spacing w:line="600" w:lineRule="exact"/>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镇阳镇人民政府2020年一般公共预算财政拨款支出1614.66万元，主要用于以下方面:一般公共服务支出633.67万元，占39.24%；文化旅游体育与传媒支出4.30万元，占0.27%；社会保障和就业支出66.86元，占4.14%；卫生健康支出30.00万元，占1.86%；节能环保支出119.77万元，占7.42%；城镇社区支出12.03万元，占0.75%；农林水支出663.35万元，占41.08%；住房保障支出64.63万元，占4.0%，；其他支出20.05万元，占1.24%.</w:t>
      </w:r>
    </w:p>
    <w:p w14:paraId="7B884E10">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5408" behindDoc="0" locked="0" layoutInCell="1" allowOverlap="1">
            <wp:simplePos x="0" y="0"/>
            <wp:positionH relativeFrom="column">
              <wp:posOffset>533400</wp:posOffset>
            </wp:positionH>
            <wp:positionV relativeFrom="paragraph">
              <wp:posOffset>95250</wp:posOffset>
            </wp:positionV>
            <wp:extent cx="3429000" cy="2343150"/>
            <wp:effectExtent l="0" t="0" r="0" b="0"/>
            <wp:wrapSquare wrapText="bothSides"/>
            <wp:docPr id="9" name="对象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6EF09544">
      <w:pPr>
        <w:spacing w:line="600" w:lineRule="exact"/>
        <w:ind w:firstLine="640" w:firstLineChars="200"/>
        <w:rPr>
          <w:rFonts w:ascii="仿宋" w:hAnsi="仿宋" w:eastAsia="仿宋"/>
          <w:color w:val="000000"/>
          <w:sz w:val="32"/>
          <w:szCs w:val="32"/>
        </w:rPr>
      </w:pPr>
    </w:p>
    <w:p w14:paraId="6473F137">
      <w:pPr>
        <w:spacing w:line="600" w:lineRule="exact"/>
        <w:ind w:firstLine="640" w:firstLineChars="200"/>
        <w:rPr>
          <w:rFonts w:ascii="仿宋" w:hAnsi="仿宋" w:eastAsia="仿宋"/>
          <w:color w:val="000000"/>
          <w:sz w:val="32"/>
          <w:szCs w:val="32"/>
        </w:rPr>
      </w:pPr>
    </w:p>
    <w:p w14:paraId="7FBB9D17">
      <w:pPr>
        <w:spacing w:line="600" w:lineRule="exact"/>
        <w:ind w:firstLine="640" w:firstLineChars="200"/>
        <w:rPr>
          <w:rFonts w:ascii="仿宋" w:hAnsi="仿宋" w:eastAsia="仿宋"/>
          <w:color w:val="000000"/>
          <w:sz w:val="32"/>
          <w:szCs w:val="32"/>
        </w:rPr>
      </w:pPr>
    </w:p>
    <w:p w14:paraId="49578FCD">
      <w:pPr>
        <w:spacing w:line="600" w:lineRule="exact"/>
        <w:rPr>
          <w:rFonts w:ascii="仿宋" w:hAnsi="仿宋" w:eastAsia="仿宋"/>
          <w:color w:val="000000"/>
          <w:sz w:val="32"/>
          <w:szCs w:val="32"/>
        </w:rPr>
      </w:pPr>
    </w:p>
    <w:p w14:paraId="266712C6">
      <w:pPr>
        <w:spacing w:line="600" w:lineRule="exact"/>
        <w:ind w:firstLine="640" w:firstLineChars="200"/>
        <w:rPr>
          <w:rFonts w:ascii="仿宋" w:hAnsi="仿宋" w:eastAsia="仿宋"/>
          <w:color w:val="000000"/>
          <w:sz w:val="32"/>
          <w:szCs w:val="32"/>
        </w:rPr>
      </w:pPr>
    </w:p>
    <w:p w14:paraId="579C8E97">
      <w:pPr>
        <w:spacing w:line="600" w:lineRule="exact"/>
        <w:ind w:firstLine="643" w:firstLineChars="200"/>
        <w:rPr>
          <w:rFonts w:ascii="仿宋" w:hAnsi="仿宋" w:eastAsia="仿宋"/>
          <w:b/>
          <w:bCs/>
          <w:color w:val="000000"/>
          <w:sz w:val="32"/>
          <w:szCs w:val="32"/>
        </w:rPr>
      </w:pPr>
    </w:p>
    <w:p w14:paraId="2F66E671">
      <w:pPr>
        <w:spacing w:line="600" w:lineRule="exact"/>
        <w:ind w:firstLine="643" w:firstLineChars="200"/>
        <w:rPr>
          <w:rFonts w:ascii="仿宋" w:hAnsi="仿宋" w:eastAsia="仿宋"/>
          <w:b/>
          <w:bCs/>
          <w:color w:val="000000"/>
          <w:sz w:val="32"/>
          <w:szCs w:val="32"/>
        </w:rPr>
      </w:pPr>
      <w:r>
        <w:rPr>
          <w:rFonts w:hint="eastAsia" w:ascii="仿宋" w:hAnsi="仿宋" w:eastAsia="仿宋"/>
          <w:b/>
          <w:bCs/>
          <w:color w:val="000000"/>
          <w:sz w:val="32"/>
          <w:szCs w:val="32"/>
        </w:rPr>
        <w:t>（三）一般公共预算财政拨款支出决算具体情况</w:t>
      </w:r>
    </w:p>
    <w:p w14:paraId="59219042">
      <w:pPr>
        <w:spacing w:line="600" w:lineRule="exact"/>
        <w:ind w:firstLine="640" w:firstLineChars="200"/>
        <w:outlineLvl w:val="2"/>
        <w:rPr>
          <w:rFonts w:ascii="仿宋" w:hAnsi="仿宋" w:eastAsia="仿宋"/>
          <w:bCs/>
          <w:color w:val="FF0000"/>
          <w:sz w:val="32"/>
          <w:szCs w:val="32"/>
        </w:rPr>
      </w:pPr>
      <w:bookmarkStart w:id="14" w:name="_Toc15378460"/>
      <w:bookmarkStart w:id="15" w:name="_Toc15377213"/>
      <w:bookmarkStart w:id="16" w:name="_Toc15377444"/>
      <w:r>
        <w:rPr>
          <w:rFonts w:hint="eastAsia" w:ascii="仿宋" w:hAnsi="仿宋" w:eastAsia="仿宋"/>
          <w:bCs/>
          <w:color w:val="000000" w:themeColor="text1"/>
          <w:sz w:val="32"/>
          <w:szCs w:val="32"/>
          <w14:textFill>
            <w14:solidFill>
              <w14:schemeClr w14:val="tx1"/>
            </w14:solidFill>
          </w14:textFill>
        </w:rPr>
        <w:t>2020年般公共预算支出决算数为1614.66万元，</w:t>
      </w:r>
      <w:r>
        <w:rPr>
          <w:rStyle w:val="15"/>
          <w:rFonts w:hint="eastAsia" w:ascii="仿宋" w:hAnsi="仿宋" w:eastAsia="仿宋"/>
          <w:b w:val="0"/>
          <w:color w:val="000000" w:themeColor="text1"/>
          <w:sz w:val="32"/>
          <w:szCs w:val="32"/>
          <w14:textFill>
            <w14:solidFill>
              <w14:schemeClr w14:val="tx1"/>
            </w14:solidFill>
          </w14:textFill>
        </w:rPr>
        <w:t>完成</w:t>
      </w:r>
      <w:r>
        <w:rPr>
          <w:rStyle w:val="15"/>
          <w:rFonts w:hint="eastAsia" w:ascii="仿宋" w:hAnsi="仿宋" w:eastAsia="仿宋"/>
          <w:b w:val="0"/>
          <w:color w:val="000000"/>
          <w:sz w:val="32"/>
          <w:szCs w:val="32"/>
        </w:rPr>
        <w:t>预算100</w:t>
      </w:r>
      <w:r>
        <w:rPr>
          <w:rStyle w:val="15"/>
          <w:rFonts w:ascii="仿宋" w:hAnsi="仿宋" w:eastAsia="仿宋"/>
          <w:b w:val="0"/>
          <w:color w:val="000000"/>
          <w:sz w:val="32"/>
          <w:szCs w:val="32"/>
        </w:rPr>
        <w:t>%</w:t>
      </w:r>
      <w:r>
        <w:rPr>
          <w:rStyle w:val="15"/>
          <w:rFonts w:hint="eastAsia" w:ascii="仿宋" w:hAnsi="仿宋" w:eastAsia="仿宋"/>
          <w:b w:val="0"/>
          <w:color w:val="000000"/>
          <w:sz w:val="32"/>
          <w:szCs w:val="32"/>
        </w:rPr>
        <w:t>。其中：</w:t>
      </w:r>
      <w:bookmarkEnd w:id="14"/>
      <w:bookmarkEnd w:id="15"/>
      <w:bookmarkEnd w:id="16"/>
    </w:p>
    <w:p w14:paraId="41B3BA14">
      <w:pPr>
        <w:spacing w:line="600" w:lineRule="exact"/>
        <w:ind w:firstLine="643" w:firstLineChars="200"/>
        <w:rPr>
          <w:rStyle w:val="15"/>
          <w:rFonts w:ascii="仿宋" w:hAnsi="仿宋" w:eastAsia="仿宋"/>
          <w:b w:val="0"/>
          <w:bCs w:val="0"/>
          <w:color w:val="000000"/>
          <w:sz w:val="32"/>
          <w:szCs w:val="32"/>
        </w:rPr>
      </w:pPr>
      <w:r>
        <w:rPr>
          <w:rStyle w:val="15"/>
          <w:rFonts w:hint="eastAsia" w:ascii="仿宋" w:hAnsi="仿宋" w:eastAsia="仿宋"/>
          <w:color w:val="000000"/>
          <w:sz w:val="32"/>
          <w:szCs w:val="32"/>
        </w:rPr>
        <w:t>1.一般公共服务支出（类）:人大事务、政府办公厅（室）及相关事务、财政事务、党委办公厅（室）及相关机构事务（款）; 行政运行、其他人大事务支出、一般行政管理事务、其他财政事务支出、其他党委办公厅（室）及相关机构事务支出等（项）</w:t>
      </w:r>
      <w:r>
        <w:rPr>
          <w:rStyle w:val="15"/>
          <w:rFonts w:hint="eastAsia" w:ascii="仿宋" w:hAnsi="仿宋" w:eastAsia="仿宋" w:cs="仿宋_GB2312"/>
          <w:b w:val="0"/>
          <w:bCs w:val="0"/>
          <w:color w:val="000000"/>
          <w:sz w:val="32"/>
          <w:szCs w:val="32"/>
        </w:rPr>
        <w:t>支出决算数633.67万元，预算数633.67万元，完成预算100%</w:t>
      </w:r>
      <w:r>
        <w:rPr>
          <w:rStyle w:val="15"/>
          <w:rFonts w:hint="eastAsia" w:ascii="仿宋" w:hAnsi="仿宋" w:eastAsia="仿宋"/>
          <w:b w:val="0"/>
          <w:bCs w:val="0"/>
          <w:color w:val="000000"/>
          <w:sz w:val="32"/>
          <w:szCs w:val="32"/>
        </w:rPr>
        <w:t>，</w:t>
      </w:r>
      <w:r>
        <w:rPr>
          <w:rStyle w:val="15"/>
          <w:rFonts w:hint="eastAsia" w:ascii="仿宋" w:hAnsi="仿宋" w:eastAsia="仿宋" w:cs="仿宋_GB2312"/>
          <w:b w:val="0"/>
          <w:bCs w:val="0"/>
          <w:color w:val="000000"/>
          <w:sz w:val="32"/>
          <w:szCs w:val="32"/>
        </w:rPr>
        <w:t>决算数</w:t>
      </w:r>
      <w:r>
        <w:rPr>
          <w:rStyle w:val="15"/>
          <w:rFonts w:hint="eastAsia" w:ascii="仿宋" w:hAnsi="仿宋" w:eastAsia="仿宋"/>
          <w:b w:val="0"/>
          <w:color w:val="000000"/>
          <w:sz w:val="32"/>
          <w:szCs w:val="32"/>
        </w:rPr>
        <w:t>与预算数持平</w:t>
      </w:r>
      <w:r>
        <w:rPr>
          <w:rStyle w:val="15"/>
          <w:rFonts w:hint="eastAsia" w:ascii="仿宋" w:hAnsi="仿宋" w:eastAsia="仿宋"/>
          <w:b w:val="0"/>
          <w:bCs w:val="0"/>
          <w:color w:val="000000"/>
          <w:sz w:val="32"/>
          <w:szCs w:val="32"/>
        </w:rPr>
        <w:t>。</w:t>
      </w:r>
    </w:p>
    <w:p w14:paraId="6B6FDD3A">
      <w:pPr>
        <w:spacing w:line="600" w:lineRule="exact"/>
        <w:ind w:firstLine="643" w:firstLineChars="200"/>
        <w:rPr>
          <w:rStyle w:val="15"/>
          <w:rFonts w:ascii="仿宋" w:hAnsi="仿宋" w:eastAsia="仿宋"/>
          <w:b w:val="0"/>
          <w:bCs w:val="0"/>
          <w:color w:val="000000"/>
          <w:sz w:val="32"/>
          <w:szCs w:val="32"/>
        </w:rPr>
      </w:pPr>
      <w:r>
        <w:rPr>
          <w:rStyle w:val="15"/>
          <w:rFonts w:hint="eastAsia" w:ascii="仿宋" w:hAnsi="仿宋" w:eastAsia="仿宋"/>
          <w:color w:val="000000"/>
          <w:sz w:val="32"/>
          <w:szCs w:val="32"/>
        </w:rPr>
        <w:t>2.文化体育与传媒支出（类）：新闻出版广播影视、其他文化旅游体育与传媒支出（款），  其他新闻出版电影支出、其他文化旅游体育与传媒支出（项）</w:t>
      </w:r>
      <w:r>
        <w:rPr>
          <w:rStyle w:val="15"/>
          <w:rFonts w:hint="eastAsia" w:ascii="仿宋" w:hAnsi="仿宋" w:eastAsia="仿宋"/>
          <w:b w:val="0"/>
          <w:bCs w:val="0"/>
          <w:color w:val="000000"/>
          <w:sz w:val="32"/>
          <w:szCs w:val="32"/>
        </w:rPr>
        <w:t>支出决算数4.3万元，</w:t>
      </w:r>
      <w:r>
        <w:rPr>
          <w:rStyle w:val="15"/>
          <w:rFonts w:hint="eastAsia" w:ascii="仿宋" w:hAnsi="仿宋" w:eastAsia="仿宋" w:cs="仿宋_GB2312"/>
          <w:b w:val="0"/>
          <w:bCs w:val="0"/>
          <w:color w:val="000000"/>
          <w:sz w:val="32"/>
          <w:szCs w:val="32"/>
        </w:rPr>
        <w:t>预算数4.3万元，完成预算100.00%，决算数</w:t>
      </w:r>
      <w:r>
        <w:rPr>
          <w:rStyle w:val="15"/>
          <w:rFonts w:hint="eastAsia" w:ascii="仿宋" w:hAnsi="仿宋" w:eastAsia="仿宋"/>
          <w:b w:val="0"/>
          <w:color w:val="000000"/>
          <w:sz w:val="32"/>
          <w:szCs w:val="32"/>
        </w:rPr>
        <w:t>与预算数持平</w:t>
      </w:r>
      <w:r>
        <w:rPr>
          <w:rStyle w:val="15"/>
          <w:rFonts w:hint="eastAsia" w:ascii="仿宋" w:hAnsi="仿宋" w:eastAsia="仿宋"/>
          <w:b w:val="0"/>
          <w:bCs w:val="0"/>
          <w:color w:val="000000"/>
          <w:sz w:val="32"/>
          <w:szCs w:val="32"/>
        </w:rPr>
        <w:t>。</w:t>
      </w:r>
    </w:p>
    <w:p w14:paraId="4C83996D">
      <w:pPr>
        <w:spacing w:line="600" w:lineRule="exact"/>
        <w:ind w:firstLine="643" w:firstLineChars="200"/>
        <w:rPr>
          <w:rStyle w:val="15"/>
          <w:rFonts w:ascii="仿宋" w:hAnsi="仿宋" w:eastAsia="仿宋"/>
          <w:b w:val="0"/>
          <w:bCs w:val="0"/>
          <w:color w:val="000000"/>
          <w:sz w:val="32"/>
          <w:szCs w:val="32"/>
        </w:rPr>
      </w:pPr>
      <w:r>
        <w:rPr>
          <w:rFonts w:hint="eastAsia" w:ascii="仿宋" w:hAnsi="仿宋" w:eastAsia="仿宋"/>
          <w:b/>
          <w:bCs/>
          <w:color w:val="000000"/>
          <w:sz w:val="32"/>
          <w:szCs w:val="32"/>
        </w:rPr>
        <w:t>3</w:t>
      </w:r>
      <w:r>
        <w:rPr>
          <w:rStyle w:val="15"/>
          <w:rFonts w:hint="eastAsia" w:ascii="仿宋" w:hAnsi="仿宋" w:eastAsia="仿宋"/>
          <w:color w:val="000000"/>
          <w:sz w:val="32"/>
          <w:szCs w:val="32"/>
        </w:rPr>
        <w:t>.社会保障和就业（类）：行政事业单位养老支出、就业补助、其他生活救助（款）；机关事业单位基本养老保险缴费支出、其他就业补助支出、其他农村生活补助（项）</w:t>
      </w:r>
      <w:r>
        <w:rPr>
          <w:rStyle w:val="15"/>
          <w:rFonts w:hint="eastAsia" w:ascii="仿宋" w:hAnsi="仿宋" w:eastAsia="仿宋"/>
          <w:b w:val="0"/>
          <w:bCs w:val="0"/>
          <w:color w:val="000000"/>
          <w:sz w:val="32"/>
          <w:szCs w:val="32"/>
        </w:rPr>
        <w:t>支出决算数66.86</w:t>
      </w:r>
      <w:r>
        <w:rPr>
          <w:rFonts w:hint="eastAsia" w:ascii="仿宋" w:hAnsi="仿宋" w:eastAsia="仿宋"/>
          <w:color w:val="000000"/>
          <w:sz w:val="32"/>
          <w:szCs w:val="32"/>
        </w:rPr>
        <w:t>万元，</w:t>
      </w:r>
      <w:r>
        <w:rPr>
          <w:rStyle w:val="15"/>
          <w:rFonts w:hint="eastAsia" w:ascii="仿宋" w:hAnsi="仿宋" w:eastAsia="仿宋" w:cs="仿宋_GB2312"/>
          <w:b w:val="0"/>
          <w:bCs w:val="0"/>
          <w:color w:val="000000"/>
          <w:sz w:val="32"/>
          <w:szCs w:val="32"/>
        </w:rPr>
        <w:t>预算数66.86万元，完成预算100.00%，决算数</w:t>
      </w:r>
      <w:r>
        <w:rPr>
          <w:rStyle w:val="15"/>
          <w:rFonts w:hint="eastAsia" w:ascii="仿宋" w:hAnsi="仿宋" w:eastAsia="仿宋"/>
          <w:b w:val="0"/>
          <w:color w:val="000000"/>
          <w:sz w:val="32"/>
          <w:szCs w:val="32"/>
        </w:rPr>
        <w:t>与预算数持平</w:t>
      </w:r>
      <w:r>
        <w:rPr>
          <w:rStyle w:val="15"/>
          <w:rFonts w:hint="eastAsia" w:ascii="仿宋" w:hAnsi="仿宋" w:eastAsia="仿宋"/>
          <w:b w:val="0"/>
          <w:bCs w:val="0"/>
          <w:color w:val="000000"/>
          <w:sz w:val="32"/>
          <w:szCs w:val="32"/>
        </w:rPr>
        <w:t>。</w:t>
      </w:r>
      <w:r>
        <w:rPr>
          <w:rFonts w:hint="eastAsia" w:ascii="仿宋" w:hAnsi="仿宋" w:eastAsia="仿宋"/>
          <w:color w:val="000000"/>
          <w:sz w:val="32"/>
          <w:szCs w:val="32"/>
        </w:rPr>
        <w:br w:type="textWrapping"/>
      </w:r>
      <w:r>
        <w:rPr>
          <w:rFonts w:hint="eastAsia" w:ascii="仿宋" w:hAnsi="仿宋" w:eastAsia="仿宋"/>
          <w:color w:val="000000"/>
          <w:sz w:val="32"/>
          <w:szCs w:val="32"/>
        </w:rPr>
        <w:t>　　</w:t>
      </w:r>
      <w:r>
        <w:rPr>
          <w:rFonts w:hint="eastAsia" w:ascii="仿宋" w:hAnsi="仿宋" w:eastAsia="仿宋"/>
          <w:b/>
          <w:bCs/>
          <w:color w:val="000000"/>
          <w:sz w:val="32"/>
          <w:szCs w:val="32"/>
        </w:rPr>
        <w:t>4</w:t>
      </w:r>
      <w:r>
        <w:rPr>
          <w:rStyle w:val="15"/>
          <w:rFonts w:hint="eastAsia" w:ascii="仿宋" w:hAnsi="仿宋" w:eastAsia="仿宋"/>
          <w:color w:val="000000"/>
          <w:sz w:val="32"/>
          <w:szCs w:val="32"/>
        </w:rPr>
        <w:t>.卫生健康支出（类）: 公共卫生、行政事业单位医疗（款），重大公共卫生服务、其他公共卫生支出、行政单位医疗（项）</w:t>
      </w:r>
      <w:r>
        <w:rPr>
          <w:rStyle w:val="15"/>
          <w:rFonts w:hint="eastAsia" w:ascii="仿宋" w:hAnsi="仿宋" w:eastAsia="仿宋"/>
          <w:b w:val="0"/>
          <w:color w:val="000000"/>
          <w:sz w:val="32"/>
          <w:szCs w:val="32"/>
        </w:rPr>
        <w:t>支出决算数30.00万元，</w:t>
      </w:r>
      <w:r>
        <w:rPr>
          <w:rFonts w:hint="eastAsia" w:ascii="仿宋" w:hAnsi="仿宋" w:eastAsia="仿宋"/>
          <w:color w:val="000000"/>
          <w:sz w:val="32"/>
          <w:szCs w:val="32"/>
        </w:rPr>
        <w:t>年初预算数30.00万</w:t>
      </w:r>
      <w:r>
        <w:rPr>
          <w:rStyle w:val="15"/>
          <w:rFonts w:hint="eastAsia" w:ascii="仿宋" w:hAnsi="仿宋" w:eastAsia="仿宋"/>
          <w:b w:val="0"/>
          <w:color w:val="000000"/>
          <w:sz w:val="32"/>
          <w:szCs w:val="32"/>
        </w:rPr>
        <w:t>，</w:t>
      </w:r>
      <w:r>
        <w:rPr>
          <w:rStyle w:val="15"/>
          <w:rFonts w:hint="eastAsia" w:ascii="仿宋" w:hAnsi="仿宋" w:eastAsia="仿宋" w:cs="仿宋_GB2312"/>
          <w:b w:val="0"/>
          <w:bCs w:val="0"/>
          <w:color w:val="000000"/>
          <w:sz w:val="32"/>
          <w:szCs w:val="32"/>
        </w:rPr>
        <w:t>完成预算100.00%，决算数</w:t>
      </w:r>
      <w:r>
        <w:rPr>
          <w:rStyle w:val="15"/>
          <w:rFonts w:hint="eastAsia" w:ascii="仿宋" w:hAnsi="仿宋" w:eastAsia="仿宋"/>
          <w:b w:val="0"/>
          <w:color w:val="000000"/>
          <w:sz w:val="32"/>
          <w:szCs w:val="32"/>
        </w:rPr>
        <w:t>与预算数持平</w:t>
      </w:r>
      <w:r>
        <w:rPr>
          <w:rStyle w:val="15"/>
          <w:rFonts w:hint="eastAsia" w:ascii="仿宋" w:hAnsi="仿宋" w:eastAsia="仿宋"/>
          <w:b w:val="0"/>
          <w:bCs w:val="0"/>
          <w:color w:val="000000"/>
          <w:sz w:val="32"/>
          <w:szCs w:val="32"/>
        </w:rPr>
        <w:t>。</w:t>
      </w:r>
    </w:p>
    <w:p w14:paraId="5BFC1669">
      <w:pPr>
        <w:spacing w:line="600" w:lineRule="exact"/>
        <w:ind w:firstLine="643" w:firstLineChars="200"/>
        <w:rPr>
          <w:rFonts w:ascii="仿宋" w:hAnsi="仿宋" w:eastAsia="仿宋"/>
          <w:color w:val="000000"/>
          <w:sz w:val="32"/>
          <w:szCs w:val="32"/>
        </w:rPr>
      </w:pPr>
      <w:r>
        <w:rPr>
          <w:rStyle w:val="15"/>
          <w:rFonts w:hint="eastAsia" w:ascii="仿宋" w:hAnsi="仿宋" w:eastAsia="仿宋"/>
          <w:color w:val="000000"/>
          <w:sz w:val="32"/>
          <w:szCs w:val="32"/>
        </w:rPr>
        <w:t>5.节能环保支出（类）:污染防治、自然生态保护（款），水体、农村环境保护（项）</w:t>
      </w:r>
      <w:r>
        <w:rPr>
          <w:rStyle w:val="15"/>
          <w:rFonts w:hint="eastAsia" w:ascii="仿宋" w:hAnsi="仿宋" w:eastAsia="仿宋"/>
          <w:b w:val="0"/>
          <w:bCs w:val="0"/>
          <w:color w:val="000000"/>
          <w:sz w:val="32"/>
          <w:szCs w:val="32"/>
        </w:rPr>
        <w:t>支出决算数119.77万元</w:t>
      </w:r>
      <w:r>
        <w:rPr>
          <w:rFonts w:hint="eastAsia" w:ascii="仿宋" w:hAnsi="仿宋" w:eastAsia="仿宋"/>
          <w:color w:val="000000"/>
          <w:sz w:val="32"/>
          <w:szCs w:val="32"/>
        </w:rPr>
        <w:t>，年初预算数119.77万</w:t>
      </w:r>
      <w:r>
        <w:rPr>
          <w:rStyle w:val="15"/>
          <w:rFonts w:hint="eastAsia" w:ascii="仿宋" w:hAnsi="仿宋" w:eastAsia="仿宋"/>
          <w:b w:val="0"/>
          <w:color w:val="000000"/>
          <w:sz w:val="32"/>
          <w:szCs w:val="32"/>
        </w:rPr>
        <w:t>，</w:t>
      </w:r>
      <w:r>
        <w:rPr>
          <w:rStyle w:val="15"/>
          <w:rFonts w:hint="eastAsia" w:ascii="仿宋" w:hAnsi="仿宋" w:eastAsia="仿宋" w:cs="仿宋_GB2312"/>
          <w:b w:val="0"/>
          <w:bCs w:val="0"/>
          <w:color w:val="000000"/>
          <w:sz w:val="32"/>
          <w:szCs w:val="32"/>
        </w:rPr>
        <w:t>完成预算100.00%</w:t>
      </w:r>
      <w:r>
        <w:rPr>
          <w:rStyle w:val="15"/>
          <w:rFonts w:hint="eastAsia" w:ascii="仿宋" w:hAnsi="仿宋" w:eastAsia="仿宋"/>
          <w:b w:val="0"/>
          <w:color w:val="000000"/>
          <w:sz w:val="32"/>
          <w:szCs w:val="32"/>
        </w:rPr>
        <w:t>，</w:t>
      </w:r>
      <w:r>
        <w:rPr>
          <w:rStyle w:val="15"/>
          <w:rFonts w:hint="eastAsia" w:ascii="仿宋" w:hAnsi="仿宋" w:eastAsia="仿宋" w:cs="仿宋_GB2312"/>
          <w:b w:val="0"/>
          <w:bCs w:val="0"/>
          <w:color w:val="000000"/>
          <w:sz w:val="32"/>
          <w:szCs w:val="32"/>
        </w:rPr>
        <w:t>决算数</w:t>
      </w:r>
      <w:r>
        <w:rPr>
          <w:rStyle w:val="15"/>
          <w:rFonts w:hint="eastAsia" w:ascii="仿宋" w:hAnsi="仿宋" w:eastAsia="仿宋"/>
          <w:b w:val="0"/>
          <w:color w:val="000000"/>
          <w:sz w:val="32"/>
          <w:szCs w:val="32"/>
        </w:rPr>
        <w:t>与预算数持平</w:t>
      </w:r>
      <w:r>
        <w:rPr>
          <w:rStyle w:val="15"/>
          <w:rFonts w:hint="eastAsia" w:ascii="仿宋" w:hAnsi="仿宋" w:eastAsia="仿宋"/>
          <w:b w:val="0"/>
          <w:bCs w:val="0"/>
          <w:color w:val="000000"/>
          <w:sz w:val="32"/>
          <w:szCs w:val="32"/>
        </w:rPr>
        <w:t>。</w:t>
      </w:r>
    </w:p>
    <w:p w14:paraId="366EB630">
      <w:pPr>
        <w:spacing w:line="600" w:lineRule="exact"/>
        <w:ind w:firstLine="643" w:firstLineChars="200"/>
        <w:rPr>
          <w:rStyle w:val="15"/>
          <w:rFonts w:ascii="仿宋" w:hAnsi="仿宋" w:eastAsia="仿宋"/>
          <w:b w:val="0"/>
          <w:bCs w:val="0"/>
          <w:color w:val="000000"/>
          <w:sz w:val="32"/>
          <w:szCs w:val="32"/>
        </w:rPr>
      </w:pPr>
      <w:r>
        <w:rPr>
          <w:rStyle w:val="15"/>
          <w:rFonts w:hint="eastAsia" w:ascii="仿宋" w:hAnsi="仿宋" w:eastAsia="仿宋"/>
          <w:color w:val="000000"/>
          <w:sz w:val="32"/>
          <w:szCs w:val="32"/>
        </w:rPr>
        <w:t>6.城乡社区支出（类）:城乡社区管理事务（款）；行政运行（项）</w:t>
      </w:r>
      <w:r>
        <w:rPr>
          <w:rStyle w:val="15"/>
          <w:rFonts w:hint="eastAsia" w:ascii="仿宋" w:hAnsi="仿宋" w:eastAsia="仿宋"/>
          <w:b w:val="0"/>
          <w:bCs w:val="0"/>
          <w:color w:val="000000"/>
          <w:sz w:val="32"/>
          <w:szCs w:val="32"/>
        </w:rPr>
        <w:t>支出决算数12.03万元</w:t>
      </w:r>
      <w:r>
        <w:rPr>
          <w:rFonts w:hint="eastAsia" w:ascii="仿宋" w:hAnsi="仿宋" w:eastAsia="仿宋"/>
          <w:color w:val="000000"/>
          <w:sz w:val="32"/>
          <w:szCs w:val="32"/>
        </w:rPr>
        <w:t>，预算12.03万元，</w:t>
      </w:r>
      <w:r>
        <w:rPr>
          <w:rStyle w:val="15"/>
          <w:rFonts w:hint="eastAsia" w:ascii="仿宋" w:hAnsi="仿宋" w:eastAsia="仿宋" w:cs="仿宋_GB2312"/>
          <w:b w:val="0"/>
          <w:bCs w:val="0"/>
          <w:color w:val="000000"/>
          <w:sz w:val="32"/>
          <w:szCs w:val="32"/>
        </w:rPr>
        <w:t>完成预算100.00%，决算数</w:t>
      </w:r>
      <w:r>
        <w:rPr>
          <w:rStyle w:val="15"/>
          <w:rFonts w:hint="eastAsia" w:ascii="仿宋" w:hAnsi="仿宋" w:eastAsia="仿宋"/>
          <w:b w:val="0"/>
          <w:color w:val="000000"/>
          <w:sz w:val="32"/>
          <w:szCs w:val="32"/>
        </w:rPr>
        <w:t>与预算数持平</w:t>
      </w:r>
      <w:r>
        <w:rPr>
          <w:rStyle w:val="15"/>
          <w:rFonts w:hint="eastAsia" w:ascii="仿宋" w:hAnsi="仿宋" w:eastAsia="仿宋"/>
          <w:b w:val="0"/>
          <w:bCs w:val="0"/>
          <w:color w:val="000000"/>
          <w:sz w:val="32"/>
          <w:szCs w:val="32"/>
        </w:rPr>
        <w:t>。</w:t>
      </w:r>
    </w:p>
    <w:p w14:paraId="7B63D503">
      <w:pPr>
        <w:ind w:firstLine="472" w:firstLineChars="147"/>
        <w:rPr>
          <w:rStyle w:val="15"/>
          <w:rFonts w:ascii="仿宋" w:hAnsi="仿宋" w:eastAsia="仿宋"/>
          <w:b w:val="0"/>
          <w:bCs w:val="0"/>
          <w:color w:val="000000"/>
          <w:sz w:val="32"/>
          <w:szCs w:val="32"/>
        </w:rPr>
      </w:pPr>
      <w:r>
        <w:rPr>
          <w:rStyle w:val="15"/>
          <w:rFonts w:hint="eastAsia" w:ascii="仿宋" w:hAnsi="仿宋" w:eastAsia="仿宋"/>
          <w:color w:val="000000"/>
          <w:sz w:val="32"/>
          <w:szCs w:val="32"/>
        </w:rPr>
        <w:t xml:space="preserve"> 7.农林水支出（类）:农业农村、林业和草原、水利、农村综合改革（款）;  行政运行、农村道路建设、其他农业农村支出、对村级一事一议的补助、对村民委员会和村支部的补助（项）</w:t>
      </w:r>
      <w:r>
        <w:rPr>
          <w:rStyle w:val="15"/>
          <w:rFonts w:hint="eastAsia" w:ascii="仿宋" w:hAnsi="仿宋" w:eastAsia="仿宋"/>
          <w:b w:val="0"/>
          <w:bCs w:val="0"/>
          <w:color w:val="000000"/>
          <w:sz w:val="32"/>
          <w:szCs w:val="32"/>
        </w:rPr>
        <w:t>支出决算数663.35万元，预算数663.35万元，</w:t>
      </w:r>
      <w:r>
        <w:rPr>
          <w:rStyle w:val="15"/>
          <w:rFonts w:hint="eastAsia" w:ascii="仿宋" w:hAnsi="仿宋" w:eastAsia="仿宋" w:cs="仿宋_GB2312"/>
          <w:b w:val="0"/>
          <w:bCs w:val="0"/>
          <w:color w:val="000000"/>
          <w:sz w:val="32"/>
          <w:szCs w:val="32"/>
        </w:rPr>
        <w:t>完成预算100.00%</w:t>
      </w:r>
      <w:r>
        <w:rPr>
          <w:rStyle w:val="15"/>
          <w:rFonts w:hint="eastAsia" w:ascii="仿宋" w:hAnsi="仿宋" w:eastAsia="仿宋"/>
          <w:b w:val="0"/>
          <w:color w:val="000000"/>
          <w:sz w:val="32"/>
          <w:szCs w:val="32"/>
        </w:rPr>
        <w:t>，</w:t>
      </w:r>
      <w:r>
        <w:rPr>
          <w:rStyle w:val="15"/>
          <w:rFonts w:hint="eastAsia" w:ascii="仿宋" w:hAnsi="仿宋" w:eastAsia="仿宋" w:cs="仿宋_GB2312"/>
          <w:b w:val="0"/>
          <w:bCs w:val="0"/>
          <w:color w:val="000000"/>
          <w:sz w:val="32"/>
          <w:szCs w:val="32"/>
        </w:rPr>
        <w:t>决算数</w:t>
      </w:r>
      <w:r>
        <w:rPr>
          <w:rStyle w:val="15"/>
          <w:rFonts w:hint="eastAsia" w:ascii="仿宋" w:hAnsi="仿宋" w:eastAsia="仿宋"/>
          <w:b w:val="0"/>
          <w:color w:val="000000"/>
          <w:sz w:val="32"/>
          <w:szCs w:val="32"/>
        </w:rPr>
        <w:t>与预算数持平</w:t>
      </w:r>
      <w:r>
        <w:rPr>
          <w:rStyle w:val="15"/>
          <w:rFonts w:hint="eastAsia" w:ascii="仿宋" w:hAnsi="仿宋" w:eastAsia="仿宋"/>
          <w:b w:val="0"/>
          <w:bCs w:val="0"/>
          <w:color w:val="000000"/>
          <w:sz w:val="32"/>
          <w:szCs w:val="32"/>
        </w:rPr>
        <w:t>。</w:t>
      </w:r>
    </w:p>
    <w:p w14:paraId="07B1080A">
      <w:pPr>
        <w:ind w:firstLine="472" w:firstLineChars="147"/>
        <w:rPr>
          <w:rStyle w:val="15"/>
          <w:rFonts w:ascii="仿宋" w:hAnsi="仿宋" w:eastAsia="仿宋"/>
          <w:color w:val="000000"/>
          <w:sz w:val="32"/>
          <w:szCs w:val="32"/>
        </w:rPr>
      </w:pPr>
      <w:r>
        <w:rPr>
          <w:rStyle w:val="15"/>
          <w:rFonts w:hint="eastAsia" w:ascii="仿宋" w:hAnsi="仿宋" w:eastAsia="仿宋"/>
          <w:color w:val="000000"/>
          <w:sz w:val="32"/>
          <w:szCs w:val="32"/>
        </w:rPr>
        <w:t>8.住房保障支出（款）:住房改革支出（款）；住房公积金（项）</w:t>
      </w:r>
      <w:r>
        <w:rPr>
          <w:rFonts w:hint="eastAsia" w:ascii="仿宋" w:hAnsi="仿宋" w:eastAsia="仿宋"/>
          <w:bCs/>
          <w:color w:val="000000"/>
          <w:sz w:val="32"/>
          <w:szCs w:val="32"/>
        </w:rPr>
        <w:t>支出决算数64.63万元，预算64.63万元，</w:t>
      </w:r>
      <w:r>
        <w:rPr>
          <w:rStyle w:val="15"/>
          <w:rFonts w:hint="eastAsia" w:ascii="仿宋" w:hAnsi="仿宋" w:eastAsia="仿宋" w:cs="仿宋_GB2312"/>
          <w:b w:val="0"/>
          <w:bCs w:val="0"/>
          <w:color w:val="000000"/>
          <w:sz w:val="32"/>
          <w:szCs w:val="32"/>
        </w:rPr>
        <w:t>完成预算100.00%</w:t>
      </w:r>
      <w:r>
        <w:rPr>
          <w:rStyle w:val="15"/>
          <w:rFonts w:hint="eastAsia" w:ascii="仿宋" w:hAnsi="仿宋" w:eastAsia="仿宋"/>
          <w:b w:val="0"/>
          <w:color w:val="000000"/>
          <w:sz w:val="32"/>
          <w:szCs w:val="32"/>
        </w:rPr>
        <w:t>，</w:t>
      </w:r>
      <w:r>
        <w:rPr>
          <w:rStyle w:val="15"/>
          <w:rFonts w:hint="eastAsia" w:ascii="仿宋" w:hAnsi="仿宋" w:eastAsia="仿宋" w:cs="仿宋_GB2312"/>
          <w:b w:val="0"/>
          <w:bCs w:val="0"/>
          <w:color w:val="000000"/>
          <w:sz w:val="32"/>
          <w:szCs w:val="32"/>
        </w:rPr>
        <w:t>决算数</w:t>
      </w:r>
      <w:r>
        <w:rPr>
          <w:rStyle w:val="15"/>
          <w:rFonts w:hint="eastAsia" w:ascii="仿宋" w:hAnsi="仿宋" w:eastAsia="仿宋"/>
          <w:b w:val="0"/>
          <w:color w:val="000000"/>
          <w:sz w:val="32"/>
          <w:szCs w:val="32"/>
        </w:rPr>
        <w:t>与预算数持平</w:t>
      </w:r>
      <w:r>
        <w:rPr>
          <w:rStyle w:val="15"/>
          <w:rFonts w:hint="eastAsia" w:ascii="仿宋" w:hAnsi="仿宋" w:eastAsia="仿宋"/>
          <w:b w:val="0"/>
          <w:bCs w:val="0"/>
          <w:color w:val="000000"/>
          <w:sz w:val="32"/>
          <w:szCs w:val="32"/>
        </w:rPr>
        <w:t>。</w:t>
      </w:r>
    </w:p>
    <w:p w14:paraId="7460A41C">
      <w:pPr>
        <w:ind w:firstLine="472" w:firstLineChars="147"/>
        <w:rPr>
          <w:rFonts w:ascii="仿宋" w:hAnsi="仿宋" w:eastAsia="仿宋"/>
          <w:b/>
          <w:bCs/>
          <w:color w:val="000000"/>
          <w:sz w:val="32"/>
          <w:szCs w:val="32"/>
        </w:rPr>
      </w:pPr>
      <w:r>
        <w:rPr>
          <w:rStyle w:val="15"/>
          <w:rFonts w:hint="eastAsia" w:ascii="仿宋" w:hAnsi="仿宋" w:eastAsia="仿宋"/>
          <w:color w:val="000000"/>
          <w:sz w:val="32"/>
          <w:szCs w:val="32"/>
        </w:rPr>
        <w:t>9.其他支出（款）:其他支出（款）；其他支出（项）</w:t>
      </w:r>
      <w:r>
        <w:rPr>
          <w:rStyle w:val="15"/>
          <w:rFonts w:hint="eastAsia" w:ascii="仿宋" w:hAnsi="仿宋" w:eastAsia="仿宋"/>
          <w:b w:val="0"/>
          <w:bCs w:val="0"/>
          <w:color w:val="000000"/>
          <w:sz w:val="32"/>
          <w:szCs w:val="32"/>
        </w:rPr>
        <w:t>支出决算数20.05万元，预算数20.05万元相等，</w:t>
      </w:r>
      <w:r>
        <w:rPr>
          <w:rFonts w:hint="eastAsia" w:ascii="仿宋" w:hAnsi="仿宋" w:eastAsia="仿宋"/>
          <w:bCs/>
          <w:color w:val="000000"/>
          <w:sz w:val="32"/>
          <w:szCs w:val="32"/>
        </w:rPr>
        <w:t>完成预算100.00%，决算数与预算数持平。</w:t>
      </w:r>
    </w:p>
    <w:p w14:paraId="27B61DCC">
      <w:pPr>
        <w:ind w:firstLine="470" w:firstLineChars="147"/>
        <w:rPr>
          <w:rFonts w:ascii="黑体" w:hAnsi="黑体" w:eastAsia="黑体"/>
          <w:color w:val="000000"/>
          <w:sz w:val="32"/>
          <w:szCs w:val="32"/>
        </w:rPr>
      </w:pPr>
      <w:r>
        <w:rPr>
          <w:rFonts w:hint="eastAsia" w:ascii="黑体" w:hAnsi="黑体" w:eastAsia="黑体"/>
          <w:color w:val="000000"/>
          <w:sz w:val="32"/>
          <w:szCs w:val="32"/>
        </w:rPr>
        <w:t xml:space="preserve">  六、一般公共预算财政拨款基本支出决算情况</w:t>
      </w:r>
    </w:p>
    <w:p w14:paraId="213C06BB">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2020年一般公共预算财政拨款基本支出931.73万元，其中：</w:t>
      </w:r>
    </w:p>
    <w:p w14:paraId="77D16876">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802.09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w:t>
      </w:r>
      <w:r>
        <w:rPr>
          <w:rFonts w:hint="eastAsia" w:ascii="仿宋" w:hAnsi="仿宋" w:eastAsia="仿宋"/>
          <w:color w:val="000000"/>
          <w:sz w:val="32"/>
          <w:szCs w:val="32"/>
        </w:rPr>
        <w:br w:type="textWrapping"/>
      </w:r>
      <w:r>
        <w:rPr>
          <w:rFonts w:hint="eastAsia" w:ascii="仿宋" w:hAnsi="仿宋" w:eastAsia="仿宋"/>
          <w:color w:val="000000"/>
          <w:sz w:val="32"/>
          <w:szCs w:val="32"/>
        </w:rPr>
        <w:t>　　公用经费129.64万元，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14:paraId="00174E92">
      <w:pPr>
        <w:spacing w:line="600"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七、“三公”经费财政拨款支出决算情况</w:t>
      </w:r>
    </w:p>
    <w:p w14:paraId="580B3685">
      <w:pPr>
        <w:spacing w:line="600" w:lineRule="exact"/>
        <w:ind w:firstLine="472" w:firstLineChars="147"/>
        <w:rPr>
          <w:rFonts w:ascii="仿宋" w:hAnsi="仿宋" w:eastAsia="仿宋"/>
          <w:b/>
          <w:color w:val="000000"/>
          <w:sz w:val="32"/>
          <w:szCs w:val="32"/>
        </w:rPr>
      </w:pPr>
      <w:r>
        <w:rPr>
          <w:rFonts w:hint="eastAsia" w:ascii="仿宋" w:hAnsi="仿宋" w:eastAsia="仿宋"/>
          <w:b/>
          <w:color w:val="000000"/>
          <w:sz w:val="32"/>
          <w:szCs w:val="32"/>
        </w:rPr>
        <w:t>（一）“三公”经费财政拨款支出决算总体情况说明</w:t>
      </w:r>
    </w:p>
    <w:p w14:paraId="42D78772">
      <w:pPr>
        <w:spacing w:line="600" w:lineRule="exact"/>
        <w:ind w:firstLine="640"/>
        <w:rPr>
          <w:rFonts w:ascii="仿宋" w:hAnsi="仿宋" w:eastAsia="仿宋"/>
          <w:color w:val="333333"/>
          <w:sz w:val="32"/>
          <w:szCs w:val="32"/>
        </w:rPr>
      </w:pPr>
      <w:r>
        <w:rPr>
          <w:rFonts w:hint="eastAsia" w:ascii="仿宋" w:hAnsi="仿宋" w:eastAsia="仿宋"/>
          <w:color w:val="333333"/>
          <w:sz w:val="32"/>
          <w:szCs w:val="32"/>
        </w:rPr>
        <w:t>2020年度“三公”经费财政拨款支出决算为9.46万元，完成预算45.04%，2020年度“三公”经费支出决算数小于预算数的主要原因是镇政府严格三公经费管控，规范三公经费管理制度。</w:t>
      </w:r>
    </w:p>
    <w:p w14:paraId="0C01F4A1">
      <w:pPr>
        <w:numPr>
          <w:ilvl w:val="0"/>
          <w:numId w:val="4"/>
        </w:numPr>
        <w:spacing w:line="600" w:lineRule="exact"/>
        <w:ind w:firstLine="640"/>
        <w:rPr>
          <w:rFonts w:ascii="仿宋" w:hAnsi="仿宋" w:eastAsia="仿宋"/>
          <w:b/>
          <w:color w:val="333333"/>
          <w:sz w:val="32"/>
          <w:szCs w:val="32"/>
        </w:rPr>
      </w:pPr>
      <w:r>
        <w:rPr>
          <w:rFonts w:hint="eastAsia" w:ascii="仿宋" w:hAnsi="仿宋" w:eastAsia="仿宋"/>
          <w:b/>
          <w:color w:val="333333"/>
          <w:sz w:val="32"/>
          <w:szCs w:val="32"/>
        </w:rPr>
        <w:t>“</w:t>
      </w:r>
      <w:r>
        <w:rPr>
          <w:rFonts w:hint="eastAsia" w:ascii="仿宋" w:hAnsi="仿宋" w:eastAsia="仿宋"/>
          <w:b/>
          <w:color w:val="000000"/>
          <w:sz w:val="32"/>
          <w:szCs w:val="32"/>
        </w:rPr>
        <w:t>三公”经费财政拨款支出决算具体情况说明</w:t>
      </w:r>
    </w:p>
    <w:p w14:paraId="3AB46438">
      <w:pPr>
        <w:spacing w:line="600" w:lineRule="exact"/>
        <w:ind w:firstLine="640"/>
        <w:rPr>
          <w:rFonts w:ascii="仿宋" w:hAnsi="仿宋" w:eastAsia="仿宋"/>
          <w:color w:val="000000"/>
          <w:sz w:val="32"/>
          <w:szCs w:val="32"/>
        </w:rPr>
      </w:pPr>
      <w:r>
        <w:rPr>
          <w:rFonts w:hint="eastAsia" w:ascii="仿宋" w:hAnsi="仿宋" w:eastAsia="仿宋"/>
          <w:color w:val="333333"/>
          <w:sz w:val="32"/>
          <w:szCs w:val="32"/>
        </w:rPr>
        <w:t>2020年“三公”经费财政拨款支出决算中，因公出国（境）费支出决算0万元，</w:t>
      </w:r>
      <w:r>
        <w:rPr>
          <w:rFonts w:hint="eastAsia" w:ascii="仿宋" w:hAnsi="仿宋" w:eastAsia="仿宋"/>
          <w:color w:val="000000"/>
          <w:sz w:val="32"/>
          <w:szCs w:val="32"/>
        </w:rPr>
        <w:t>占0%</w:t>
      </w:r>
      <w:r>
        <w:rPr>
          <w:rFonts w:hint="eastAsia" w:ascii="仿宋" w:hAnsi="仿宋" w:eastAsia="仿宋"/>
          <w:color w:val="333333"/>
          <w:sz w:val="32"/>
          <w:szCs w:val="32"/>
        </w:rPr>
        <w:t>；公务用车购置及运行维护费支出决算8.93万元，</w:t>
      </w:r>
      <w:r>
        <w:rPr>
          <w:rFonts w:hint="eastAsia" w:ascii="仿宋" w:hAnsi="仿宋" w:eastAsia="仿宋"/>
          <w:color w:val="000000"/>
          <w:sz w:val="32"/>
          <w:szCs w:val="32"/>
        </w:rPr>
        <w:t>占94.39%</w:t>
      </w:r>
      <w:r>
        <w:rPr>
          <w:rFonts w:hint="eastAsia" w:ascii="仿宋" w:hAnsi="仿宋" w:eastAsia="仿宋"/>
          <w:color w:val="333333"/>
          <w:sz w:val="32"/>
          <w:szCs w:val="32"/>
        </w:rPr>
        <w:t>；公务接待费支出决算0.53万元，</w:t>
      </w:r>
      <w:r>
        <w:rPr>
          <w:rFonts w:hint="eastAsia" w:ascii="仿宋" w:hAnsi="仿宋" w:eastAsia="仿宋"/>
          <w:color w:val="000000"/>
          <w:sz w:val="32"/>
          <w:szCs w:val="32"/>
        </w:rPr>
        <w:t>占5.61%。具体情况如下：</w:t>
      </w:r>
    </w:p>
    <w:p w14:paraId="1A0AB39C">
      <w:pPr>
        <w:spacing w:line="600" w:lineRule="exact"/>
        <w:ind w:firstLine="640"/>
        <w:rPr>
          <w:rFonts w:ascii="仿宋" w:hAnsi="仿宋" w:eastAsia="仿宋"/>
          <w:b/>
          <w:color w:val="000000"/>
          <w:sz w:val="32"/>
          <w:szCs w:val="32"/>
        </w:rPr>
      </w:pPr>
      <w:r>
        <w:rPr>
          <w:rFonts w:ascii="仿宋" w:hAnsi="仿宋" w:eastAsia="仿宋"/>
          <w:color w:val="000000"/>
          <w:sz w:val="32"/>
          <w:szCs w:val="32"/>
        </w:rPr>
        <w:drawing>
          <wp:anchor distT="0" distB="0" distL="114300" distR="114300" simplePos="0" relativeHeight="251660288" behindDoc="0" locked="0" layoutInCell="1" allowOverlap="1">
            <wp:simplePos x="0" y="0"/>
            <wp:positionH relativeFrom="column">
              <wp:posOffset>228600</wp:posOffset>
            </wp:positionH>
            <wp:positionV relativeFrom="paragraph">
              <wp:posOffset>59055</wp:posOffset>
            </wp:positionV>
            <wp:extent cx="2881630" cy="1717040"/>
            <wp:effectExtent l="0" t="0" r="0" b="635"/>
            <wp:wrapSquare wrapText="bothSides"/>
            <wp:docPr id="8" name="对象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5DED4F4D">
      <w:pPr>
        <w:spacing w:line="600" w:lineRule="exact"/>
        <w:ind w:firstLine="640"/>
        <w:rPr>
          <w:rFonts w:ascii="仿宋" w:hAnsi="仿宋" w:eastAsia="仿宋"/>
          <w:b/>
          <w:color w:val="000000"/>
          <w:sz w:val="32"/>
          <w:szCs w:val="32"/>
        </w:rPr>
      </w:pPr>
    </w:p>
    <w:p w14:paraId="3C432A2F">
      <w:pPr>
        <w:spacing w:line="600" w:lineRule="exact"/>
        <w:rPr>
          <w:rFonts w:ascii="仿宋" w:hAnsi="仿宋" w:eastAsia="仿宋"/>
          <w:b/>
          <w:color w:val="000000"/>
          <w:sz w:val="32"/>
          <w:szCs w:val="32"/>
        </w:rPr>
      </w:pPr>
    </w:p>
    <w:p w14:paraId="06739385">
      <w:pPr>
        <w:spacing w:line="600" w:lineRule="exact"/>
        <w:rPr>
          <w:rFonts w:ascii="仿宋" w:hAnsi="仿宋" w:eastAsia="仿宋"/>
          <w:b/>
          <w:color w:val="000000"/>
          <w:sz w:val="32"/>
          <w:szCs w:val="32"/>
        </w:rPr>
      </w:pPr>
    </w:p>
    <w:p w14:paraId="2D3F53A2">
      <w:pPr>
        <w:spacing w:line="600" w:lineRule="exact"/>
        <w:rPr>
          <w:rFonts w:ascii="仿宋" w:hAnsi="仿宋" w:eastAsia="仿宋"/>
          <w:b/>
          <w:color w:val="000000"/>
          <w:sz w:val="32"/>
          <w:szCs w:val="32"/>
        </w:rPr>
      </w:pPr>
    </w:p>
    <w:p w14:paraId="03F8D85F">
      <w:pPr>
        <w:spacing w:line="600" w:lineRule="exact"/>
        <w:ind w:firstLine="643" w:firstLineChars="200"/>
        <w:rPr>
          <w:rFonts w:ascii="仿宋" w:hAnsi="仿宋" w:eastAsia="仿宋"/>
          <w:bCs/>
          <w:color w:val="000000"/>
          <w:sz w:val="32"/>
          <w:szCs w:val="32"/>
        </w:rPr>
      </w:pPr>
      <w:r>
        <w:rPr>
          <w:rFonts w:hint="eastAsia" w:ascii="仿宋" w:hAnsi="仿宋" w:eastAsia="仿宋"/>
          <w:b/>
          <w:color w:val="000000"/>
          <w:sz w:val="32"/>
          <w:szCs w:val="32"/>
        </w:rPr>
        <w:t>1.因公出国（境）经费：</w:t>
      </w:r>
      <w:r>
        <w:rPr>
          <w:rFonts w:hint="eastAsia" w:ascii="仿宋" w:hAnsi="仿宋" w:eastAsia="仿宋"/>
          <w:bCs/>
          <w:color w:val="000000"/>
          <w:sz w:val="32"/>
          <w:szCs w:val="32"/>
        </w:rPr>
        <w:t>支出为0万元，全年未有因公出境人员。</w:t>
      </w:r>
    </w:p>
    <w:p w14:paraId="34E86851">
      <w:pPr>
        <w:spacing w:line="600" w:lineRule="exact"/>
        <w:ind w:firstLine="640" w:firstLineChars="200"/>
        <w:rPr>
          <w:rFonts w:ascii="仿宋" w:hAnsi="仿宋" w:eastAsia="仿宋"/>
          <w:bCs/>
          <w:color w:val="000000"/>
          <w:sz w:val="32"/>
          <w:szCs w:val="32"/>
        </w:rPr>
      </w:pPr>
      <w:r>
        <w:rPr>
          <w:rFonts w:hint="eastAsia" w:ascii="仿宋" w:hAnsi="仿宋" w:eastAsia="仿宋"/>
          <w:bCs/>
          <w:color w:val="000000"/>
          <w:sz w:val="32"/>
          <w:szCs w:val="32"/>
        </w:rPr>
        <w:t>因公出境支出与2019年比无变化。</w:t>
      </w:r>
    </w:p>
    <w:p w14:paraId="42EB9061">
      <w:pPr>
        <w:spacing w:line="600" w:lineRule="exact"/>
        <w:ind w:firstLine="630" w:firstLineChars="196"/>
        <w:rPr>
          <w:rFonts w:ascii="仿宋" w:hAnsi="仿宋" w:eastAsia="仿宋"/>
          <w:bCs/>
          <w:color w:val="000000"/>
          <w:sz w:val="32"/>
          <w:szCs w:val="32"/>
        </w:rPr>
      </w:pPr>
      <w:r>
        <w:rPr>
          <w:rFonts w:hint="eastAsia" w:ascii="仿宋" w:hAnsi="仿宋" w:eastAsia="仿宋"/>
          <w:b/>
          <w:color w:val="000000"/>
          <w:sz w:val="32"/>
          <w:szCs w:val="32"/>
        </w:rPr>
        <w:t>2.公务用车购置及运行维护费支出</w:t>
      </w:r>
      <w:r>
        <w:rPr>
          <w:rFonts w:hint="eastAsia" w:ascii="仿宋" w:hAnsi="仿宋" w:eastAsia="仿宋"/>
          <w:bCs/>
          <w:color w:val="000000"/>
          <w:sz w:val="32"/>
          <w:szCs w:val="32"/>
        </w:rPr>
        <w:t>8.93万元、其中：</w:t>
      </w:r>
    </w:p>
    <w:p w14:paraId="38397F2D">
      <w:pPr>
        <w:spacing w:line="600" w:lineRule="exact"/>
        <w:rPr>
          <w:rFonts w:ascii="仿宋" w:hAnsi="仿宋" w:eastAsia="仿宋"/>
          <w:bCs/>
          <w:color w:val="000000"/>
          <w:sz w:val="32"/>
          <w:szCs w:val="32"/>
        </w:rPr>
      </w:pPr>
      <w:r>
        <w:rPr>
          <w:rFonts w:hint="eastAsia" w:ascii="仿宋" w:hAnsi="仿宋" w:eastAsia="仿宋"/>
          <w:b/>
          <w:color w:val="000000"/>
          <w:sz w:val="32"/>
          <w:szCs w:val="32"/>
        </w:rPr>
        <w:t xml:space="preserve">    公务用车购置支出</w:t>
      </w:r>
      <w:r>
        <w:rPr>
          <w:rFonts w:hint="eastAsia" w:ascii="仿宋" w:hAnsi="仿宋" w:eastAsia="仿宋"/>
          <w:bCs/>
          <w:color w:val="000000"/>
          <w:sz w:val="32"/>
          <w:szCs w:val="32"/>
        </w:rPr>
        <w:t>0万元，无新增公务车购置。</w:t>
      </w:r>
    </w:p>
    <w:p w14:paraId="7E1B9CD8">
      <w:pPr>
        <w:spacing w:line="560" w:lineRule="exact"/>
        <w:ind w:firstLine="643" w:firstLineChars="200"/>
        <w:rPr>
          <w:rFonts w:ascii="仿宋" w:hAnsi="仿宋" w:eastAsia="仿宋" w:cs="仿宋_GB2312"/>
          <w:sz w:val="32"/>
          <w:szCs w:val="32"/>
        </w:rPr>
      </w:pPr>
      <w:r>
        <w:rPr>
          <w:rFonts w:hint="eastAsia" w:ascii="仿宋" w:hAnsi="仿宋" w:eastAsia="仿宋"/>
          <w:b/>
          <w:bCs/>
          <w:color w:val="000000"/>
          <w:sz w:val="32"/>
          <w:szCs w:val="32"/>
        </w:rPr>
        <w:t>公务用车运行维护费支出</w:t>
      </w:r>
      <w:r>
        <w:rPr>
          <w:rFonts w:hint="eastAsia" w:ascii="仿宋" w:hAnsi="仿宋" w:eastAsia="仿宋"/>
          <w:color w:val="000000"/>
          <w:sz w:val="32"/>
          <w:szCs w:val="32"/>
        </w:rPr>
        <w:t>8.93万元,</w:t>
      </w:r>
      <w:r>
        <w:rPr>
          <w:rStyle w:val="15"/>
          <w:rFonts w:hint="eastAsia" w:ascii="仿宋" w:hAnsi="仿宋" w:eastAsia="仿宋"/>
          <w:b w:val="0"/>
          <w:color w:val="000000"/>
          <w:sz w:val="32"/>
          <w:szCs w:val="32"/>
        </w:rPr>
        <w:t xml:space="preserve"> 完成预算77.65</w:t>
      </w:r>
      <w:r>
        <w:rPr>
          <w:rStyle w:val="15"/>
          <w:rFonts w:ascii="仿宋" w:hAnsi="仿宋" w:eastAsia="仿宋"/>
          <w:b w:val="0"/>
          <w:color w:val="000000"/>
          <w:sz w:val="32"/>
          <w:szCs w:val="32"/>
        </w:rPr>
        <w:t xml:space="preserve"> %</w:t>
      </w:r>
      <w:r>
        <w:rPr>
          <w:rStyle w:val="15"/>
          <w:rFonts w:hint="eastAsia" w:ascii="仿宋" w:hAnsi="仿宋" w:eastAsia="仿宋"/>
          <w:b w:val="0"/>
          <w:color w:val="000000"/>
          <w:sz w:val="32"/>
          <w:szCs w:val="32"/>
        </w:rPr>
        <w:t>。</w:t>
      </w:r>
      <w:r>
        <w:rPr>
          <w:rStyle w:val="15"/>
          <w:rFonts w:hint="eastAsia" w:ascii="仿宋" w:hAnsi="仿宋" w:eastAsia="仿宋"/>
          <w:b w:val="0"/>
          <w:sz w:val="32"/>
          <w:szCs w:val="32"/>
        </w:rPr>
        <w:t>公务用车购置及运行维护费支出决算比</w:t>
      </w:r>
      <w:r>
        <w:rPr>
          <w:rStyle w:val="15"/>
          <w:rFonts w:ascii="仿宋" w:hAnsi="仿宋" w:eastAsia="仿宋"/>
          <w:b w:val="0"/>
          <w:sz w:val="32"/>
          <w:szCs w:val="32"/>
        </w:rPr>
        <w:t>201</w:t>
      </w:r>
      <w:r>
        <w:rPr>
          <w:rStyle w:val="15"/>
          <w:rFonts w:hint="eastAsia" w:ascii="仿宋" w:hAnsi="仿宋" w:eastAsia="仿宋"/>
          <w:b w:val="0"/>
          <w:sz w:val="32"/>
          <w:szCs w:val="32"/>
        </w:rPr>
        <w:t>9年</w:t>
      </w:r>
      <w:r>
        <w:rPr>
          <w:rFonts w:hint="eastAsia" w:ascii="仿宋" w:hAnsi="仿宋" w:eastAsia="仿宋" w:cs="仿宋_GB2312"/>
          <w:sz w:val="32"/>
          <w:szCs w:val="32"/>
        </w:rPr>
        <w:t>增加1.14万元，增加14.63%，主要原因是2020年疫情防控、脱贫</w:t>
      </w:r>
      <w:bookmarkStart w:id="19" w:name="_GoBack"/>
      <w:bookmarkEnd w:id="19"/>
      <w:r>
        <w:rPr>
          <w:rFonts w:hint="eastAsia" w:ascii="仿宋" w:hAnsi="仿宋" w:eastAsia="仿宋" w:cs="仿宋_GB2312"/>
          <w:sz w:val="32"/>
          <w:szCs w:val="32"/>
        </w:rPr>
        <w:t>攻坚、</w:t>
      </w:r>
      <w:r>
        <w:rPr>
          <w:rFonts w:hint="eastAsia" w:ascii="仿宋" w:hAnsi="仿宋" w:eastAsia="仿宋" w:cs="仿宋_GB2312"/>
          <w:sz w:val="32"/>
          <w:szCs w:val="32"/>
          <w:lang w:eastAsia="zh-CN"/>
        </w:rPr>
        <w:t>环保督察</w:t>
      </w:r>
      <w:r>
        <w:rPr>
          <w:rFonts w:hint="eastAsia" w:ascii="仿宋" w:hAnsi="仿宋" w:eastAsia="仿宋" w:cs="仿宋_GB2312"/>
          <w:sz w:val="32"/>
          <w:szCs w:val="32"/>
        </w:rPr>
        <w:t>任务重公务车使用增加相关费用增加。</w:t>
      </w:r>
    </w:p>
    <w:p w14:paraId="026D86D6">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截至2020年12月底，单位共有公务用车4辆，其中：轿车1辆、越野车1辆，农技宣传服务用车2辆。</w:t>
      </w:r>
    </w:p>
    <w:p w14:paraId="4FF7EF80">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2020年车辆运行维护费支出8.93万元，用于疫情防控、外出参加调研，扶贫攻坚，到市县开会学习、汇报工作等工作所需的公务用车燃料费、维修费、过路过桥费、保险费支出。</w:t>
      </w:r>
    </w:p>
    <w:p w14:paraId="5CE70223">
      <w:pPr>
        <w:spacing w:line="600" w:lineRule="exact"/>
        <w:ind w:firstLine="640"/>
        <w:rPr>
          <w:rFonts w:ascii="仿宋" w:hAnsi="仿宋" w:eastAsia="仿宋" w:cs="仿宋_GB2312"/>
          <w:sz w:val="32"/>
          <w:szCs w:val="32"/>
        </w:rPr>
      </w:pPr>
      <w:r>
        <w:rPr>
          <w:rFonts w:hint="eastAsia" w:ascii="仿宋" w:hAnsi="仿宋" w:eastAsia="仿宋"/>
          <w:b/>
          <w:color w:val="000000"/>
          <w:sz w:val="32"/>
          <w:szCs w:val="32"/>
        </w:rPr>
        <w:t>3.公务接待费支出</w:t>
      </w:r>
      <w:r>
        <w:rPr>
          <w:rFonts w:hint="eastAsia" w:ascii="仿宋" w:hAnsi="仿宋" w:eastAsia="仿宋"/>
          <w:color w:val="000000"/>
          <w:sz w:val="32"/>
          <w:szCs w:val="32"/>
        </w:rPr>
        <w:t>0</w:t>
      </w:r>
      <w:r>
        <w:rPr>
          <w:rFonts w:hint="eastAsia" w:ascii="仿宋" w:hAnsi="仿宋" w:eastAsia="仿宋"/>
          <w:bCs/>
          <w:color w:val="000000"/>
          <w:sz w:val="32"/>
          <w:szCs w:val="32"/>
        </w:rPr>
        <w:t>.53万元。</w:t>
      </w:r>
      <w:r>
        <w:rPr>
          <w:rStyle w:val="15"/>
          <w:rFonts w:hint="eastAsia" w:ascii="仿宋" w:hAnsi="仿宋" w:eastAsia="仿宋"/>
          <w:b w:val="0"/>
          <w:color w:val="000000"/>
          <w:sz w:val="32"/>
          <w:szCs w:val="32"/>
        </w:rPr>
        <w:t>完成预算5.58</w:t>
      </w:r>
      <w:r>
        <w:rPr>
          <w:rStyle w:val="15"/>
          <w:rFonts w:ascii="仿宋" w:hAnsi="仿宋" w:eastAsia="仿宋"/>
          <w:b w:val="0"/>
          <w:color w:val="000000"/>
          <w:sz w:val="32"/>
          <w:szCs w:val="32"/>
        </w:rPr>
        <w:t>%</w:t>
      </w:r>
      <w:r>
        <w:rPr>
          <w:rStyle w:val="15"/>
          <w:rFonts w:hint="eastAsia" w:ascii="仿宋" w:hAnsi="仿宋" w:eastAsia="仿宋"/>
          <w:b w:val="0"/>
          <w:color w:val="000000"/>
          <w:sz w:val="32"/>
          <w:szCs w:val="32"/>
        </w:rPr>
        <w:t>。</w:t>
      </w:r>
      <w:r>
        <w:rPr>
          <w:rStyle w:val="15"/>
          <w:rFonts w:hint="eastAsia" w:ascii="仿宋" w:hAnsi="仿宋" w:eastAsia="仿宋"/>
          <w:b w:val="0"/>
          <w:sz w:val="32"/>
          <w:szCs w:val="32"/>
        </w:rPr>
        <w:t>公务接待费支出决算比</w:t>
      </w:r>
      <w:r>
        <w:rPr>
          <w:rStyle w:val="15"/>
          <w:rFonts w:ascii="仿宋" w:hAnsi="仿宋" w:eastAsia="仿宋"/>
          <w:b w:val="0"/>
          <w:sz w:val="32"/>
          <w:szCs w:val="32"/>
        </w:rPr>
        <w:t>201</w:t>
      </w:r>
      <w:r>
        <w:rPr>
          <w:rStyle w:val="15"/>
          <w:rFonts w:hint="eastAsia" w:ascii="仿宋" w:hAnsi="仿宋" w:eastAsia="仿宋"/>
          <w:b w:val="0"/>
          <w:sz w:val="32"/>
          <w:szCs w:val="32"/>
        </w:rPr>
        <w:t>9年</w:t>
      </w:r>
      <w:r>
        <w:rPr>
          <w:rFonts w:hint="eastAsia" w:ascii="仿宋" w:hAnsi="仿宋" w:eastAsia="仿宋" w:cs="仿宋_GB2312"/>
          <w:sz w:val="32"/>
          <w:szCs w:val="32"/>
        </w:rPr>
        <w:t>下降0.61万元，减少53.51%，主要原因是2020年压减公用经费支出压减接待费。</w:t>
      </w:r>
    </w:p>
    <w:p w14:paraId="209AB03A">
      <w:pPr>
        <w:spacing w:line="600" w:lineRule="exact"/>
        <w:ind w:firstLine="640"/>
        <w:rPr>
          <w:rFonts w:ascii="仿宋" w:hAnsi="仿宋" w:eastAsia="仿宋"/>
          <w:color w:val="000000"/>
          <w:sz w:val="32"/>
          <w:szCs w:val="32"/>
        </w:rPr>
      </w:pPr>
      <w:r>
        <w:rPr>
          <w:rFonts w:hint="eastAsia" w:ascii="仿宋" w:hAnsi="仿宋" w:eastAsia="仿宋" w:cs="仿宋_GB2312"/>
          <w:sz w:val="32"/>
          <w:szCs w:val="32"/>
        </w:rPr>
        <w:t>公务接待费</w:t>
      </w:r>
      <w:r>
        <w:rPr>
          <w:rFonts w:hint="eastAsia" w:ascii="仿宋" w:hAnsi="仿宋" w:eastAsia="仿宋"/>
          <w:color w:val="000000"/>
          <w:sz w:val="32"/>
          <w:szCs w:val="32"/>
        </w:rPr>
        <w:t xml:space="preserve">主要用于执行公务、开展业务活动开支的交通费、住宿费、用餐费等。国内公务接待3批次，90人次，共计支出0.53万元，具体内容包括：省市县等上级机关部门对我镇考核，调研、检查，指导工作，其他单位及部门经验交流，座谈，规划设计单位对我镇扶贫、环保等项目规划设计人员接待等。 </w:t>
      </w:r>
    </w:p>
    <w:p w14:paraId="6C1048C1">
      <w:pPr>
        <w:spacing w:line="600" w:lineRule="exact"/>
        <w:ind w:firstLine="643" w:firstLineChars="200"/>
        <w:rPr>
          <w:rFonts w:ascii="仿宋" w:hAnsi="仿宋" w:eastAsia="仿宋"/>
          <w:color w:val="000000"/>
          <w:sz w:val="32"/>
          <w:szCs w:val="32"/>
        </w:rPr>
      </w:pPr>
      <w:r>
        <w:rPr>
          <w:rFonts w:hint="eastAsia" w:ascii="仿宋" w:hAnsi="仿宋" w:eastAsia="仿宋"/>
          <w:b/>
          <w:bCs/>
          <w:color w:val="000000"/>
          <w:sz w:val="32"/>
          <w:szCs w:val="32"/>
        </w:rPr>
        <w:t>外事接待支出</w:t>
      </w:r>
      <w:r>
        <w:rPr>
          <w:rFonts w:hint="eastAsia" w:ascii="仿宋" w:hAnsi="仿宋" w:eastAsia="仿宋"/>
          <w:color w:val="000000"/>
          <w:sz w:val="32"/>
          <w:szCs w:val="32"/>
        </w:rPr>
        <w:t>0万元，全年无外事接待。</w:t>
      </w:r>
    </w:p>
    <w:p w14:paraId="1C33979A">
      <w:pPr>
        <w:spacing w:line="600" w:lineRule="exact"/>
        <w:ind w:firstLine="643" w:firstLineChars="200"/>
        <w:rPr>
          <w:rFonts w:ascii="仿宋" w:hAnsi="仿宋" w:eastAsia="仿宋"/>
          <w:color w:val="000000"/>
          <w:sz w:val="32"/>
          <w:szCs w:val="32"/>
        </w:rPr>
      </w:pPr>
      <w:r>
        <w:rPr>
          <w:rFonts w:hint="eastAsia" w:ascii="仿宋" w:hAnsi="仿宋" w:eastAsia="仿宋"/>
          <w:b/>
          <w:bCs/>
          <w:color w:val="000000"/>
          <w:sz w:val="32"/>
          <w:szCs w:val="32"/>
        </w:rPr>
        <w:t>其他国内公务接待</w:t>
      </w:r>
      <w:r>
        <w:rPr>
          <w:rFonts w:hint="eastAsia" w:ascii="仿宋" w:hAnsi="仿宋" w:eastAsia="仿宋"/>
          <w:color w:val="000000"/>
          <w:sz w:val="32"/>
          <w:szCs w:val="32"/>
        </w:rPr>
        <w:t>支出0万元，全年无其他国内公务接待。</w:t>
      </w:r>
    </w:p>
    <w:p w14:paraId="3D7D26CE">
      <w:pPr>
        <w:spacing w:line="600" w:lineRule="exact"/>
        <w:ind w:firstLine="640"/>
        <w:rPr>
          <w:rFonts w:ascii="黑体" w:hAnsi="黑体" w:eastAsia="黑体"/>
          <w:b/>
          <w:color w:val="000000"/>
          <w:sz w:val="32"/>
          <w:szCs w:val="32"/>
        </w:rPr>
      </w:pPr>
      <w:r>
        <w:rPr>
          <w:rFonts w:hint="eastAsia" w:ascii="黑体" w:hAnsi="黑体" w:eastAsia="黑体"/>
          <w:b/>
          <w:color w:val="000000"/>
          <w:sz w:val="32"/>
          <w:szCs w:val="32"/>
        </w:rPr>
        <w:t>八、政府性基金预算财政拨款支出决算情况</w:t>
      </w:r>
    </w:p>
    <w:p w14:paraId="514AB9DF">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2020年使用政府性基金预算财政拨款支出0万元。</w:t>
      </w:r>
    </w:p>
    <w:p w14:paraId="2B793CE1">
      <w:pPr>
        <w:numPr>
          <w:ilvl w:val="0"/>
          <w:numId w:val="5"/>
        </w:numPr>
        <w:spacing w:line="600" w:lineRule="exact"/>
        <w:ind w:firstLine="640"/>
        <w:rPr>
          <w:rFonts w:ascii="黑体" w:hAnsi="黑体" w:eastAsia="黑体"/>
          <w:b/>
          <w:bCs/>
          <w:color w:val="000000"/>
          <w:sz w:val="32"/>
          <w:szCs w:val="32"/>
        </w:rPr>
      </w:pPr>
      <w:r>
        <w:rPr>
          <w:rFonts w:hint="eastAsia" w:ascii="黑体" w:hAnsi="黑体" w:eastAsia="黑体"/>
          <w:b/>
          <w:bCs/>
          <w:color w:val="000000"/>
          <w:sz w:val="32"/>
          <w:szCs w:val="32"/>
        </w:rPr>
        <w:t>国有资本经营预算支出决算情况说明</w:t>
      </w:r>
    </w:p>
    <w:p w14:paraId="5A75E3C5">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2020年度国有资本经营预算拨款支出0万元。</w:t>
      </w:r>
    </w:p>
    <w:p w14:paraId="5D7817B4">
      <w:pPr>
        <w:spacing w:line="600" w:lineRule="exact"/>
        <w:ind w:firstLine="630" w:firstLineChars="196"/>
        <w:rPr>
          <w:rFonts w:ascii="黑体" w:hAnsi="黑体" w:eastAsia="黑体"/>
          <w:color w:val="000000"/>
          <w:sz w:val="32"/>
          <w:szCs w:val="32"/>
        </w:rPr>
      </w:pPr>
      <w:r>
        <w:rPr>
          <w:rFonts w:hint="eastAsia" w:ascii="黑体" w:hAnsi="黑体" w:eastAsia="黑体"/>
          <w:b/>
          <w:bCs/>
          <w:color w:val="000000"/>
          <w:sz w:val="32"/>
          <w:szCs w:val="32"/>
        </w:rPr>
        <w:t>十</w:t>
      </w:r>
      <w:r>
        <w:rPr>
          <w:rFonts w:hint="eastAsia" w:ascii="黑体" w:hAnsi="黑体" w:eastAsia="黑体"/>
          <w:color w:val="000000"/>
          <w:sz w:val="32"/>
          <w:szCs w:val="32"/>
        </w:rPr>
        <w:t>、其他重要事项的情况说明</w:t>
      </w:r>
    </w:p>
    <w:p w14:paraId="09CCFB22">
      <w:pPr>
        <w:spacing w:line="600" w:lineRule="exact"/>
        <w:ind w:firstLine="643" w:firstLineChars="200"/>
        <w:rPr>
          <w:rFonts w:ascii="仿宋" w:hAnsi="仿宋" w:eastAsia="仿宋"/>
          <w:color w:val="000000"/>
          <w:sz w:val="32"/>
          <w:szCs w:val="32"/>
        </w:rPr>
      </w:pPr>
      <w:r>
        <w:rPr>
          <w:rFonts w:hint="eastAsia" w:ascii="仿宋" w:hAnsi="仿宋" w:eastAsia="仿宋"/>
          <w:b/>
          <w:color w:val="000000"/>
          <w:sz w:val="32"/>
          <w:szCs w:val="32"/>
        </w:rPr>
        <w:t>（一）机关运行经费支出情况</w:t>
      </w:r>
    </w:p>
    <w:p w14:paraId="3C723A48">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2020年度镇阳镇机关运行经费支出129.64万元，比2019年增加34.49万元，增加36.24%，主要原因2020年疫情防控、脱贫攻坚、环保工作任务重相应经费支出增加。</w:t>
      </w:r>
    </w:p>
    <w:p w14:paraId="44E8FBB5">
      <w:pPr>
        <w:autoSpaceDE w:val="0"/>
        <w:autoSpaceDN w:val="0"/>
        <w:adjustRightInd w:val="0"/>
        <w:spacing w:line="600" w:lineRule="exact"/>
        <w:ind w:firstLine="643" w:firstLineChars="200"/>
        <w:jc w:val="left"/>
        <w:rPr>
          <w:rFonts w:ascii="仿宋" w:hAnsi="仿宋" w:eastAsia="仿宋"/>
          <w:b/>
          <w:color w:val="000000"/>
          <w:sz w:val="32"/>
          <w:szCs w:val="32"/>
        </w:rPr>
      </w:pPr>
      <w:r>
        <w:rPr>
          <w:rFonts w:hint="eastAsia" w:ascii="仿宋" w:hAnsi="仿宋" w:eastAsia="仿宋"/>
          <w:b/>
          <w:color w:val="000000"/>
          <w:sz w:val="32"/>
          <w:szCs w:val="32"/>
        </w:rPr>
        <w:t>（二）政府采购支出情况</w:t>
      </w:r>
    </w:p>
    <w:p w14:paraId="0C6E6A1E">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2020年度，镇阳镇政府无政府采购支出。</w:t>
      </w:r>
    </w:p>
    <w:p w14:paraId="71C6CC00">
      <w:pPr>
        <w:spacing w:line="600" w:lineRule="exact"/>
        <w:ind w:firstLine="643" w:firstLineChars="200"/>
        <w:rPr>
          <w:rFonts w:ascii="仿宋" w:hAnsi="仿宋" w:eastAsia="仿宋"/>
          <w:color w:val="000000"/>
          <w:sz w:val="32"/>
          <w:szCs w:val="32"/>
        </w:rPr>
      </w:pPr>
      <w:r>
        <w:rPr>
          <w:rFonts w:hint="eastAsia" w:ascii="仿宋" w:hAnsi="仿宋" w:eastAsia="仿宋"/>
          <w:b/>
          <w:color w:val="000000"/>
          <w:sz w:val="32"/>
          <w:szCs w:val="32"/>
        </w:rPr>
        <w:t>（三）国有资产占有使用情况</w:t>
      </w:r>
    </w:p>
    <w:p w14:paraId="65FEFACC">
      <w:pPr>
        <w:autoSpaceDE w:val="0"/>
        <w:autoSpaceDN w:val="0"/>
        <w:adjustRightInd w:val="0"/>
        <w:spacing w:line="60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截至2020年12月31日，镇阳镇公有车辆4辆，其中：一般公务用车2辆，农业服务公务用车2辆，无单价50万元以上通用设备，无单价100万元以上专用设备，无价值200万以上大型设备。</w:t>
      </w:r>
    </w:p>
    <w:p w14:paraId="0A71708C">
      <w:pPr>
        <w:spacing w:line="600" w:lineRule="exact"/>
        <w:ind w:firstLine="472" w:firstLineChars="147"/>
        <w:rPr>
          <w:rFonts w:ascii="黑体" w:hAnsi="黑体" w:eastAsia="黑体"/>
          <w:bCs/>
          <w:color w:val="000000"/>
          <w:sz w:val="32"/>
          <w:szCs w:val="32"/>
        </w:rPr>
      </w:pPr>
      <w:r>
        <w:rPr>
          <w:rFonts w:hint="eastAsia" w:ascii="仿宋" w:hAnsi="仿宋" w:eastAsia="仿宋"/>
          <w:b/>
          <w:color w:val="000000"/>
          <w:sz w:val="32"/>
          <w:szCs w:val="32"/>
        </w:rPr>
        <w:t>（四）</w:t>
      </w:r>
      <w:r>
        <w:rPr>
          <w:rFonts w:hint="eastAsia" w:ascii="黑体" w:hAnsi="黑体" w:eastAsia="黑体"/>
          <w:bCs/>
          <w:color w:val="000000"/>
          <w:sz w:val="32"/>
          <w:szCs w:val="32"/>
        </w:rPr>
        <w:t>、预算绩效管理情况</w:t>
      </w:r>
    </w:p>
    <w:p w14:paraId="33E34DCA">
      <w:pPr>
        <w:pStyle w:val="33"/>
        <w:spacing w:line="600" w:lineRule="exact"/>
        <w:ind w:left="420" w:firstLine="320" w:firstLineChars="100"/>
        <w:rPr>
          <w:rFonts w:ascii="仿宋" w:hAnsi="仿宋" w:eastAsia="仿宋"/>
          <w:b/>
          <w:bCs/>
          <w:color w:val="000000"/>
          <w:sz w:val="32"/>
          <w:szCs w:val="32"/>
          <w:lang w:val="zh-CN"/>
        </w:rPr>
      </w:pPr>
      <w:r>
        <w:rPr>
          <w:rFonts w:hint="eastAsia" w:ascii="仿宋" w:hAnsi="仿宋" w:eastAsia="仿宋"/>
          <w:color w:val="000000"/>
          <w:sz w:val="32"/>
          <w:szCs w:val="32"/>
        </w:rPr>
        <w:t>1、</w:t>
      </w:r>
      <w:r>
        <w:rPr>
          <w:rFonts w:hint="eastAsia" w:ascii="仿宋" w:hAnsi="仿宋" w:eastAsia="仿宋"/>
          <w:b/>
          <w:bCs/>
          <w:color w:val="000000"/>
          <w:sz w:val="32"/>
          <w:szCs w:val="32"/>
          <w:lang w:val="zh-CN"/>
        </w:rPr>
        <w:t>预算绩效管理工作开展情况。</w:t>
      </w:r>
    </w:p>
    <w:p w14:paraId="73D258AB">
      <w:pPr>
        <w:autoSpaceDE w:val="0"/>
        <w:autoSpaceDN w:val="0"/>
        <w:adjustRightInd w:val="0"/>
        <w:spacing w:line="60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lang w:val="zh-CN"/>
        </w:rPr>
        <w:t>根据预算绩效管理要求，本单位在年初预算编制阶段，没有组织对项目开展预算事前绩效评估和编制绩效目标，预算执行过程中，也没有选取项目开展绩效监控，</w:t>
      </w:r>
      <w:r>
        <w:rPr>
          <w:rFonts w:hint="eastAsia" w:ascii="仿宋" w:hAnsi="仿宋" w:eastAsia="仿宋"/>
          <w:color w:val="000000"/>
          <w:sz w:val="32"/>
          <w:szCs w:val="32"/>
        </w:rPr>
        <w:t>年终执行完毕后，对1个项目开展了绩效目标完成情况自评。</w:t>
      </w:r>
    </w:p>
    <w:p w14:paraId="4A0D6ACA">
      <w:pPr>
        <w:spacing w:line="600" w:lineRule="exact"/>
        <w:ind w:firstLine="640" w:firstLineChars="200"/>
        <w:rPr>
          <w:rFonts w:ascii="仿宋" w:hAnsi="仿宋" w:eastAsia="仿宋"/>
          <w:color w:val="000000"/>
          <w:sz w:val="32"/>
          <w:szCs w:val="32"/>
          <w:lang w:val="zh-CN"/>
        </w:rPr>
      </w:pPr>
      <w:r>
        <w:rPr>
          <w:rFonts w:hint="eastAsia" w:ascii="仿宋" w:hAnsi="仿宋" w:eastAsia="仿宋"/>
          <w:color w:val="000000"/>
          <w:sz w:val="32"/>
          <w:szCs w:val="32"/>
          <w:lang w:val="zh-CN"/>
        </w:rPr>
        <w:t>本部门按要求对2020年部门整体支出开展绩效自评，从评价情况来看我镇在2020年部门预算收支的各项经费使用过程中，严格按照部门预算要求进行实施，总体情况较好。</w:t>
      </w:r>
    </w:p>
    <w:p w14:paraId="57BC12FD">
      <w:pPr>
        <w:pStyle w:val="33"/>
        <w:spacing w:line="600" w:lineRule="exact"/>
        <w:ind w:left="420" w:firstLine="321" w:firstLineChars="100"/>
        <w:jc w:val="left"/>
        <w:rPr>
          <w:rFonts w:ascii="仿宋" w:hAnsi="仿宋" w:eastAsia="仿宋"/>
          <w:color w:val="000000"/>
          <w:sz w:val="32"/>
          <w:szCs w:val="32"/>
          <w:lang w:val="zh-CN"/>
        </w:rPr>
      </w:pPr>
      <w:r>
        <w:rPr>
          <w:rFonts w:hint="eastAsia" w:ascii="仿宋" w:hAnsi="仿宋" w:eastAsia="仿宋"/>
          <w:b/>
          <w:bCs/>
          <w:color w:val="000000"/>
          <w:sz w:val="32"/>
          <w:szCs w:val="32"/>
        </w:rPr>
        <w:t>2、</w:t>
      </w:r>
      <w:r>
        <w:rPr>
          <w:rFonts w:hint="eastAsia" w:ascii="仿宋" w:hAnsi="仿宋" w:eastAsia="仿宋"/>
          <w:b/>
          <w:bCs/>
          <w:color w:val="000000"/>
          <w:sz w:val="32"/>
          <w:szCs w:val="32"/>
          <w:lang w:val="zh-CN"/>
        </w:rPr>
        <w:t>项目绩效目标完成情况。</w:t>
      </w:r>
    </w:p>
    <w:p w14:paraId="32DD2DB4">
      <w:pPr>
        <w:pStyle w:val="33"/>
        <w:tabs>
          <w:tab w:val="left" w:pos="5385"/>
        </w:tabs>
        <w:spacing w:line="600" w:lineRule="exact"/>
        <w:ind w:firstLine="643"/>
        <w:jc w:val="left"/>
        <w:rPr>
          <w:rFonts w:ascii="仿宋" w:hAnsi="仿宋" w:eastAsia="仿宋"/>
          <w:b/>
          <w:bCs/>
          <w:color w:val="000000"/>
          <w:sz w:val="32"/>
          <w:szCs w:val="32"/>
          <w:lang w:val="zh-CN"/>
        </w:rPr>
      </w:pPr>
      <w:r>
        <w:rPr>
          <w:rFonts w:hint="eastAsia" w:ascii="仿宋" w:hAnsi="仿宋" w:eastAsia="仿宋"/>
          <w:b/>
          <w:bCs/>
          <w:color w:val="000000"/>
          <w:sz w:val="32"/>
          <w:szCs w:val="32"/>
          <w:lang w:val="zh-CN"/>
        </w:rPr>
        <w:t>（</w:t>
      </w:r>
      <w:r>
        <w:rPr>
          <w:rFonts w:hint="eastAsia" w:ascii="仿宋" w:hAnsi="仿宋" w:eastAsia="仿宋"/>
          <w:b/>
          <w:bCs/>
          <w:color w:val="000000"/>
          <w:sz w:val="32"/>
          <w:szCs w:val="32"/>
        </w:rPr>
        <w:t>1</w:t>
      </w:r>
      <w:r>
        <w:rPr>
          <w:rFonts w:hint="eastAsia" w:ascii="仿宋" w:hAnsi="仿宋" w:eastAsia="仿宋"/>
          <w:b/>
          <w:bCs/>
          <w:color w:val="000000"/>
          <w:sz w:val="32"/>
          <w:szCs w:val="32"/>
          <w:lang w:val="zh-CN"/>
        </w:rPr>
        <w:t>）、项目概况</w:t>
      </w:r>
    </w:p>
    <w:p w14:paraId="197E3D07">
      <w:pPr>
        <w:pStyle w:val="33"/>
        <w:tabs>
          <w:tab w:val="left" w:pos="5385"/>
        </w:tabs>
        <w:spacing w:line="600" w:lineRule="exact"/>
        <w:ind w:firstLine="643"/>
        <w:jc w:val="left"/>
        <w:rPr>
          <w:rFonts w:ascii="仿宋" w:hAnsi="仿宋" w:eastAsia="仿宋"/>
          <w:color w:val="000000"/>
          <w:sz w:val="32"/>
          <w:szCs w:val="32"/>
          <w:lang w:val="zh-CN"/>
        </w:rPr>
      </w:pPr>
      <w:r>
        <w:rPr>
          <w:rFonts w:ascii="Calibri" w:hAnsi="Calibri" w:eastAsia="仿宋" w:cs="Calibri"/>
          <w:b/>
          <w:bCs/>
          <w:color w:val="000000"/>
          <w:sz w:val="32"/>
          <w:szCs w:val="32"/>
          <w:lang w:val="zh-CN"/>
        </w:rPr>
        <w:t>①</w:t>
      </w:r>
      <w:r>
        <w:rPr>
          <w:rFonts w:hint="eastAsia" w:ascii="仿宋" w:hAnsi="仿宋" w:eastAsia="仿宋"/>
          <w:b/>
          <w:bCs/>
          <w:color w:val="000000"/>
          <w:sz w:val="32"/>
          <w:szCs w:val="32"/>
          <w:lang w:val="zh-CN"/>
        </w:rPr>
        <w:t>、项目资金申报及批复情况。</w:t>
      </w:r>
    </w:p>
    <w:p w14:paraId="2C5808BE">
      <w:pPr>
        <w:pStyle w:val="33"/>
        <w:tabs>
          <w:tab w:val="left" w:pos="5385"/>
        </w:tabs>
        <w:spacing w:line="600" w:lineRule="exact"/>
        <w:ind w:firstLine="640"/>
        <w:rPr>
          <w:rFonts w:ascii="仿宋" w:hAnsi="仿宋" w:eastAsia="仿宋"/>
          <w:color w:val="000000"/>
          <w:sz w:val="32"/>
          <w:szCs w:val="32"/>
          <w:lang w:val="zh-CN"/>
        </w:rPr>
      </w:pPr>
      <w:r>
        <w:rPr>
          <w:rFonts w:hint="eastAsia" w:ascii="仿宋" w:hAnsi="仿宋" w:eastAsia="仿宋"/>
          <w:color w:val="000000"/>
          <w:sz w:val="32"/>
          <w:szCs w:val="32"/>
          <w:lang w:val="zh-CN"/>
        </w:rPr>
        <w:t>“镇阳镇2020年农村公共服务运行维护经费项目”是2019年按照预算申报管理要求进行申报，2020年度镇阳镇人民政府预算批复项目，资金按照预算资金管理办法严格进行管理。</w:t>
      </w:r>
    </w:p>
    <w:p w14:paraId="285F6E23">
      <w:pPr>
        <w:pStyle w:val="33"/>
        <w:tabs>
          <w:tab w:val="left" w:pos="5385"/>
        </w:tabs>
        <w:spacing w:line="600" w:lineRule="exact"/>
        <w:ind w:firstLine="643"/>
        <w:rPr>
          <w:rFonts w:ascii="仿宋" w:hAnsi="仿宋" w:eastAsia="仿宋"/>
          <w:color w:val="000000"/>
          <w:sz w:val="32"/>
          <w:szCs w:val="32"/>
          <w:lang w:val="zh-CN"/>
        </w:rPr>
      </w:pPr>
      <w:r>
        <w:rPr>
          <w:rFonts w:ascii="Calibri" w:hAnsi="Calibri" w:eastAsia="仿宋" w:cs="Calibri"/>
          <w:b/>
          <w:bCs/>
          <w:color w:val="000000"/>
          <w:sz w:val="32"/>
          <w:szCs w:val="32"/>
          <w:lang w:val="zh-CN"/>
        </w:rPr>
        <w:t>②</w:t>
      </w:r>
      <w:r>
        <w:rPr>
          <w:rFonts w:hint="eastAsia" w:ascii="仿宋" w:hAnsi="仿宋" w:eastAsia="仿宋"/>
          <w:b/>
          <w:bCs/>
          <w:color w:val="000000"/>
          <w:sz w:val="32"/>
          <w:szCs w:val="32"/>
          <w:lang w:val="zh-CN"/>
        </w:rPr>
        <w:t>、项目绩效目标。</w:t>
      </w:r>
    </w:p>
    <w:p w14:paraId="7FFFC63B">
      <w:pPr>
        <w:pStyle w:val="33"/>
        <w:tabs>
          <w:tab w:val="left" w:pos="5385"/>
        </w:tabs>
        <w:spacing w:line="600" w:lineRule="exact"/>
        <w:ind w:firstLine="640"/>
        <w:rPr>
          <w:rFonts w:ascii="仿宋" w:hAnsi="仿宋" w:eastAsia="仿宋"/>
          <w:color w:val="000000"/>
          <w:sz w:val="32"/>
          <w:szCs w:val="32"/>
          <w:lang w:val="zh-CN"/>
        </w:rPr>
      </w:pPr>
      <w:r>
        <w:rPr>
          <w:rFonts w:hint="eastAsia" w:ascii="仿宋" w:hAnsi="仿宋" w:eastAsia="仿宋"/>
          <w:color w:val="000000"/>
          <w:sz w:val="32"/>
          <w:szCs w:val="32"/>
          <w:lang w:val="zh-CN"/>
        </w:rPr>
        <w:t>通过改革创新，实现“小改革、大机制，小资金、大舞台”的工作目标，为创新农村社会管理机制体制探索新路径，重点支持农村公共服务项目运行维护，着力解决村内最急需、群众最急盼、受益最直接的突出问题，巩固村级公益事业建设成果，推进城乡一体化建设进程，实现“三个建立”：建立促进村民生产、方便村民生活的公共服务运行维护体系；建立保障有力、满足农村公共服务运行维护需要的公共财政投入保障机制；建立村民民主参与、民主议事、民主决策、民主监督的农村公共服务运行维护管理机制。</w:t>
      </w:r>
    </w:p>
    <w:p w14:paraId="01EC198E">
      <w:pPr>
        <w:pStyle w:val="33"/>
        <w:tabs>
          <w:tab w:val="left" w:pos="5385"/>
        </w:tabs>
        <w:spacing w:line="600" w:lineRule="exact"/>
        <w:ind w:firstLine="640"/>
        <w:rPr>
          <w:rFonts w:ascii="仿宋" w:hAnsi="仿宋" w:eastAsia="仿宋"/>
          <w:color w:val="000000"/>
          <w:sz w:val="32"/>
          <w:szCs w:val="32"/>
          <w:lang w:val="zh-CN"/>
        </w:rPr>
      </w:pPr>
      <w:r>
        <w:rPr>
          <w:rFonts w:hint="eastAsia" w:ascii="仿宋" w:hAnsi="仿宋" w:eastAsia="仿宋"/>
          <w:color w:val="000000"/>
          <w:sz w:val="32"/>
          <w:szCs w:val="32"/>
          <w:lang w:val="zh-CN"/>
        </w:rPr>
        <w:t>“镇阳镇2020年农村公共服务运行维护经费项目”，主要内容是保障全镇5个村级公共设施的正常运行维护，共实施5个村70个项目，保障了所有村级公共设施的正常运行维护。</w:t>
      </w:r>
    </w:p>
    <w:p w14:paraId="5FE7F360">
      <w:pPr>
        <w:pStyle w:val="33"/>
        <w:tabs>
          <w:tab w:val="left" w:pos="5385"/>
        </w:tabs>
        <w:spacing w:line="600" w:lineRule="exact"/>
        <w:ind w:left="420" w:firstLine="321" w:firstLineChars="100"/>
        <w:rPr>
          <w:rFonts w:ascii="仿宋" w:hAnsi="仿宋" w:eastAsia="仿宋"/>
          <w:b/>
          <w:bCs/>
          <w:color w:val="000000"/>
          <w:sz w:val="32"/>
          <w:szCs w:val="32"/>
          <w:lang w:val="zh-CN"/>
        </w:rPr>
      </w:pPr>
      <w:r>
        <w:rPr>
          <w:rFonts w:ascii="Calibri" w:hAnsi="Calibri" w:eastAsia="仿宋" w:cs="Calibri"/>
          <w:b/>
          <w:bCs/>
          <w:color w:val="000000"/>
          <w:sz w:val="32"/>
          <w:szCs w:val="32"/>
          <w:lang w:val="zh-CN"/>
        </w:rPr>
        <w:t>③</w:t>
      </w:r>
      <w:r>
        <w:rPr>
          <w:rFonts w:hint="eastAsia" w:ascii="仿宋" w:hAnsi="仿宋" w:eastAsia="仿宋"/>
          <w:b/>
          <w:bCs/>
          <w:color w:val="000000"/>
          <w:sz w:val="32"/>
          <w:szCs w:val="32"/>
          <w:lang w:val="zh-CN"/>
        </w:rPr>
        <w:t>、项目资金申报相符性。</w:t>
      </w:r>
    </w:p>
    <w:p w14:paraId="2897456D">
      <w:pPr>
        <w:pStyle w:val="33"/>
        <w:tabs>
          <w:tab w:val="left" w:pos="5385"/>
        </w:tabs>
        <w:spacing w:line="600" w:lineRule="exact"/>
        <w:ind w:firstLine="640" w:firstLineChars="200"/>
        <w:rPr>
          <w:rFonts w:ascii="仿宋" w:hAnsi="仿宋" w:eastAsia="仿宋"/>
          <w:color w:val="000000"/>
          <w:sz w:val="32"/>
          <w:szCs w:val="32"/>
          <w:lang w:val="zh-CN"/>
        </w:rPr>
      </w:pPr>
      <w:r>
        <w:rPr>
          <w:rFonts w:hint="eastAsia" w:ascii="仿宋" w:hAnsi="仿宋" w:eastAsia="仿宋"/>
          <w:color w:val="000000"/>
          <w:sz w:val="32"/>
          <w:szCs w:val="32"/>
          <w:lang w:val="zh-CN"/>
        </w:rPr>
        <w:t>“镇阳镇2020年农村公共服务运行维护经费项目”申报的内容与具体实施内容相符，申报目标是保障全镇村级公共设施的正常运转，申报目标合理可行。</w:t>
      </w:r>
    </w:p>
    <w:p w14:paraId="75ECB00E">
      <w:pPr>
        <w:pStyle w:val="33"/>
        <w:tabs>
          <w:tab w:val="left" w:pos="5385"/>
        </w:tabs>
        <w:spacing w:line="600" w:lineRule="exact"/>
        <w:ind w:left="420" w:firstLine="0" w:firstLineChars="0"/>
        <w:rPr>
          <w:rFonts w:ascii="仿宋" w:hAnsi="仿宋" w:eastAsia="仿宋"/>
          <w:b/>
          <w:bCs/>
          <w:color w:val="000000"/>
          <w:sz w:val="32"/>
          <w:szCs w:val="32"/>
          <w:lang w:val="zh-CN"/>
        </w:rPr>
      </w:pPr>
      <w:r>
        <w:rPr>
          <w:rFonts w:hint="eastAsia" w:ascii="仿宋" w:hAnsi="仿宋" w:eastAsia="仿宋"/>
          <w:color w:val="000000"/>
          <w:sz w:val="32"/>
          <w:szCs w:val="32"/>
          <w:lang w:val="zh-CN"/>
        </w:rPr>
        <w:t>（</w:t>
      </w:r>
      <w:r>
        <w:rPr>
          <w:rFonts w:hint="eastAsia" w:ascii="仿宋" w:hAnsi="仿宋" w:eastAsia="仿宋"/>
          <w:b/>
          <w:bCs/>
          <w:color w:val="000000"/>
          <w:sz w:val="32"/>
          <w:szCs w:val="32"/>
        </w:rPr>
        <w:t>2）</w:t>
      </w:r>
      <w:r>
        <w:rPr>
          <w:rFonts w:hint="eastAsia" w:ascii="仿宋" w:hAnsi="仿宋" w:eastAsia="仿宋"/>
          <w:b/>
          <w:bCs/>
          <w:color w:val="000000"/>
          <w:sz w:val="32"/>
          <w:szCs w:val="32"/>
          <w:lang w:val="zh-CN"/>
        </w:rPr>
        <w:t>、项目实施及管理情况</w:t>
      </w:r>
    </w:p>
    <w:p w14:paraId="0BC5DC57">
      <w:pPr>
        <w:pStyle w:val="33"/>
        <w:tabs>
          <w:tab w:val="left" w:pos="5385"/>
        </w:tabs>
        <w:spacing w:line="600" w:lineRule="exact"/>
        <w:ind w:left="0" w:leftChars="0" w:firstLine="643" w:firstLineChars="200"/>
        <w:rPr>
          <w:rFonts w:ascii="仿宋" w:hAnsi="仿宋" w:eastAsia="仿宋"/>
          <w:color w:val="000000"/>
          <w:sz w:val="32"/>
          <w:szCs w:val="32"/>
          <w:lang w:val="zh-CN"/>
        </w:rPr>
      </w:pPr>
      <w:r>
        <w:rPr>
          <w:rFonts w:ascii="Calibri" w:hAnsi="Calibri" w:eastAsia="仿宋" w:cs="Calibri"/>
          <w:b/>
          <w:bCs/>
          <w:color w:val="000000"/>
          <w:sz w:val="32"/>
          <w:szCs w:val="32"/>
          <w:lang w:val="zh-CN"/>
        </w:rPr>
        <w:t>①</w:t>
      </w:r>
      <w:r>
        <w:rPr>
          <w:rFonts w:hint="eastAsia" w:ascii="仿宋" w:hAnsi="仿宋" w:eastAsia="仿宋"/>
          <w:b/>
          <w:bCs/>
          <w:color w:val="000000"/>
          <w:sz w:val="32"/>
          <w:szCs w:val="32"/>
          <w:lang w:val="zh-CN"/>
        </w:rPr>
        <w:t>资金计划、到位及使用情况。</w:t>
      </w:r>
    </w:p>
    <w:p w14:paraId="790B0593">
      <w:pPr>
        <w:pStyle w:val="33"/>
        <w:tabs>
          <w:tab w:val="left" w:pos="5385"/>
        </w:tabs>
        <w:spacing w:line="600" w:lineRule="exact"/>
        <w:ind w:firstLine="640"/>
        <w:rPr>
          <w:rFonts w:ascii="仿宋" w:hAnsi="仿宋" w:eastAsia="仿宋"/>
          <w:color w:val="000000"/>
          <w:sz w:val="32"/>
          <w:szCs w:val="32"/>
          <w:lang w:val="zh-CN"/>
        </w:rPr>
      </w:pPr>
      <w:r>
        <w:rPr>
          <w:rFonts w:hint="eastAsia" w:ascii="仿宋" w:hAnsi="仿宋" w:eastAsia="仿宋"/>
          <w:color w:val="000000"/>
          <w:sz w:val="32"/>
          <w:szCs w:val="32"/>
          <w:lang w:val="zh-CN"/>
        </w:rPr>
        <w:t>“镇阳镇2020年农村公共服务运行维护经费项目”总共投入资金59万元，全部由财政投入，其中：上级财政匹配23.6万元，占总比例40%；县有财政35.4万元，占总比例60%。所有资金已全部拨付到位。截止评价时点“镇阳镇2020年农村公共服务运行维护经费项目”资金支付59万元，占总比例的100%。资金开支范围为全镇村级公共运行项目，支付依据合规合法，资金支付与预算相符。</w:t>
      </w:r>
    </w:p>
    <w:p w14:paraId="64B5BEBB">
      <w:pPr>
        <w:pStyle w:val="33"/>
        <w:tabs>
          <w:tab w:val="left" w:pos="5385"/>
        </w:tabs>
        <w:spacing w:line="600" w:lineRule="exact"/>
        <w:ind w:left="420" w:firstLine="321" w:firstLineChars="100"/>
        <w:rPr>
          <w:rFonts w:ascii="仿宋" w:hAnsi="仿宋" w:eastAsia="仿宋"/>
          <w:b/>
          <w:bCs/>
          <w:color w:val="000000"/>
          <w:sz w:val="32"/>
          <w:szCs w:val="32"/>
          <w:lang w:val="zh-CN"/>
        </w:rPr>
      </w:pPr>
      <w:r>
        <w:rPr>
          <w:rFonts w:ascii="Calibri" w:hAnsi="Calibri" w:eastAsia="仿宋" w:cs="Calibri"/>
          <w:b/>
          <w:bCs/>
          <w:color w:val="000000"/>
          <w:sz w:val="32"/>
          <w:szCs w:val="32"/>
          <w:lang w:val="zh-CN"/>
        </w:rPr>
        <w:t>②</w:t>
      </w:r>
      <w:r>
        <w:rPr>
          <w:rFonts w:hint="eastAsia" w:ascii="仿宋" w:hAnsi="仿宋" w:eastAsia="仿宋"/>
          <w:b/>
          <w:bCs/>
          <w:color w:val="000000"/>
          <w:sz w:val="32"/>
          <w:szCs w:val="32"/>
          <w:lang w:val="zh-CN"/>
        </w:rPr>
        <w:t>、项目财务管理情况。</w:t>
      </w:r>
    </w:p>
    <w:p w14:paraId="61ABF96D">
      <w:pPr>
        <w:pStyle w:val="33"/>
        <w:tabs>
          <w:tab w:val="left" w:pos="5385"/>
        </w:tabs>
        <w:spacing w:line="600" w:lineRule="exact"/>
        <w:ind w:firstLine="640"/>
        <w:rPr>
          <w:rFonts w:ascii="仿宋" w:hAnsi="仿宋" w:eastAsia="仿宋"/>
          <w:color w:val="000000"/>
          <w:sz w:val="32"/>
          <w:szCs w:val="32"/>
          <w:lang w:val="zh-CN"/>
        </w:rPr>
      </w:pPr>
      <w:r>
        <w:rPr>
          <w:rFonts w:hint="eastAsia" w:ascii="仿宋" w:hAnsi="仿宋" w:eastAsia="仿宋"/>
          <w:color w:val="000000"/>
          <w:sz w:val="32"/>
          <w:szCs w:val="32"/>
          <w:lang w:val="zh-CN"/>
        </w:rPr>
        <w:t>“镇阳镇2020年农村公共服务运行维护经费项目”按照《预算法》的资金管理要求，实行的镇级报账制度，所属票据按照村级财务管理要求纳入村级财务管理核算，由代理公司统计记账。该项目严格执行各类财务管理制度，财务处理及时，会计核算规范。</w:t>
      </w:r>
    </w:p>
    <w:p w14:paraId="7089F1CD">
      <w:pPr>
        <w:pStyle w:val="33"/>
        <w:tabs>
          <w:tab w:val="left" w:pos="5385"/>
        </w:tabs>
        <w:spacing w:line="600" w:lineRule="exact"/>
        <w:ind w:left="420" w:firstLine="321" w:firstLineChars="100"/>
        <w:rPr>
          <w:rFonts w:ascii="仿宋" w:hAnsi="仿宋" w:eastAsia="仿宋"/>
          <w:b/>
          <w:bCs/>
          <w:color w:val="000000"/>
          <w:sz w:val="32"/>
          <w:szCs w:val="32"/>
          <w:lang w:val="zh-CN"/>
        </w:rPr>
      </w:pPr>
      <w:r>
        <w:rPr>
          <w:rFonts w:ascii="Calibri" w:hAnsi="Calibri" w:eastAsia="仿宋" w:cs="Calibri"/>
          <w:b/>
          <w:bCs/>
          <w:color w:val="000000"/>
          <w:sz w:val="32"/>
          <w:szCs w:val="32"/>
          <w:lang w:val="zh-CN"/>
        </w:rPr>
        <w:t>③</w:t>
      </w:r>
      <w:r>
        <w:rPr>
          <w:rFonts w:hint="eastAsia" w:ascii="仿宋" w:hAnsi="仿宋" w:eastAsia="仿宋"/>
          <w:b/>
          <w:bCs/>
          <w:color w:val="000000"/>
          <w:sz w:val="32"/>
          <w:szCs w:val="32"/>
          <w:lang w:val="zh-CN"/>
        </w:rPr>
        <w:t>、项目组织实施情况。</w:t>
      </w:r>
    </w:p>
    <w:p w14:paraId="1F3EE9E4">
      <w:pPr>
        <w:pStyle w:val="33"/>
        <w:tabs>
          <w:tab w:val="left" w:pos="5385"/>
        </w:tabs>
        <w:spacing w:line="600" w:lineRule="exact"/>
        <w:ind w:firstLine="640"/>
        <w:rPr>
          <w:rFonts w:ascii="仿宋" w:hAnsi="仿宋" w:eastAsia="仿宋"/>
          <w:color w:val="000000"/>
          <w:sz w:val="32"/>
          <w:szCs w:val="32"/>
          <w:lang w:val="zh-CN"/>
        </w:rPr>
      </w:pPr>
      <w:r>
        <w:rPr>
          <w:rFonts w:hint="eastAsia" w:ascii="仿宋" w:hAnsi="仿宋" w:eastAsia="仿宋"/>
          <w:color w:val="000000"/>
          <w:sz w:val="32"/>
          <w:szCs w:val="32"/>
          <w:lang w:val="zh-CN"/>
        </w:rPr>
        <w:t>第一步，公开政策。各村根据村集体收入和工作绩效等情况分村确定年度补助标准。由“村两委”根据上级规定，向村民广泛宣传解读政策，公示资金额度、用途及要求。运行维护资金要坚持“五不准”。即不准村(组)干部私自决定，不准用于弥补公用经费缺口和发放村(组)干部补贴，不准分发给村民，不准违反财政报账和国库集中支付制度，不准截留、挤占、挪用。</w:t>
      </w:r>
    </w:p>
    <w:p w14:paraId="0995BAD5">
      <w:pPr>
        <w:pStyle w:val="33"/>
        <w:tabs>
          <w:tab w:val="left" w:pos="5385"/>
        </w:tabs>
        <w:spacing w:line="600" w:lineRule="exact"/>
        <w:ind w:firstLine="640"/>
        <w:rPr>
          <w:rFonts w:ascii="仿宋" w:hAnsi="仿宋" w:eastAsia="仿宋"/>
          <w:color w:val="000000"/>
          <w:sz w:val="32"/>
          <w:szCs w:val="32"/>
          <w:lang w:val="zh-CN"/>
        </w:rPr>
      </w:pPr>
      <w:r>
        <w:rPr>
          <w:rFonts w:hint="eastAsia" w:ascii="仿宋" w:hAnsi="仿宋" w:eastAsia="仿宋"/>
          <w:color w:val="000000"/>
          <w:sz w:val="32"/>
          <w:szCs w:val="32"/>
          <w:lang w:val="zh-CN"/>
        </w:rPr>
        <w:t>第二步，两委提议，征求意见。村两委提出实施意见，各组召开会议，广泛征求村民意见建议，填列《项目征求意见表》，确定本村维护项目需求。由村汇总审核各社意见，填列《村民意见汇总表》。</w:t>
      </w:r>
    </w:p>
    <w:p w14:paraId="72C07BF2">
      <w:pPr>
        <w:pStyle w:val="33"/>
        <w:tabs>
          <w:tab w:val="left" w:pos="5385"/>
        </w:tabs>
        <w:spacing w:line="600" w:lineRule="exact"/>
        <w:ind w:firstLine="640"/>
        <w:rPr>
          <w:rFonts w:ascii="仿宋" w:hAnsi="仿宋" w:eastAsia="仿宋"/>
          <w:color w:val="000000"/>
          <w:sz w:val="32"/>
          <w:szCs w:val="32"/>
          <w:lang w:val="zh-CN"/>
        </w:rPr>
      </w:pPr>
      <w:r>
        <w:rPr>
          <w:rFonts w:hint="eastAsia" w:ascii="仿宋" w:hAnsi="仿宋" w:eastAsia="仿宋"/>
          <w:color w:val="000000"/>
          <w:sz w:val="32"/>
          <w:szCs w:val="32"/>
          <w:lang w:val="zh-CN"/>
        </w:rPr>
        <w:t>第三步，确定方案，组织实施。村根据各组意见，确定实施项目内容。依据各组量分汇总情况及年度资金规模，确定项目实施顺序，填列《项目实施方案表(一)》，确定服务队伍(人员)等。</w:t>
      </w:r>
    </w:p>
    <w:p w14:paraId="1EB455FD">
      <w:pPr>
        <w:pStyle w:val="33"/>
        <w:tabs>
          <w:tab w:val="left" w:pos="5385"/>
        </w:tabs>
        <w:spacing w:line="600" w:lineRule="exact"/>
        <w:ind w:firstLine="640"/>
        <w:rPr>
          <w:rFonts w:ascii="仿宋" w:hAnsi="仿宋" w:eastAsia="仿宋"/>
          <w:color w:val="000000"/>
          <w:sz w:val="32"/>
          <w:szCs w:val="32"/>
          <w:lang w:val="zh-CN"/>
        </w:rPr>
      </w:pPr>
      <w:r>
        <w:rPr>
          <w:rFonts w:hint="eastAsia" w:ascii="仿宋" w:hAnsi="仿宋" w:eastAsia="仿宋"/>
          <w:color w:val="000000"/>
          <w:sz w:val="32"/>
          <w:szCs w:val="32"/>
          <w:lang w:val="zh-CN"/>
        </w:rPr>
        <w:t>第四步，方案报审。根据村民会议通过的项目实施方案，填列《项目实施方案表(二)》，报送镇政府审核批准。镇政府汇总各村项目情况专题研究审核并报县财政局备案。</w:t>
      </w:r>
    </w:p>
    <w:p w14:paraId="77358735">
      <w:pPr>
        <w:pStyle w:val="33"/>
        <w:tabs>
          <w:tab w:val="left" w:pos="5385"/>
        </w:tabs>
        <w:spacing w:line="600" w:lineRule="exact"/>
        <w:ind w:firstLine="640"/>
        <w:rPr>
          <w:rFonts w:ascii="仿宋" w:hAnsi="仿宋" w:eastAsia="仿宋"/>
          <w:color w:val="000000"/>
          <w:sz w:val="32"/>
          <w:szCs w:val="32"/>
          <w:lang w:val="zh-CN"/>
        </w:rPr>
      </w:pPr>
      <w:r>
        <w:rPr>
          <w:rFonts w:hint="eastAsia" w:ascii="仿宋" w:hAnsi="仿宋" w:eastAsia="仿宋"/>
          <w:color w:val="000000"/>
          <w:sz w:val="32"/>
          <w:szCs w:val="32"/>
          <w:lang w:val="zh-CN"/>
        </w:rPr>
        <w:t>第五步，组织实施。村按批准方案，与服务队伍(人员)签订劳务合同，组织项目实施。村民理财小组、质量监督小组等群众自治组织参与项目实施全过程监管。镇提供相关服务和指导。</w:t>
      </w:r>
    </w:p>
    <w:p w14:paraId="593BF4B1">
      <w:pPr>
        <w:pStyle w:val="33"/>
        <w:tabs>
          <w:tab w:val="left" w:pos="5385"/>
        </w:tabs>
        <w:spacing w:line="600" w:lineRule="exact"/>
        <w:ind w:firstLine="640"/>
        <w:rPr>
          <w:rFonts w:ascii="仿宋" w:hAnsi="仿宋" w:eastAsia="仿宋"/>
          <w:color w:val="000000"/>
          <w:sz w:val="32"/>
          <w:szCs w:val="32"/>
          <w:lang w:val="zh-CN"/>
        </w:rPr>
      </w:pPr>
      <w:r>
        <w:rPr>
          <w:rFonts w:hint="eastAsia" w:ascii="仿宋" w:hAnsi="仿宋" w:eastAsia="仿宋"/>
          <w:color w:val="000000"/>
          <w:sz w:val="32"/>
          <w:szCs w:val="32"/>
          <w:lang w:val="zh-CN"/>
        </w:rPr>
        <w:t>第六步，验收评议。项目完成后，镇验收组会同“村两委”、村民理财小组、质量监督小组等按各自职责组织验收，填列《项目验收情况表》。对验收合格项目，公示《项目完成情况公示表》、《项目资金使用情况统计表》，接受村民评议。公示无异议，兑付资金。</w:t>
      </w:r>
    </w:p>
    <w:p w14:paraId="3389BE99">
      <w:pPr>
        <w:pStyle w:val="33"/>
        <w:tabs>
          <w:tab w:val="left" w:pos="5385"/>
        </w:tabs>
        <w:spacing w:line="600" w:lineRule="exact"/>
        <w:ind w:left="420" w:firstLine="0" w:firstLineChars="0"/>
        <w:rPr>
          <w:rFonts w:ascii="仿宋" w:hAnsi="仿宋" w:eastAsia="仿宋"/>
          <w:b/>
          <w:bCs/>
          <w:color w:val="000000"/>
          <w:sz w:val="32"/>
          <w:szCs w:val="32"/>
          <w:lang w:val="zh-CN"/>
        </w:rPr>
      </w:pPr>
      <w:r>
        <w:rPr>
          <w:rFonts w:hint="eastAsia" w:ascii="仿宋" w:hAnsi="仿宋" w:eastAsia="仿宋"/>
          <w:color w:val="000000"/>
          <w:sz w:val="32"/>
          <w:szCs w:val="32"/>
          <w:lang w:val="zh-CN"/>
        </w:rPr>
        <w:t>（</w:t>
      </w:r>
      <w:r>
        <w:rPr>
          <w:rFonts w:hint="eastAsia" w:ascii="仿宋" w:hAnsi="仿宋" w:eastAsia="仿宋"/>
          <w:b/>
          <w:bCs/>
          <w:color w:val="000000"/>
          <w:sz w:val="32"/>
          <w:szCs w:val="32"/>
        </w:rPr>
        <w:t>3）</w:t>
      </w:r>
      <w:r>
        <w:rPr>
          <w:rFonts w:hint="eastAsia" w:ascii="仿宋" w:hAnsi="仿宋" w:eastAsia="仿宋"/>
          <w:b/>
          <w:bCs/>
          <w:color w:val="000000"/>
          <w:sz w:val="32"/>
          <w:szCs w:val="32"/>
          <w:lang w:val="zh-CN"/>
        </w:rPr>
        <w:t>、项目绩效情况</w:t>
      </w:r>
      <w:r>
        <w:rPr>
          <w:rFonts w:hint="eastAsia" w:ascii="仿宋" w:hAnsi="仿宋" w:eastAsia="仿宋"/>
          <w:b/>
          <w:bCs/>
          <w:color w:val="000000"/>
          <w:sz w:val="32"/>
          <w:szCs w:val="32"/>
          <w:lang w:val="zh-CN"/>
        </w:rPr>
        <w:tab/>
      </w:r>
    </w:p>
    <w:p w14:paraId="22BC1FD4">
      <w:pPr>
        <w:pStyle w:val="33"/>
        <w:tabs>
          <w:tab w:val="left" w:pos="5385"/>
        </w:tabs>
        <w:spacing w:line="600" w:lineRule="exact"/>
        <w:ind w:left="420" w:firstLine="321" w:firstLineChars="100"/>
        <w:rPr>
          <w:rFonts w:ascii="仿宋" w:hAnsi="仿宋" w:eastAsia="仿宋"/>
          <w:b/>
          <w:bCs/>
          <w:color w:val="000000"/>
          <w:sz w:val="32"/>
          <w:szCs w:val="32"/>
          <w:lang w:val="zh-CN"/>
        </w:rPr>
      </w:pPr>
      <w:r>
        <w:rPr>
          <w:rFonts w:ascii="Calibri" w:hAnsi="Calibri" w:eastAsia="仿宋" w:cs="Calibri"/>
          <w:b/>
          <w:bCs/>
          <w:color w:val="000000"/>
          <w:sz w:val="32"/>
          <w:szCs w:val="32"/>
          <w:lang w:val="zh-CN"/>
        </w:rPr>
        <w:t>①</w:t>
      </w:r>
      <w:r>
        <w:rPr>
          <w:rFonts w:hint="eastAsia" w:ascii="仿宋" w:hAnsi="仿宋" w:eastAsia="仿宋"/>
          <w:b/>
          <w:bCs/>
          <w:color w:val="000000"/>
          <w:sz w:val="32"/>
          <w:szCs w:val="32"/>
          <w:lang w:val="zh-CN"/>
        </w:rPr>
        <w:t>、项目完成情况。</w:t>
      </w:r>
    </w:p>
    <w:p w14:paraId="2AB30437">
      <w:pPr>
        <w:pStyle w:val="33"/>
        <w:tabs>
          <w:tab w:val="left" w:pos="5385"/>
        </w:tabs>
        <w:spacing w:line="600" w:lineRule="exact"/>
        <w:ind w:firstLine="640"/>
        <w:rPr>
          <w:rFonts w:ascii="仿宋" w:hAnsi="仿宋" w:eastAsia="仿宋"/>
          <w:color w:val="000000"/>
          <w:sz w:val="32"/>
          <w:szCs w:val="32"/>
          <w:lang w:val="zh-CN"/>
        </w:rPr>
      </w:pPr>
      <w:r>
        <w:rPr>
          <w:rFonts w:hint="eastAsia" w:ascii="仿宋" w:hAnsi="仿宋" w:eastAsia="仿宋"/>
          <w:color w:val="000000"/>
          <w:sz w:val="32"/>
          <w:szCs w:val="32"/>
          <w:lang w:val="zh-CN"/>
        </w:rPr>
        <w:t>“镇阳镇2020年农村公共服务运行维护经费项目”，计划投入资金59万元，70个小项目，实施完成项目70个，现已拨付资金59万。项目于2020年年初开工，2020年12月31日前全部实施完成并验收合格。有效的保障了全镇，所有行政村的农村公共项目的全产运行。</w:t>
      </w:r>
    </w:p>
    <w:p w14:paraId="790CC6A4">
      <w:pPr>
        <w:pStyle w:val="33"/>
        <w:tabs>
          <w:tab w:val="left" w:pos="5385"/>
        </w:tabs>
        <w:spacing w:line="600" w:lineRule="exact"/>
        <w:ind w:left="420" w:firstLine="321" w:firstLineChars="100"/>
        <w:rPr>
          <w:rFonts w:ascii="仿宋" w:hAnsi="仿宋" w:eastAsia="仿宋"/>
          <w:b/>
          <w:bCs/>
          <w:color w:val="000000"/>
          <w:sz w:val="32"/>
          <w:szCs w:val="32"/>
          <w:lang w:val="zh-CN"/>
        </w:rPr>
      </w:pPr>
      <w:r>
        <w:rPr>
          <w:rFonts w:ascii="Calibri" w:hAnsi="Calibri" w:eastAsia="仿宋" w:cs="Calibri"/>
          <w:b/>
          <w:bCs/>
          <w:color w:val="000000"/>
          <w:sz w:val="32"/>
          <w:szCs w:val="32"/>
          <w:lang w:val="zh-CN"/>
        </w:rPr>
        <w:t>②</w:t>
      </w:r>
      <w:r>
        <w:rPr>
          <w:rFonts w:hint="eastAsia" w:ascii="仿宋" w:hAnsi="仿宋" w:eastAsia="仿宋"/>
          <w:b/>
          <w:bCs/>
          <w:color w:val="000000"/>
          <w:sz w:val="32"/>
          <w:szCs w:val="32"/>
          <w:lang w:val="zh-CN"/>
        </w:rPr>
        <w:t>、项目效益情况。</w:t>
      </w:r>
    </w:p>
    <w:p w14:paraId="5998CBA9">
      <w:pPr>
        <w:pStyle w:val="33"/>
        <w:tabs>
          <w:tab w:val="left" w:pos="5385"/>
        </w:tabs>
        <w:spacing w:line="600" w:lineRule="exact"/>
        <w:ind w:firstLine="640"/>
        <w:rPr>
          <w:rFonts w:ascii="仿宋" w:hAnsi="仿宋" w:eastAsia="仿宋"/>
          <w:color w:val="000000"/>
          <w:sz w:val="32"/>
          <w:szCs w:val="32"/>
          <w:lang w:val="zh-CN"/>
        </w:rPr>
      </w:pPr>
      <w:r>
        <w:rPr>
          <w:rFonts w:hint="eastAsia" w:ascii="仿宋" w:hAnsi="仿宋" w:eastAsia="仿宋"/>
          <w:color w:val="000000"/>
          <w:sz w:val="32"/>
          <w:szCs w:val="32"/>
          <w:lang w:val="zh-CN"/>
        </w:rPr>
        <w:t>经济指标，全镇通过农村公共运行项目的实施，保障了全镇公共项目的正常使用，对全镇的产业发展起到了较好的保障作用。社会效益，农村公共运行项目的实施，保障了全镇群众的文化生活和产业经济的发展。生态效益，农村公共运行项目的实施，使全镇的生态得到了较好的保护和提升。</w:t>
      </w:r>
    </w:p>
    <w:p w14:paraId="4A2840AB">
      <w:pPr>
        <w:pStyle w:val="33"/>
        <w:tabs>
          <w:tab w:val="left" w:pos="5385"/>
        </w:tabs>
        <w:spacing w:line="600" w:lineRule="exact"/>
        <w:ind w:firstLine="0" w:firstLineChars="0"/>
        <w:rPr>
          <w:rFonts w:ascii="仿宋" w:hAnsi="仿宋" w:eastAsia="仿宋"/>
          <w:color w:val="000000"/>
          <w:sz w:val="32"/>
          <w:szCs w:val="32"/>
          <w:lang w:val="zh-CN"/>
        </w:rPr>
      </w:pPr>
      <w:r>
        <w:rPr>
          <w:rFonts w:hint="eastAsia" w:ascii="仿宋" w:hAnsi="仿宋" w:eastAsia="仿宋"/>
          <w:color w:val="000000"/>
          <w:sz w:val="32"/>
          <w:szCs w:val="32"/>
          <w:lang w:val="zh-CN"/>
        </w:rPr>
        <w:t>可持续效益，农村公共运行项目的实施，保障全镇各项工作的稳定和持续发展。服务对象满意，农村公共运行项目的实施，得到了全镇群众的高度满意。</w:t>
      </w:r>
    </w:p>
    <w:p w14:paraId="4241C552">
      <w:pPr>
        <w:pStyle w:val="33"/>
        <w:tabs>
          <w:tab w:val="left" w:pos="5385"/>
        </w:tabs>
        <w:spacing w:line="600" w:lineRule="exact"/>
        <w:rPr>
          <w:rFonts w:ascii="仿宋" w:hAnsi="仿宋" w:eastAsia="仿宋"/>
          <w:b/>
          <w:bCs/>
          <w:color w:val="000000"/>
          <w:sz w:val="32"/>
          <w:szCs w:val="32"/>
          <w:lang w:val="zh-CN"/>
        </w:rPr>
      </w:pPr>
      <w:r>
        <w:rPr>
          <w:rFonts w:hint="eastAsia" w:ascii="仿宋" w:hAnsi="仿宋" w:eastAsia="仿宋"/>
          <w:color w:val="000000"/>
          <w:sz w:val="32"/>
          <w:szCs w:val="32"/>
          <w:lang w:val="zh-CN"/>
        </w:rPr>
        <w:t>（</w:t>
      </w:r>
      <w:r>
        <w:rPr>
          <w:rFonts w:hint="eastAsia" w:ascii="仿宋" w:hAnsi="仿宋" w:eastAsia="仿宋"/>
          <w:b/>
          <w:bCs/>
          <w:color w:val="000000"/>
          <w:sz w:val="32"/>
          <w:szCs w:val="32"/>
        </w:rPr>
        <w:t>4）、</w:t>
      </w:r>
      <w:r>
        <w:rPr>
          <w:rFonts w:hint="eastAsia" w:ascii="仿宋" w:hAnsi="仿宋" w:eastAsia="仿宋"/>
          <w:b/>
          <w:bCs/>
          <w:color w:val="000000"/>
          <w:sz w:val="32"/>
          <w:szCs w:val="32"/>
          <w:lang w:val="zh-CN"/>
        </w:rPr>
        <w:t>问题及建议</w:t>
      </w:r>
    </w:p>
    <w:p w14:paraId="27AF1F2A">
      <w:pPr>
        <w:pStyle w:val="33"/>
        <w:tabs>
          <w:tab w:val="left" w:pos="5385"/>
        </w:tabs>
        <w:spacing w:line="600" w:lineRule="exact"/>
        <w:ind w:left="420" w:firstLine="321" w:firstLineChars="100"/>
        <w:rPr>
          <w:rFonts w:ascii="仿宋" w:hAnsi="仿宋" w:eastAsia="仿宋"/>
          <w:b/>
          <w:bCs/>
          <w:color w:val="000000"/>
          <w:sz w:val="32"/>
          <w:szCs w:val="32"/>
          <w:lang w:val="zh-CN"/>
        </w:rPr>
      </w:pPr>
      <w:r>
        <w:rPr>
          <w:rFonts w:ascii="Calibri" w:hAnsi="Calibri" w:eastAsia="仿宋" w:cs="Calibri"/>
          <w:b/>
          <w:bCs/>
          <w:color w:val="000000"/>
          <w:sz w:val="32"/>
          <w:szCs w:val="32"/>
          <w:lang w:val="zh-CN"/>
        </w:rPr>
        <w:t>①</w:t>
      </w:r>
      <w:r>
        <w:rPr>
          <w:rFonts w:hint="eastAsia" w:ascii="仿宋" w:hAnsi="仿宋" w:eastAsia="仿宋"/>
          <w:b/>
          <w:bCs/>
          <w:color w:val="000000"/>
          <w:sz w:val="32"/>
          <w:szCs w:val="32"/>
          <w:lang w:val="zh-CN"/>
        </w:rPr>
        <w:t>存在的问题。</w:t>
      </w:r>
    </w:p>
    <w:p w14:paraId="4F9D019B">
      <w:pPr>
        <w:pStyle w:val="33"/>
        <w:tabs>
          <w:tab w:val="left" w:pos="5385"/>
        </w:tabs>
        <w:spacing w:line="600" w:lineRule="exact"/>
        <w:ind w:firstLine="640"/>
        <w:rPr>
          <w:rFonts w:ascii="仿宋" w:hAnsi="仿宋" w:eastAsia="仿宋"/>
          <w:color w:val="000000"/>
          <w:sz w:val="32"/>
          <w:szCs w:val="32"/>
          <w:lang w:val="zh-CN"/>
        </w:rPr>
      </w:pPr>
      <w:r>
        <w:rPr>
          <w:rFonts w:hint="eastAsia" w:ascii="仿宋" w:hAnsi="仿宋" w:eastAsia="仿宋"/>
          <w:color w:val="000000"/>
          <w:sz w:val="32"/>
          <w:szCs w:val="32"/>
          <w:lang w:val="zh-CN"/>
        </w:rPr>
        <w:t>农村公共服务运行维护经费项目的实施，在项目前期规划时，缺少专业的人员对项目进行设计预算；近些年农村已建成的公共设施数量较多，现有的维护资料不能全部满足。</w:t>
      </w:r>
    </w:p>
    <w:p w14:paraId="225748D0">
      <w:pPr>
        <w:pStyle w:val="33"/>
        <w:tabs>
          <w:tab w:val="left" w:pos="5385"/>
        </w:tabs>
        <w:spacing w:line="600" w:lineRule="exact"/>
        <w:ind w:left="420" w:firstLine="321" w:firstLineChars="100"/>
        <w:rPr>
          <w:rFonts w:ascii="仿宋" w:hAnsi="仿宋" w:eastAsia="仿宋"/>
          <w:color w:val="000000"/>
          <w:sz w:val="32"/>
          <w:szCs w:val="32"/>
          <w:lang w:val="zh-CN"/>
        </w:rPr>
      </w:pPr>
      <w:r>
        <w:rPr>
          <w:rFonts w:ascii="Calibri" w:hAnsi="Calibri" w:eastAsia="仿宋" w:cs="Calibri"/>
          <w:b/>
          <w:bCs/>
          <w:color w:val="000000"/>
          <w:sz w:val="32"/>
          <w:szCs w:val="32"/>
          <w:lang w:val="zh-CN"/>
        </w:rPr>
        <w:t>②</w:t>
      </w:r>
      <w:r>
        <w:rPr>
          <w:rFonts w:hint="eastAsia" w:ascii="仿宋" w:hAnsi="仿宋" w:eastAsia="仿宋"/>
          <w:b/>
          <w:bCs/>
          <w:color w:val="000000"/>
          <w:sz w:val="32"/>
          <w:szCs w:val="32"/>
          <w:lang w:val="zh-CN"/>
        </w:rPr>
        <w:t>相关建议</w:t>
      </w:r>
      <w:r>
        <w:rPr>
          <w:rFonts w:hint="eastAsia" w:ascii="仿宋" w:hAnsi="仿宋" w:eastAsia="仿宋"/>
          <w:color w:val="000000"/>
          <w:sz w:val="32"/>
          <w:szCs w:val="32"/>
          <w:lang w:val="zh-CN"/>
        </w:rPr>
        <w:t>。提出项目改进完善的意见及相关政策性建议。</w:t>
      </w:r>
    </w:p>
    <w:p w14:paraId="78076252">
      <w:pPr>
        <w:pStyle w:val="33"/>
        <w:tabs>
          <w:tab w:val="left" w:pos="5385"/>
        </w:tabs>
        <w:spacing w:line="600" w:lineRule="exact"/>
        <w:ind w:left="0" w:leftChars="0" w:firstLine="640" w:firstLineChars="200"/>
        <w:rPr>
          <w:rFonts w:ascii="仿宋" w:hAnsi="仿宋" w:eastAsia="仿宋"/>
          <w:color w:val="000000"/>
          <w:sz w:val="32"/>
          <w:szCs w:val="32"/>
          <w:lang w:val="zh-CN"/>
        </w:rPr>
      </w:pPr>
      <w:r>
        <w:rPr>
          <w:rFonts w:hint="eastAsia" w:ascii="仿宋" w:hAnsi="仿宋" w:eastAsia="仿宋"/>
          <w:color w:val="000000"/>
          <w:sz w:val="32"/>
          <w:szCs w:val="32"/>
          <w:lang w:val="zh-CN"/>
        </w:rPr>
        <w:t>增强农村公共服务运行维护经费项目专业人员的培训；增加农村公共服务运行维护经费项目资金的数额。</w:t>
      </w:r>
      <w:r>
        <w:rPr>
          <w:rFonts w:ascii="仿宋" w:hAnsi="仿宋" w:eastAsia="仿宋"/>
          <w:color w:val="000000"/>
          <w:sz w:val="32"/>
          <w:szCs w:val="32"/>
          <w:lang w:val="zh-CN"/>
        </w:rPr>
        <w:tab/>
      </w:r>
    </w:p>
    <w:p w14:paraId="503CD807">
      <w:pPr>
        <w:pStyle w:val="33"/>
        <w:spacing w:line="600" w:lineRule="exact"/>
        <w:ind w:left="420" w:firstLine="0" w:firstLineChars="0"/>
        <w:rPr>
          <w:rFonts w:ascii="仿宋" w:hAnsi="仿宋" w:eastAsia="仿宋"/>
          <w:b/>
          <w:bCs/>
          <w:color w:val="000000"/>
          <w:sz w:val="32"/>
          <w:szCs w:val="32"/>
          <w:lang w:val="zh-CN"/>
        </w:rPr>
      </w:pPr>
      <w:r>
        <w:rPr>
          <w:rFonts w:hint="eastAsia" w:ascii="仿宋" w:hAnsi="仿宋" w:eastAsia="仿宋"/>
          <w:b/>
          <w:bCs/>
          <w:color w:val="000000"/>
          <w:sz w:val="32"/>
          <w:szCs w:val="32"/>
          <w:lang w:val="zh-CN"/>
        </w:rPr>
        <w:t>（3）部门开展绩效评价结果。</w:t>
      </w:r>
    </w:p>
    <w:p w14:paraId="7EA440AE">
      <w:pPr>
        <w:spacing w:line="580" w:lineRule="exact"/>
        <w:ind w:firstLine="640" w:firstLineChars="200"/>
        <w:rPr>
          <w:rFonts w:ascii="仿宋" w:hAnsi="仿宋" w:eastAsia="仿宋"/>
          <w:color w:val="000000"/>
          <w:sz w:val="32"/>
          <w:szCs w:val="32"/>
          <w:lang w:val="zh-CN"/>
        </w:rPr>
      </w:pPr>
      <w:r>
        <w:rPr>
          <w:rFonts w:hint="eastAsia" w:ascii="仿宋" w:hAnsi="仿宋" w:eastAsia="仿宋"/>
          <w:color w:val="000000"/>
          <w:sz w:val="32"/>
          <w:szCs w:val="32"/>
          <w:lang w:val="zh-CN"/>
        </w:rPr>
        <w:t>本部门按要求对2020年部门整体支出绩效评价情况开展自评，《镇阳镇人民政府2020年部门整体支出绩效评价报告》见附件（附件1）。</w:t>
      </w: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622"/>
        <w:gridCol w:w="733"/>
        <w:gridCol w:w="1833"/>
        <w:gridCol w:w="2550"/>
        <w:gridCol w:w="1830"/>
        <w:gridCol w:w="2392"/>
      </w:tblGrid>
      <w:tr w14:paraId="4EEF1805">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noWrap/>
            <w:tcMar>
              <w:top w:w="15" w:type="dxa"/>
              <w:left w:w="15" w:type="dxa"/>
              <w:right w:w="15" w:type="dxa"/>
            </w:tcMar>
            <w:vAlign w:val="center"/>
          </w:tcPr>
          <w:p w14:paraId="7C42E361">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(2020 年度)</w:t>
            </w:r>
          </w:p>
        </w:tc>
      </w:tr>
      <w:tr w14:paraId="4A2F052C">
        <w:tblPrEx>
          <w:tblCellMar>
            <w:top w:w="0" w:type="dxa"/>
            <w:left w:w="0" w:type="dxa"/>
            <w:bottom w:w="0" w:type="dxa"/>
            <w:right w:w="0" w:type="dxa"/>
          </w:tblCellMar>
        </w:tblPrEx>
        <w:trPr>
          <w:trHeight w:val="276" w:hRule="atLeast"/>
          <w:jc w:val="center"/>
        </w:trPr>
        <w:tc>
          <w:tcPr>
            <w:tcW w:w="318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17D607">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677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90CB46">
            <w:pPr>
              <w:widowControl/>
              <w:jc w:val="center"/>
              <w:textAlignment w:val="center"/>
              <w:rPr>
                <w:rFonts w:ascii="宋体" w:hAnsi="宋体" w:cs="宋体"/>
                <w:color w:val="000000"/>
                <w:sz w:val="24"/>
              </w:rPr>
            </w:pPr>
            <w:r>
              <w:rPr>
                <w:rFonts w:hint="eastAsia" w:ascii="宋体" w:hAnsi="宋体" w:cs="宋体"/>
                <w:color w:val="000000"/>
                <w:sz w:val="24"/>
              </w:rPr>
              <w:t>农村公共服务运行维护经费</w:t>
            </w:r>
          </w:p>
        </w:tc>
      </w:tr>
      <w:tr w14:paraId="4A8E54EA">
        <w:tblPrEx>
          <w:tblCellMar>
            <w:top w:w="0" w:type="dxa"/>
            <w:left w:w="0" w:type="dxa"/>
            <w:bottom w:w="0" w:type="dxa"/>
            <w:right w:w="0" w:type="dxa"/>
          </w:tblCellMar>
        </w:tblPrEx>
        <w:trPr>
          <w:trHeight w:val="276" w:hRule="atLeast"/>
          <w:jc w:val="center"/>
        </w:trPr>
        <w:tc>
          <w:tcPr>
            <w:tcW w:w="318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ABA9F9">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677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344F3D">
            <w:pPr>
              <w:widowControl/>
              <w:jc w:val="center"/>
              <w:textAlignment w:val="center"/>
              <w:rPr>
                <w:rFonts w:ascii="宋体" w:hAnsi="宋体" w:cs="宋体"/>
                <w:color w:val="000000"/>
                <w:sz w:val="24"/>
              </w:rPr>
            </w:pPr>
            <w:r>
              <w:rPr>
                <w:rFonts w:hint="eastAsia" w:ascii="宋体" w:hAnsi="宋体" w:cs="宋体"/>
                <w:color w:val="000000"/>
                <w:sz w:val="24"/>
              </w:rPr>
              <w:t>井研县镇阳镇人民政府</w:t>
            </w:r>
          </w:p>
        </w:tc>
      </w:tr>
      <w:tr w14:paraId="23A0447C">
        <w:tblPrEx>
          <w:tblCellMar>
            <w:top w:w="0" w:type="dxa"/>
            <w:left w:w="0" w:type="dxa"/>
            <w:bottom w:w="0" w:type="dxa"/>
            <w:right w:w="0" w:type="dxa"/>
          </w:tblCellMar>
        </w:tblPrEx>
        <w:trPr>
          <w:trHeight w:val="276" w:hRule="atLeast"/>
          <w:jc w:val="center"/>
        </w:trPr>
        <w:tc>
          <w:tcPr>
            <w:tcW w:w="622"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60A0CA">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56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FDCFC0">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5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00E66B">
            <w:pPr>
              <w:widowControl/>
              <w:jc w:val="center"/>
              <w:textAlignment w:val="center"/>
              <w:rPr>
                <w:rFonts w:ascii="宋体" w:hAnsi="宋体" w:cs="宋体"/>
                <w:color w:val="000000"/>
                <w:sz w:val="24"/>
              </w:rPr>
            </w:pPr>
            <w:r>
              <w:rPr>
                <w:rFonts w:hint="eastAsia" w:ascii="宋体" w:hAnsi="宋体" w:cs="宋体"/>
                <w:color w:val="000000"/>
                <w:sz w:val="24"/>
              </w:rPr>
              <w:t>45</w:t>
            </w:r>
          </w:p>
        </w:tc>
        <w:tc>
          <w:tcPr>
            <w:tcW w:w="18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9547A0">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8FC1AB">
            <w:pPr>
              <w:widowControl/>
              <w:jc w:val="center"/>
              <w:textAlignment w:val="center"/>
              <w:rPr>
                <w:rFonts w:ascii="宋体" w:hAnsi="宋体" w:cs="宋体"/>
                <w:color w:val="000000"/>
                <w:sz w:val="24"/>
              </w:rPr>
            </w:pPr>
            <w:r>
              <w:rPr>
                <w:rFonts w:hint="eastAsia" w:ascii="宋体" w:hAnsi="宋体" w:cs="宋体"/>
                <w:color w:val="000000"/>
                <w:sz w:val="24"/>
              </w:rPr>
              <w:t>33.75</w:t>
            </w:r>
          </w:p>
        </w:tc>
      </w:tr>
      <w:tr w14:paraId="46BF7FD4">
        <w:tblPrEx>
          <w:tblCellMar>
            <w:top w:w="0" w:type="dxa"/>
            <w:left w:w="0" w:type="dxa"/>
            <w:bottom w:w="0" w:type="dxa"/>
            <w:right w:w="0" w:type="dxa"/>
          </w:tblCellMar>
        </w:tblPrEx>
        <w:trPr>
          <w:trHeight w:val="276" w:hRule="atLeast"/>
          <w:jc w:val="center"/>
        </w:trPr>
        <w:tc>
          <w:tcPr>
            <w:tcW w:w="62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30684B">
            <w:pPr>
              <w:jc w:val="center"/>
              <w:rPr>
                <w:rFonts w:ascii="宋体" w:hAnsi="宋体" w:cs="宋体"/>
                <w:color w:val="000000"/>
                <w:sz w:val="24"/>
              </w:rPr>
            </w:pPr>
          </w:p>
        </w:tc>
        <w:tc>
          <w:tcPr>
            <w:tcW w:w="256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4AB306">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5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80F559">
            <w:pPr>
              <w:widowControl/>
              <w:jc w:val="center"/>
              <w:textAlignment w:val="center"/>
              <w:rPr>
                <w:rFonts w:ascii="宋体" w:hAnsi="宋体" w:cs="宋体"/>
                <w:color w:val="000000"/>
                <w:sz w:val="24"/>
              </w:rPr>
            </w:pPr>
            <w:r>
              <w:rPr>
                <w:rFonts w:hint="eastAsia" w:ascii="宋体" w:hAnsi="宋体" w:cs="宋体"/>
                <w:color w:val="000000"/>
                <w:sz w:val="24"/>
              </w:rPr>
              <w:t>45</w:t>
            </w:r>
          </w:p>
        </w:tc>
        <w:tc>
          <w:tcPr>
            <w:tcW w:w="18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FD0F30">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736DA9">
            <w:pPr>
              <w:widowControl/>
              <w:jc w:val="center"/>
              <w:textAlignment w:val="center"/>
              <w:rPr>
                <w:rFonts w:ascii="宋体" w:hAnsi="宋体" w:cs="宋体"/>
                <w:color w:val="000000"/>
                <w:sz w:val="24"/>
              </w:rPr>
            </w:pPr>
            <w:r>
              <w:rPr>
                <w:rFonts w:hint="eastAsia" w:ascii="宋体" w:hAnsi="宋体" w:cs="宋体"/>
                <w:color w:val="000000"/>
                <w:sz w:val="24"/>
              </w:rPr>
              <w:t>33.75</w:t>
            </w:r>
          </w:p>
        </w:tc>
      </w:tr>
      <w:tr w14:paraId="30781F5D">
        <w:tblPrEx>
          <w:tblCellMar>
            <w:top w:w="0" w:type="dxa"/>
            <w:left w:w="0" w:type="dxa"/>
            <w:bottom w:w="0" w:type="dxa"/>
            <w:right w:w="0" w:type="dxa"/>
          </w:tblCellMar>
        </w:tblPrEx>
        <w:trPr>
          <w:trHeight w:val="832" w:hRule="atLeast"/>
          <w:jc w:val="center"/>
        </w:trPr>
        <w:tc>
          <w:tcPr>
            <w:tcW w:w="62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ADBFDE">
            <w:pPr>
              <w:jc w:val="center"/>
              <w:rPr>
                <w:rFonts w:ascii="宋体" w:hAnsi="宋体" w:cs="宋体"/>
                <w:color w:val="000000"/>
                <w:sz w:val="24"/>
              </w:rPr>
            </w:pPr>
          </w:p>
        </w:tc>
        <w:tc>
          <w:tcPr>
            <w:tcW w:w="256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E9CA77">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5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87FA93">
            <w:pPr>
              <w:widowControl/>
              <w:jc w:val="center"/>
              <w:textAlignment w:val="center"/>
              <w:rPr>
                <w:rFonts w:ascii="宋体" w:hAnsi="宋体" w:cs="宋体"/>
                <w:color w:val="000000"/>
                <w:sz w:val="24"/>
              </w:rPr>
            </w:pPr>
            <w:r>
              <w:rPr>
                <w:rFonts w:hint="eastAsia" w:ascii="宋体" w:hAnsi="宋体" w:cs="宋体"/>
                <w:color w:val="000000"/>
                <w:sz w:val="24"/>
              </w:rPr>
              <w:t>0</w:t>
            </w:r>
          </w:p>
        </w:tc>
        <w:tc>
          <w:tcPr>
            <w:tcW w:w="18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BA017E">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33D499">
            <w:pPr>
              <w:jc w:val="center"/>
              <w:rPr>
                <w:rFonts w:ascii="宋体" w:hAnsi="宋体" w:cs="宋体"/>
                <w:color w:val="000000"/>
                <w:sz w:val="24"/>
              </w:rPr>
            </w:pPr>
            <w:r>
              <w:rPr>
                <w:rFonts w:hint="eastAsia" w:ascii="宋体" w:hAnsi="宋体" w:cs="宋体"/>
                <w:color w:val="000000"/>
                <w:sz w:val="24"/>
              </w:rPr>
              <w:t>0</w:t>
            </w:r>
          </w:p>
        </w:tc>
      </w:tr>
      <w:tr w14:paraId="644A95C0">
        <w:tblPrEx>
          <w:tblCellMar>
            <w:top w:w="0" w:type="dxa"/>
            <w:left w:w="0" w:type="dxa"/>
            <w:bottom w:w="0" w:type="dxa"/>
            <w:right w:w="0" w:type="dxa"/>
          </w:tblCellMar>
        </w:tblPrEx>
        <w:trPr>
          <w:trHeight w:val="276" w:hRule="atLeast"/>
          <w:jc w:val="center"/>
        </w:trPr>
        <w:tc>
          <w:tcPr>
            <w:tcW w:w="622"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01A0C4">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5116"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B25FBE">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22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04F843">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3F23F807">
        <w:tblPrEx>
          <w:tblCellMar>
            <w:top w:w="0" w:type="dxa"/>
            <w:left w:w="0" w:type="dxa"/>
            <w:bottom w:w="0" w:type="dxa"/>
            <w:right w:w="0" w:type="dxa"/>
          </w:tblCellMar>
        </w:tblPrEx>
        <w:trPr>
          <w:trHeight w:val="1502" w:hRule="atLeast"/>
          <w:jc w:val="center"/>
        </w:trPr>
        <w:tc>
          <w:tcPr>
            <w:tcW w:w="62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2875E0">
            <w:pPr>
              <w:jc w:val="center"/>
              <w:rPr>
                <w:rFonts w:ascii="宋体" w:hAnsi="宋体" w:cs="宋体"/>
                <w:color w:val="000000"/>
                <w:sz w:val="24"/>
              </w:rPr>
            </w:pPr>
          </w:p>
        </w:tc>
        <w:tc>
          <w:tcPr>
            <w:tcW w:w="5116"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4887EA">
            <w:pPr>
              <w:widowControl/>
              <w:jc w:val="center"/>
              <w:textAlignment w:val="center"/>
              <w:rPr>
                <w:rFonts w:ascii="宋体" w:hAnsi="宋体" w:cs="宋体"/>
                <w:color w:val="000000"/>
                <w:sz w:val="24"/>
              </w:rPr>
            </w:pPr>
            <w:r>
              <w:rPr>
                <w:rFonts w:hint="eastAsia" w:ascii="宋体" w:hAnsi="宋体" w:cs="宋体"/>
                <w:color w:val="000000"/>
                <w:sz w:val="24"/>
              </w:rPr>
              <w:t>保障全镇村级已建成的公益事业正常的维护和运行</w:t>
            </w:r>
          </w:p>
        </w:tc>
        <w:tc>
          <w:tcPr>
            <w:tcW w:w="422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25201D">
            <w:pPr>
              <w:widowControl/>
              <w:jc w:val="center"/>
              <w:textAlignment w:val="center"/>
              <w:rPr>
                <w:rFonts w:ascii="宋体" w:hAnsi="宋体" w:cs="宋体"/>
                <w:color w:val="000000"/>
                <w:sz w:val="24"/>
              </w:rPr>
            </w:pPr>
            <w:r>
              <w:rPr>
                <w:rFonts w:hint="eastAsia" w:ascii="宋体" w:hAnsi="宋体" w:cs="宋体"/>
                <w:color w:val="000000"/>
                <w:sz w:val="24"/>
              </w:rPr>
              <w:t>保证了全镇村级已建成的公益事业正常的维护和运行</w:t>
            </w:r>
          </w:p>
        </w:tc>
      </w:tr>
      <w:tr w14:paraId="7ED81FC1">
        <w:tblPrEx>
          <w:tblCellMar>
            <w:top w:w="0" w:type="dxa"/>
            <w:left w:w="0" w:type="dxa"/>
            <w:bottom w:w="0" w:type="dxa"/>
            <w:right w:w="0" w:type="dxa"/>
          </w:tblCellMar>
        </w:tblPrEx>
        <w:trPr>
          <w:trHeight w:val="1042" w:hRule="atLeast"/>
          <w:jc w:val="center"/>
        </w:trPr>
        <w:tc>
          <w:tcPr>
            <w:tcW w:w="622"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14:paraId="4D364C83">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7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AA0E2C">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8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436131">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5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A1CBC2">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18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835209">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307A56">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1E520A63">
        <w:tblPrEx>
          <w:tblCellMar>
            <w:top w:w="0" w:type="dxa"/>
            <w:left w:w="0" w:type="dxa"/>
            <w:bottom w:w="0" w:type="dxa"/>
            <w:right w:w="0" w:type="dxa"/>
          </w:tblCellMar>
        </w:tblPrEx>
        <w:trPr>
          <w:trHeight w:val="495" w:hRule="atLeast"/>
          <w:jc w:val="center"/>
        </w:trPr>
        <w:tc>
          <w:tcPr>
            <w:tcW w:w="622" w:type="dxa"/>
            <w:vMerge w:val="continue"/>
            <w:tcBorders>
              <w:left w:val="single" w:color="000000" w:sz="4" w:space="0"/>
              <w:right w:val="single" w:color="000000" w:sz="4" w:space="0"/>
            </w:tcBorders>
            <w:noWrap/>
            <w:tcMar>
              <w:top w:w="15" w:type="dxa"/>
              <w:left w:w="15" w:type="dxa"/>
              <w:right w:w="15" w:type="dxa"/>
            </w:tcMar>
            <w:vAlign w:val="center"/>
          </w:tcPr>
          <w:p w14:paraId="0609B563">
            <w:pPr>
              <w:widowControl/>
              <w:jc w:val="center"/>
              <w:textAlignment w:val="center"/>
              <w:rPr>
                <w:rFonts w:ascii="宋体" w:hAnsi="宋体" w:cs="宋体"/>
                <w:color w:val="000000"/>
                <w:sz w:val="24"/>
              </w:rPr>
            </w:pPr>
          </w:p>
        </w:tc>
        <w:tc>
          <w:tcPr>
            <w:tcW w:w="733"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14:paraId="278B98A8">
            <w:pPr>
              <w:widowControl/>
              <w:jc w:val="center"/>
              <w:textAlignment w:val="center"/>
              <w:rPr>
                <w:rFonts w:ascii="宋体" w:hAnsi="宋体" w:cs="宋体"/>
                <w:color w:val="000000"/>
                <w:sz w:val="24"/>
              </w:rPr>
            </w:pPr>
            <w:r>
              <w:rPr>
                <w:rFonts w:hint="eastAsia" w:ascii="宋体" w:hAnsi="宋体" w:cs="宋体"/>
                <w:color w:val="000000"/>
                <w:kern w:val="0"/>
                <w:sz w:val="24"/>
              </w:rPr>
              <w:t>产出指标</w:t>
            </w:r>
          </w:p>
        </w:tc>
        <w:tc>
          <w:tcPr>
            <w:tcW w:w="1833"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14:paraId="2BFD1D8F">
            <w:pPr>
              <w:widowControl/>
              <w:jc w:val="center"/>
              <w:textAlignment w:val="center"/>
              <w:rPr>
                <w:rFonts w:ascii="宋体" w:hAnsi="宋体" w:cs="宋体"/>
                <w:color w:val="000000"/>
                <w:sz w:val="24"/>
              </w:rPr>
            </w:pPr>
            <w:r>
              <w:rPr>
                <w:rFonts w:hint="eastAsia" w:ascii="宋体" w:hAnsi="宋体" w:cs="宋体"/>
                <w:color w:val="000000"/>
                <w:kern w:val="0"/>
                <w:sz w:val="20"/>
                <w:szCs w:val="20"/>
              </w:rPr>
              <w:t>数量指标</w:t>
            </w:r>
          </w:p>
        </w:tc>
        <w:tc>
          <w:tcPr>
            <w:tcW w:w="25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E46B14">
            <w:pPr>
              <w:widowControl/>
              <w:jc w:val="center"/>
              <w:textAlignment w:val="center"/>
              <w:rPr>
                <w:rFonts w:ascii="宋体" w:hAnsi="宋体" w:cs="宋体"/>
                <w:color w:val="000000"/>
                <w:sz w:val="24"/>
              </w:rPr>
            </w:pPr>
            <w:r>
              <w:rPr>
                <w:rFonts w:hint="eastAsia" w:ascii="宋体" w:hAnsi="宋体" w:cs="宋体"/>
                <w:color w:val="000000"/>
                <w:sz w:val="24"/>
              </w:rPr>
              <w:t>资金下达数</w:t>
            </w:r>
          </w:p>
        </w:tc>
        <w:tc>
          <w:tcPr>
            <w:tcW w:w="18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EF5F18">
            <w:pPr>
              <w:widowControl/>
              <w:jc w:val="center"/>
              <w:textAlignment w:val="center"/>
              <w:rPr>
                <w:rFonts w:ascii="宋体" w:hAnsi="宋体" w:cs="宋体"/>
                <w:color w:val="000000"/>
                <w:sz w:val="24"/>
              </w:rPr>
            </w:pPr>
            <w:r>
              <w:rPr>
                <w:rFonts w:hint="eastAsia" w:ascii="宋体" w:hAnsi="宋体" w:cs="宋体"/>
                <w:color w:val="000000"/>
                <w:sz w:val="24"/>
              </w:rPr>
              <w:t>45</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F9475D">
            <w:pPr>
              <w:widowControl/>
              <w:jc w:val="center"/>
              <w:textAlignment w:val="center"/>
              <w:rPr>
                <w:rFonts w:ascii="宋体" w:hAnsi="宋体" w:cs="宋体"/>
                <w:color w:val="000000"/>
                <w:sz w:val="24"/>
              </w:rPr>
            </w:pPr>
            <w:r>
              <w:rPr>
                <w:rFonts w:hint="eastAsia" w:ascii="宋体" w:hAnsi="宋体" w:cs="宋体"/>
                <w:color w:val="000000"/>
                <w:sz w:val="24"/>
              </w:rPr>
              <w:t>33.75</w:t>
            </w:r>
          </w:p>
        </w:tc>
      </w:tr>
      <w:tr w14:paraId="55D66F41">
        <w:tblPrEx>
          <w:tblCellMar>
            <w:top w:w="0" w:type="dxa"/>
            <w:left w:w="0" w:type="dxa"/>
            <w:bottom w:w="0" w:type="dxa"/>
            <w:right w:w="0" w:type="dxa"/>
          </w:tblCellMar>
        </w:tblPrEx>
        <w:trPr>
          <w:trHeight w:val="511" w:hRule="atLeast"/>
          <w:jc w:val="center"/>
        </w:trPr>
        <w:tc>
          <w:tcPr>
            <w:tcW w:w="622" w:type="dxa"/>
            <w:vMerge w:val="continue"/>
            <w:tcBorders>
              <w:left w:val="single" w:color="000000" w:sz="4" w:space="0"/>
              <w:right w:val="single" w:color="000000" w:sz="4" w:space="0"/>
            </w:tcBorders>
            <w:noWrap/>
            <w:tcMar>
              <w:top w:w="15" w:type="dxa"/>
              <w:left w:w="15" w:type="dxa"/>
              <w:right w:w="15" w:type="dxa"/>
            </w:tcMar>
            <w:vAlign w:val="center"/>
          </w:tcPr>
          <w:p w14:paraId="1D86C7E0">
            <w:pPr>
              <w:widowControl/>
              <w:jc w:val="center"/>
              <w:textAlignment w:val="center"/>
              <w:rPr>
                <w:rFonts w:ascii="宋体" w:hAnsi="宋体" w:cs="宋体"/>
                <w:color w:val="000000"/>
                <w:sz w:val="24"/>
              </w:rPr>
            </w:pPr>
          </w:p>
        </w:tc>
        <w:tc>
          <w:tcPr>
            <w:tcW w:w="733" w:type="dxa"/>
            <w:vMerge w:val="continue"/>
            <w:tcBorders>
              <w:left w:val="single" w:color="000000" w:sz="4" w:space="0"/>
              <w:right w:val="single" w:color="000000" w:sz="4" w:space="0"/>
            </w:tcBorders>
            <w:noWrap/>
            <w:tcMar>
              <w:top w:w="15" w:type="dxa"/>
              <w:left w:w="15" w:type="dxa"/>
              <w:right w:w="15" w:type="dxa"/>
            </w:tcMar>
            <w:vAlign w:val="center"/>
          </w:tcPr>
          <w:p w14:paraId="25D07FA4">
            <w:pPr>
              <w:widowControl/>
              <w:jc w:val="center"/>
              <w:textAlignment w:val="center"/>
              <w:rPr>
                <w:rFonts w:ascii="宋体" w:hAnsi="宋体" w:cs="宋体"/>
                <w:color w:val="000000"/>
                <w:kern w:val="0"/>
                <w:sz w:val="24"/>
              </w:rPr>
            </w:pPr>
          </w:p>
        </w:tc>
        <w:tc>
          <w:tcPr>
            <w:tcW w:w="1833" w:type="dxa"/>
            <w:vMerge w:val="continue"/>
            <w:tcBorders>
              <w:left w:val="single" w:color="000000" w:sz="4" w:space="0"/>
              <w:right w:val="single" w:color="000000" w:sz="4" w:space="0"/>
            </w:tcBorders>
            <w:noWrap/>
            <w:tcMar>
              <w:top w:w="15" w:type="dxa"/>
              <w:left w:w="15" w:type="dxa"/>
              <w:right w:w="15" w:type="dxa"/>
            </w:tcMar>
            <w:vAlign w:val="center"/>
          </w:tcPr>
          <w:p w14:paraId="333D549B">
            <w:pPr>
              <w:widowControl/>
              <w:jc w:val="center"/>
              <w:textAlignment w:val="center"/>
              <w:rPr>
                <w:rFonts w:ascii="宋体" w:hAnsi="宋体" w:cs="宋体"/>
                <w:color w:val="000000"/>
                <w:sz w:val="24"/>
              </w:rPr>
            </w:pPr>
          </w:p>
        </w:tc>
        <w:tc>
          <w:tcPr>
            <w:tcW w:w="25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5E8A98">
            <w:pPr>
              <w:widowControl/>
              <w:jc w:val="center"/>
              <w:textAlignment w:val="center"/>
              <w:rPr>
                <w:rFonts w:ascii="宋体" w:hAnsi="宋体" w:cs="宋体"/>
                <w:color w:val="000000"/>
                <w:sz w:val="24"/>
              </w:rPr>
            </w:pPr>
            <w:r>
              <w:rPr>
                <w:rFonts w:hint="eastAsia" w:ascii="宋体" w:hAnsi="宋体" w:cs="宋体"/>
                <w:color w:val="000000"/>
                <w:sz w:val="24"/>
              </w:rPr>
              <w:t>资金下达率</w:t>
            </w:r>
          </w:p>
        </w:tc>
        <w:tc>
          <w:tcPr>
            <w:tcW w:w="18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D40946">
            <w:pPr>
              <w:widowControl/>
              <w:jc w:val="center"/>
              <w:textAlignment w:val="center"/>
              <w:rPr>
                <w:rFonts w:ascii="宋体" w:hAnsi="宋体" w:cs="宋体"/>
                <w:color w:val="000000"/>
                <w:sz w:val="24"/>
              </w:rPr>
            </w:pPr>
            <w:r>
              <w:rPr>
                <w:rFonts w:hint="eastAsia"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CEAC02">
            <w:pPr>
              <w:widowControl/>
              <w:jc w:val="center"/>
              <w:textAlignment w:val="center"/>
              <w:rPr>
                <w:rFonts w:ascii="宋体" w:hAnsi="宋体" w:cs="宋体"/>
                <w:color w:val="000000"/>
                <w:sz w:val="24"/>
              </w:rPr>
            </w:pPr>
            <w:r>
              <w:rPr>
                <w:rFonts w:hint="eastAsia" w:ascii="宋体" w:hAnsi="宋体" w:cs="宋体"/>
                <w:color w:val="000000"/>
                <w:sz w:val="24"/>
              </w:rPr>
              <w:t>75%</w:t>
            </w:r>
          </w:p>
        </w:tc>
      </w:tr>
      <w:tr w14:paraId="3B39F809">
        <w:tblPrEx>
          <w:tblCellMar>
            <w:top w:w="0" w:type="dxa"/>
            <w:left w:w="0" w:type="dxa"/>
            <w:bottom w:w="0" w:type="dxa"/>
            <w:right w:w="0" w:type="dxa"/>
          </w:tblCellMar>
        </w:tblPrEx>
        <w:trPr>
          <w:trHeight w:val="383" w:hRule="atLeast"/>
          <w:jc w:val="center"/>
        </w:trPr>
        <w:tc>
          <w:tcPr>
            <w:tcW w:w="622" w:type="dxa"/>
            <w:vMerge w:val="continue"/>
            <w:tcBorders>
              <w:left w:val="single" w:color="000000" w:sz="4" w:space="0"/>
              <w:right w:val="single" w:color="000000" w:sz="4" w:space="0"/>
            </w:tcBorders>
            <w:noWrap/>
            <w:tcMar>
              <w:top w:w="15" w:type="dxa"/>
              <w:left w:w="15" w:type="dxa"/>
              <w:right w:w="15" w:type="dxa"/>
            </w:tcMar>
            <w:vAlign w:val="center"/>
          </w:tcPr>
          <w:p w14:paraId="0514E882">
            <w:pPr>
              <w:widowControl/>
              <w:jc w:val="center"/>
              <w:textAlignment w:val="center"/>
              <w:rPr>
                <w:rFonts w:ascii="宋体" w:hAnsi="宋体" w:cs="宋体"/>
                <w:color w:val="000000"/>
                <w:sz w:val="24"/>
              </w:rPr>
            </w:pPr>
          </w:p>
        </w:tc>
        <w:tc>
          <w:tcPr>
            <w:tcW w:w="733" w:type="dxa"/>
            <w:vMerge w:val="continue"/>
            <w:tcBorders>
              <w:left w:val="single" w:color="000000" w:sz="4" w:space="0"/>
              <w:right w:val="single" w:color="000000" w:sz="4" w:space="0"/>
            </w:tcBorders>
            <w:noWrap/>
            <w:tcMar>
              <w:top w:w="15" w:type="dxa"/>
              <w:left w:w="15" w:type="dxa"/>
              <w:right w:w="15" w:type="dxa"/>
            </w:tcMar>
            <w:vAlign w:val="center"/>
          </w:tcPr>
          <w:p w14:paraId="09E2CF80">
            <w:pPr>
              <w:widowControl/>
              <w:jc w:val="center"/>
              <w:textAlignment w:val="center"/>
              <w:rPr>
                <w:rFonts w:ascii="宋体" w:hAnsi="宋体" w:cs="宋体"/>
                <w:color w:val="000000"/>
                <w:kern w:val="0"/>
                <w:sz w:val="24"/>
              </w:rPr>
            </w:pPr>
          </w:p>
        </w:tc>
        <w:tc>
          <w:tcPr>
            <w:tcW w:w="1833"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14:paraId="32B514F5">
            <w:pPr>
              <w:widowControl/>
              <w:jc w:val="center"/>
              <w:textAlignment w:val="center"/>
              <w:rPr>
                <w:rFonts w:ascii="宋体" w:hAnsi="宋体" w:cs="宋体"/>
                <w:color w:val="000000"/>
                <w:sz w:val="24"/>
              </w:rPr>
            </w:pPr>
          </w:p>
        </w:tc>
        <w:tc>
          <w:tcPr>
            <w:tcW w:w="25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11AEA7">
            <w:pPr>
              <w:widowControl/>
              <w:jc w:val="center"/>
              <w:textAlignment w:val="center"/>
              <w:rPr>
                <w:rFonts w:ascii="宋体" w:hAnsi="宋体" w:cs="宋体"/>
                <w:color w:val="000000"/>
                <w:sz w:val="24"/>
              </w:rPr>
            </w:pPr>
            <w:r>
              <w:rPr>
                <w:rFonts w:hint="eastAsia" w:ascii="宋体" w:hAnsi="宋体" w:cs="宋体"/>
                <w:color w:val="000000"/>
                <w:sz w:val="24"/>
              </w:rPr>
              <w:t>保证村（社区）个数</w:t>
            </w:r>
          </w:p>
        </w:tc>
        <w:tc>
          <w:tcPr>
            <w:tcW w:w="18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5806F3">
            <w:pPr>
              <w:widowControl/>
              <w:jc w:val="center"/>
              <w:textAlignment w:val="center"/>
              <w:rPr>
                <w:rFonts w:ascii="宋体" w:hAnsi="宋体" w:cs="宋体"/>
                <w:color w:val="000000"/>
                <w:sz w:val="24"/>
              </w:rPr>
            </w:pPr>
            <w:r>
              <w:rPr>
                <w:rFonts w:hint="eastAsia" w:ascii="宋体" w:hAnsi="宋体" w:cs="宋体"/>
                <w:color w:val="000000"/>
                <w:sz w:val="24"/>
              </w:rPr>
              <w:t>5</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CB5309">
            <w:pPr>
              <w:widowControl/>
              <w:jc w:val="center"/>
              <w:textAlignment w:val="center"/>
              <w:rPr>
                <w:rFonts w:ascii="宋体" w:hAnsi="宋体" w:cs="宋体"/>
                <w:color w:val="000000"/>
                <w:sz w:val="24"/>
              </w:rPr>
            </w:pPr>
            <w:r>
              <w:rPr>
                <w:rFonts w:hint="eastAsia" w:ascii="宋体" w:hAnsi="宋体" w:cs="宋体"/>
                <w:color w:val="000000"/>
                <w:sz w:val="24"/>
              </w:rPr>
              <w:t>5</w:t>
            </w:r>
          </w:p>
        </w:tc>
      </w:tr>
      <w:tr w14:paraId="53788AB2">
        <w:tblPrEx>
          <w:tblCellMar>
            <w:top w:w="0" w:type="dxa"/>
            <w:left w:w="0" w:type="dxa"/>
            <w:bottom w:w="0" w:type="dxa"/>
            <w:right w:w="0" w:type="dxa"/>
          </w:tblCellMar>
        </w:tblPrEx>
        <w:trPr>
          <w:trHeight w:val="361" w:hRule="atLeast"/>
          <w:jc w:val="center"/>
        </w:trPr>
        <w:tc>
          <w:tcPr>
            <w:tcW w:w="622" w:type="dxa"/>
            <w:vMerge w:val="continue"/>
            <w:tcBorders>
              <w:left w:val="single" w:color="000000" w:sz="4" w:space="0"/>
              <w:right w:val="single" w:color="000000" w:sz="4" w:space="0"/>
            </w:tcBorders>
            <w:noWrap/>
            <w:tcMar>
              <w:top w:w="15" w:type="dxa"/>
              <w:left w:w="15" w:type="dxa"/>
              <w:right w:w="15" w:type="dxa"/>
            </w:tcMar>
            <w:vAlign w:val="center"/>
          </w:tcPr>
          <w:p w14:paraId="16C95207">
            <w:pPr>
              <w:widowControl/>
              <w:jc w:val="center"/>
              <w:textAlignment w:val="center"/>
              <w:rPr>
                <w:rFonts w:ascii="宋体" w:hAnsi="宋体" w:cs="宋体"/>
                <w:color w:val="000000"/>
                <w:sz w:val="24"/>
              </w:rPr>
            </w:pPr>
          </w:p>
        </w:tc>
        <w:tc>
          <w:tcPr>
            <w:tcW w:w="733" w:type="dxa"/>
            <w:vMerge w:val="continue"/>
            <w:tcBorders>
              <w:left w:val="single" w:color="000000" w:sz="4" w:space="0"/>
              <w:right w:val="single" w:color="000000" w:sz="4" w:space="0"/>
            </w:tcBorders>
            <w:noWrap/>
            <w:tcMar>
              <w:top w:w="15" w:type="dxa"/>
              <w:left w:w="15" w:type="dxa"/>
              <w:right w:w="15" w:type="dxa"/>
            </w:tcMar>
            <w:vAlign w:val="center"/>
          </w:tcPr>
          <w:p w14:paraId="78594240">
            <w:pPr>
              <w:widowControl/>
              <w:jc w:val="center"/>
              <w:textAlignment w:val="center"/>
              <w:rPr>
                <w:rFonts w:ascii="宋体" w:hAnsi="宋体" w:cs="宋体"/>
                <w:color w:val="000000"/>
                <w:kern w:val="0"/>
                <w:sz w:val="24"/>
              </w:rPr>
            </w:pPr>
          </w:p>
        </w:tc>
        <w:tc>
          <w:tcPr>
            <w:tcW w:w="1833"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14:paraId="3E006131">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5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0E1123">
            <w:pPr>
              <w:widowControl/>
              <w:jc w:val="center"/>
              <w:textAlignment w:val="center"/>
              <w:rPr>
                <w:rFonts w:ascii="宋体" w:hAnsi="宋体" w:cs="宋体"/>
                <w:color w:val="000000"/>
                <w:sz w:val="24"/>
              </w:rPr>
            </w:pPr>
            <w:r>
              <w:rPr>
                <w:rFonts w:hint="eastAsia" w:ascii="宋体" w:hAnsi="宋体" w:cs="宋体"/>
                <w:color w:val="000000"/>
                <w:sz w:val="24"/>
              </w:rPr>
              <w:t>使用数</w:t>
            </w:r>
          </w:p>
        </w:tc>
        <w:tc>
          <w:tcPr>
            <w:tcW w:w="18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1EE5AA">
            <w:pPr>
              <w:widowControl/>
              <w:jc w:val="center"/>
              <w:textAlignment w:val="center"/>
              <w:rPr>
                <w:rFonts w:ascii="宋体" w:hAnsi="宋体" w:cs="宋体"/>
                <w:color w:val="000000"/>
                <w:sz w:val="24"/>
              </w:rPr>
            </w:pPr>
            <w:r>
              <w:rPr>
                <w:rFonts w:hint="eastAsia" w:ascii="宋体" w:hAnsi="宋体" w:cs="宋体"/>
                <w:color w:val="000000"/>
                <w:sz w:val="24"/>
              </w:rPr>
              <w:t>45</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B0B7F8">
            <w:pPr>
              <w:widowControl/>
              <w:jc w:val="center"/>
              <w:textAlignment w:val="center"/>
              <w:rPr>
                <w:rFonts w:ascii="宋体" w:hAnsi="宋体" w:cs="宋体"/>
                <w:color w:val="000000"/>
                <w:sz w:val="24"/>
              </w:rPr>
            </w:pPr>
            <w:r>
              <w:rPr>
                <w:rFonts w:hint="eastAsia" w:ascii="宋体" w:hAnsi="宋体" w:cs="宋体"/>
                <w:color w:val="000000"/>
                <w:sz w:val="24"/>
              </w:rPr>
              <w:t>33.75</w:t>
            </w:r>
          </w:p>
        </w:tc>
      </w:tr>
      <w:tr w14:paraId="5246C1DC">
        <w:tblPrEx>
          <w:tblCellMar>
            <w:top w:w="0" w:type="dxa"/>
            <w:left w:w="0" w:type="dxa"/>
            <w:bottom w:w="0" w:type="dxa"/>
            <w:right w:w="0" w:type="dxa"/>
          </w:tblCellMar>
        </w:tblPrEx>
        <w:trPr>
          <w:trHeight w:val="361" w:hRule="atLeast"/>
          <w:jc w:val="center"/>
        </w:trPr>
        <w:tc>
          <w:tcPr>
            <w:tcW w:w="622" w:type="dxa"/>
            <w:vMerge w:val="continue"/>
            <w:tcBorders>
              <w:left w:val="single" w:color="000000" w:sz="4" w:space="0"/>
              <w:right w:val="single" w:color="000000" w:sz="4" w:space="0"/>
            </w:tcBorders>
            <w:noWrap/>
            <w:tcMar>
              <w:top w:w="15" w:type="dxa"/>
              <w:left w:w="15" w:type="dxa"/>
              <w:right w:w="15" w:type="dxa"/>
            </w:tcMar>
            <w:vAlign w:val="center"/>
          </w:tcPr>
          <w:p w14:paraId="2440FB94">
            <w:pPr>
              <w:widowControl/>
              <w:jc w:val="center"/>
              <w:textAlignment w:val="center"/>
              <w:rPr>
                <w:rFonts w:ascii="宋体" w:hAnsi="宋体" w:cs="宋体"/>
                <w:color w:val="000000"/>
                <w:sz w:val="24"/>
              </w:rPr>
            </w:pPr>
          </w:p>
        </w:tc>
        <w:tc>
          <w:tcPr>
            <w:tcW w:w="733" w:type="dxa"/>
            <w:vMerge w:val="continue"/>
            <w:tcBorders>
              <w:left w:val="single" w:color="000000" w:sz="4" w:space="0"/>
              <w:right w:val="single" w:color="000000" w:sz="4" w:space="0"/>
            </w:tcBorders>
            <w:noWrap/>
            <w:tcMar>
              <w:top w:w="15" w:type="dxa"/>
              <w:left w:w="15" w:type="dxa"/>
              <w:right w:w="15" w:type="dxa"/>
            </w:tcMar>
            <w:vAlign w:val="center"/>
          </w:tcPr>
          <w:p w14:paraId="2D389D23">
            <w:pPr>
              <w:widowControl/>
              <w:jc w:val="center"/>
              <w:textAlignment w:val="center"/>
              <w:rPr>
                <w:rFonts w:ascii="宋体" w:hAnsi="宋体" w:cs="宋体"/>
                <w:color w:val="000000"/>
                <w:kern w:val="0"/>
                <w:sz w:val="24"/>
              </w:rPr>
            </w:pPr>
          </w:p>
        </w:tc>
        <w:tc>
          <w:tcPr>
            <w:tcW w:w="1833"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14:paraId="447B6323">
            <w:pPr>
              <w:widowControl/>
              <w:jc w:val="center"/>
              <w:textAlignment w:val="center"/>
              <w:rPr>
                <w:rFonts w:ascii="宋体" w:hAnsi="宋体" w:cs="宋体"/>
                <w:color w:val="000000"/>
                <w:sz w:val="24"/>
              </w:rPr>
            </w:pPr>
          </w:p>
        </w:tc>
        <w:tc>
          <w:tcPr>
            <w:tcW w:w="25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A00247">
            <w:pPr>
              <w:widowControl/>
              <w:jc w:val="center"/>
              <w:textAlignment w:val="center"/>
              <w:rPr>
                <w:rFonts w:ascii="宋体" w:hAnsi="宋体" w:cs="宋体"/>
                <w:color w:val="000000"/>
                <w:sz w:val="24"/>
              </w:rPr>
            </w:pPr>
            <w:r>
              <w:rPr>
                <w:rFonts w:hint="eastAsia" w:ascii="宋体" w:hAnsi="宋体" w:cs="宋体"/>
                <w:color w:val="000000"/>
                <w:sz w:val="24"/>
              </w:rPr>
              <w:t>使用率</w:t>
            </w:r>
          </w:p>
        </w:tc>
        <w:tc>
          <w:tcPr>
            <w:tcW w:w="18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2B0B1D">
            <w:pPr>
              <w:widowControl/>
              <w:jc w:val="center"/>
              <w:textAlignment w:val="center"/>
              <w:rPr>
                <w:rFonts w:ascii="宋体" w:hAnsi="宋体" w:cs="宋体"/>
                <w:color w:val="000000"/>
                <w:sz w:val="24"/>
              </w:rPr>
            </w:pPr>
            <w:r>
              <w:rPr>
                <w:rFonts w:hint="eastAsia"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11C302">
            <w:pPr>
              <w:widowControl/>
              <w:jc w:val="center"/>
              <w:textAlignment w:val="center"/>
              <w:rPr>
                <w:rFonts w:ascii="宋体" w:hAnsi="宋体" w:cs="宋体"/>
                <w:color w:val="000000"/>
                <w:sz w:val="24"/>
              </w:rPr>
            </w:pPr>
            <w:r>
              <w:rPr>
                <w:rFonts w:hint="eastAsia" w:ascii="宋体" w:hAnsi="宋体" w:cs="宋体"/>
                <w:color w:val="000000"/>
                <w:sz w:val="24"/>
              </w:rPr>
              <w:t>75%</w:t>
            </w:r>
          </w:p>
        </w:tc>
      </w:tr>
      <w:tr w14:paraId="042E9541">
        <w:tblPrEx>
          <w:tblCellMar>
            <w:top w:w="0" w:type="dxa"/>
            <w:left w:w="0" w:type="dxa"/>
            <w:bottom w:w="0" w:type="dxa"/>
            <w:right w:w="0" w:type="dxa"/>
          </w:tblCellMar>
        </w:tblPrEx>
        <w:trPr>
          <w:trHeight w:val="361" w:hRule="atLeast"/>
          <w:jc w:val="center"/>
        </w:trPr>
        <w:tc>
          <w:tcPr>
            <w:tcW w:w="622" w:type="dxa"/>
            <w:vMerge w:val="continue"/>
            <w:tcBorders>
              <w:left w:val="single" w:color="000000" w:sz="4" w:space="0"/>
              <w:right w:val="single" w:color="000000" w:sz="4" w:space="0"/>
            </w:tcBorders>
            <w:noWrap/>
            <w:tcMar>
              <w:top w:w="15" w:type="dxa"/>
              <w:left w:w="15" w:type="dxa"/>
              <w:right w:w="15" w:type="dxa"/>
            </w:tcMar>
            <w:vAlign w:val="center"/>
          </w:tcPr>
          <w:p w14:paraId="6FB9D4C1">
            <w:pPr>
              <w:widowControl/>
              <w:jc w:val="center"/>
              <w:textAlignment w:val="center"/>
              <w:rPr>
                <w:rFonts w:ascii="宋体" w:hAnsi="宋体" w:cs="宋体"/>
                <w:color w:val="000000"/>
                <w:sz w:val="24"/>
              </w:rPr>
            </w:pPr>
          </w:p>
        </w:tc>
        <w:tc>
          <w:tcPr>
            <w:tcW w:w="733" w:type="dxa"/>
            <w:vMerge w:val="continue"/>
            <w:tcBorders>
              <w:left w:val="single" w:color="000000" w:sz="4" w:space="0"/>
              <w:right w:val="single" w:color="000000" w:sz="4" w:space="0"/>
            </w:tcBorders>
            <w:noWrap/>
            <w:tcMar>
              <w:top w:w="15" w:type="dxa"/>
              <w:left w:w="15" w:type="dxa"/>
              <w:right w:w="15" w:type="dxa"/>
            </w:tcMar>
            <w:vAlign w:val="center"/>
          </w:tcPr>
          <w:p w14:paraId="31FD9A7A">
            <w:pPr>
              <w:widowControl/>
              <w:jc w:val="center"/>
              <w:textAlignment w:val="center"/>
              <w:rPr>
                <w:rFonts w:ascii="宋体" w:hAnsi="宋体" w:cs="宋体"/>
                <w:color w:val="000000"/>
                <w:kern w:val="0"/>
                <w:sz w:val="24"/>
              </w:rPr>
            </w:pPr>
          </w:p>
        </w:tc>
        <w:tc>
          <w:tcPr>
            <w:tcW w:w="1833"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14:paraId="3F04274A">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5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09235F">
            <w:pPr>
              <w:widowControl/>
              <w:jc w:val="center"/>
              <w:textAlignment w:val="center"/>
              <w:rPr>
                <w:rFonts w:ascii="宋体" w:hAnsi="宋体" w:cs="宋体"/>
                <w:color w:val="000000"/>
                <w:sz w:val="24"/>
              </w:rPr>
            </w:pPr>
            <w:r>
              <w:rPr>
                <w:rFonts w:hint="eastAsia" w:ascii="宋体" w:hAnsi="宋体" w:cs="宋体"/>
                <w:color w:val="000000"/>
                <w:sz w:val="24"/>
              </w:rPr>
              <w:t>完成时间</w:t>
            </w:r>
          </w:p>
        </w:tc>
        <w:tc>
          <w:tcPr>
            <w:tcW w:w="18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2207A6">
            <w:pPr>
              <w:widowControl/>
              <w:jc w:val="center"/>
              <w:textAlignment w:val="center"/>
              <w:rPr>
                <w:rFonts w:ascii="宋体" w:hAnsi="宋体" w:cs="宋体"/>
                <w:color w:val="000000"/>
                <w:sz w:val="24"/>
              </w:rPr>
            </w:pPr>
            <w:r>
              <w:rPr>
                <w:rFonts w:hint="eastAsia" w:ascii="宋体" w:hAnsi="宋体" w:cs="宋体"/>
                <w:color w:val="000000"/>
                <w:sz w:val="24"/>
              </w:rPr>
              <w:t>2020年1月1日</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D8658E">
            <w:pPr>
              <w:widowControl/>
              <w:jc w:val="center"/>
              <w:textAlignment w:val="center"/>
              <w:rPr>
                <w:rFonts w:ascii="宋体" w:hAnsi="宋体" w:cs="宋体"/>
                <w:color w:val="000000"/>
                <w:sz w:val="24"/>
              </w:rPr>
            </w:pPr>
            <w:r>
              <w:rPr>
                <w:rFonts w:hint="eastAsia" w:ascii="宋体" w:hAnsi="宋体" w:cs="宋体"/>
                <w:color w:val="000000"/>
                <w:sz w:val="24"/>
              </w:rPr>
              <w:t>2020年12月30日</w:t>
            </w:r>
          </w:p>
        </w:tc>
      </w:tr>
      <w:tr w14:paraId="1C32B7B7">
        <w:tblPrEx>
          <w:tblCellMar>
            <w:top w:w="0" w:type="dxa"/>
            <w:left w:w="0" w:type="dxa"/>
            <w:bottom w:w="0" w:type="dxa"/>
            <w:right w:w="0" w:type="dxa"/>
          </w:tblCellMar>
        </w:tblPrEx>
        <w:trPr>
          <w:trHeight w:val="361" w:hRule="atLeast"/>
          <w:jc w:val="center"/>
        </w:trPr>
        <w:tc>
          <w:tcPr>
            <w:tcW w:w="622" w:type="dxa"/>
            <w:vMerge w:val="continue"/>
            <w:tcBorders>
              <w:left w:val="single" w:color="000000" w:sz="4" w:space="0"/>
              <w:right w:val="single" w:color="000000" w:sz="4" w:space="0"/>
            </w:tcBorders>
            <w:noWrap/>
            <w:tcMar>
              <w:top w:w="15" w:type="dxa"/>
              <w:left w:w="15" w:type="dxa"/>
              <w:right w:w="15" w:type="dxa"/>
            </w:tcMar>
            <w:vAlign w:val="center"/>
          </w:tcPr>
          <w:p w14:paraId="10FE0F03">
            <w:pPr>
              <w:widowControl/>
              <w:jc w:val="center"/>
              <w:textAlignment w:val="center"/>
              <w:rPr>
                <w:rFonts w:ascii="宋体" w:hAnsi="宋体" w:cs="宋体"/>
                <w:color w:val="000000"/>
                <w:sz w:val="24"/>
              </w:rPr>
            </w:pPr>
          </w:p>
        </w:tc>
        <w:tc>
          <w:tcPr>
            <w:tcW w:w="733" w:type="dxa"/>
            <w:vMerge w:val="continue"/>
            <w:tcBorders>
              <w:left w:val="single" w:color="000000" w:sz="4" w:space="0"/>
              <w:right w:val="single" w:color="000000" w:sz="4" w:space="0"/>
            </w:tcBorders>
            <w:noWrap/>
            <w:tcMar>
              <w:top w:w="15" w:type="dxa"/>
              <w:left w:w="15" w:type="dxa"/>
              <w:right w:w="15" w:type="dxa"/>
            </w:tcMar>
            <w:vAlign w:val="center"/>
          </w:tcPr>
          <w:p w14:paraId="023385AD">
            <w:pPr>
              <w:widowControl/>
              <w:jc w:val="center"/>
              <w:textAlignment w:val="center"/>
              <w:rPr>
                <w:rFonts w:ascii="宋体" w:hAnsi="宋体" w:cs="宋体"/>
                <w:color w:val="000000"/>
                <w:kern w:val="0"/>
                <w:sz w:val="24"/>
              </w:rPr>
            </w:pPr>
          </w:p>
        </w:tc>
        <w:tc>
          <w:tcPr>
            <w:tcW w:w="1833"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14:paraId="620A73D0">
            <w:pPr>
              <w:widowControl/>
              <w:jc w:val="center"/>
              <w:textAlignment w:val="center"/>
              <w:rPr>
                <w:rFonts w:ascii="宋体" w:hAnsi="宋体" w:cs="宋体"/>
                <w:color w:val="000000"/>
                <w:sz w:val="24"/>
              </w:rPr>
            </w:pPr>
          </w:p>
        </w:tc>
        <w:tc>
          <w:tcPr>
            <w:tcW w:w="25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9AEF2E">
            <w:pPr>
              <w:widowControl/>
              <w:jc w:val="center"/>
              <w:textAlignment w:val="center"/>
              <w:rPr>
                <w:rFonts w:ascii="宋体" w:hAnsi="宋体" w:cs="宋体"/>
                <w:color w:val="000000"/>
                <w:sz w:val="24"/>
              </w:rPr>
            </w:pPr>
            <w:r>
              <w:rPr>
                <w:rFonts w:hint="eastAsia" w:ascii="宋体" w:hAnsi="宋体" w:cs="宋体"/>
                <w:color w:val="000000"/>
                <w:sz w:val="24"/>
              </w:rPr>
              <w:t>项目完成及时率</w:t>
            </w:r>
          </w:p>
        </w:tc>
        <w:tc>
          <w:tcPr>
            <w:tcW w:w="18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B97467">
            <w:pPr>
              <w:widowControl/>
              <w:jc w:val="center"/>
              <w:textAlignment w:val="center"/>
              <w:rPr>
                <w:rFonts w:ascii="宋体" w:hAnsi="宋体" w:cs="宋体"/>
                <w:color w:val="000000"/>
                <w:sz w:val="24"/>
              </w:rPr>
            </w:pPr>
            <w:r>
              <w:rPr>
                <w:rFonts w:hint="eastAsia"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368940">
            <w:pPr>
              <w:widowControl/>
              <w:jc w:val="center"/>
              <w:textAlignment w:val="center"/>
              <w:rPr>
                <w:rFonts w:ascii="宋体" w:hAnsi="宋体" w:cs="宋体"/>
                <w:color w:val="000000"/>
                <w:sz w:val="24"/>
              </w:rPr>
            </w:pPr>
            <w:r>
              <w:rPr>
                <w:rFonts w:hint="eastAsia" w:ascii="宋体" w:hAnsi="宋体" w:cs="宋体"/>
                <w:color w:val="000000"/>
                <w:sz w:val="24"/>
              </w:rPr>
              <w:t>100%</w:t>
            </w:r>
          </w:p>
        </w:tc>
      </w:tr>
      <w:tr w14:paraId="1D9FE8ED">
        <w:tblPrEx>
          <w:tblCellMar>
            <w:top w:w="0" w:type="dxa"/>
            <w:left w:w="0" w:type="dxa"/>
            <w:bottom w:w="0" w:type="dxa"/>
            <w:right w:w="0" w:type="dxa"/>
          </w:tblCellMar>
        </w:tblPrEx>
        <w:trPr>
          <w:trHeight w:val="361" w:hRule="atLeast"/>
          <w:jc w:val="center"/>
        </w:trPr>
        <w:tc>
          <w:tcPr>
            <w:tcW w:w="622" w:type="dxa"/>
            <w:vMerge w:val="continue"/>
            <w:tcBorders>
              <w:left w:val="single" w:color="000000" w:sz="4" w:space="0"/>
              <w:right w:val="single" w:color="000000" w:sz="4" w:space="0"/>
            </w:tcBorders>
            <w:noWrap/>
            <w:tcMar>
              <w:top w:w="15" w:type="dxa"/>
              <w:left w:w="15" w:type="dxa"/>
              <w:right w:w="15" w:type="dxa"/>
            </w:tcMar>
            <w:vAlign w:val="center"/>
          </w:tcPr>
          <w:p w14:paraId="4E8CB80C">
            <w:pPr>
              <w:widowControl/>
              <w:jc w:val="center"/>
              <w:textAlignment w:val="center"/>
              <w:rPr>
                <w:rFonts w:ascii="宋体" w:hAnsi="宋体" w:cs="宋体"/>
                <w:color w:val="000000"/>
                <w:sz w:val="24"/>
              </w:rPr>
            </w:pPr>
          </w:p>
        </w:tc>
        <w:tc>
          <w:tcPr>
            <w:tcW w:w="733" w:type="dxa"/>
            <w:vMerge w:val="continue"/>
            <w:tcBorders>
              <w:left w:val="single" w:color="000000" w:sz="4" w:space="0"/>
              <w:right w:val="single" w:color="000000" w:sz="4" w:space="0"/>
            </w:tcBorders>
            <w:noWrap/>
            <w:tcMar>
              <w:top w:w="15" w:type="dxa"/>
              <w:left w:w="15" w:type="dxa"/>
              <w:right w:w="15" w:type="dxa"/>
            </w:tcMar>
            <w:vAlign w:val="center"/>
          </w:tcPr>
          <w:p w14:paraId="66B517B1">
            <w:pPr>
              <w:widowControl/>
              <w:jc w:val="center"/>
              <w:textAlignment w:val="center"/>
              <w:rPr>
                <w:rFonts w:ascii="宋体" w:hAnsi="宋体" w:cs="宋体"/>
                <w:color w:val="000000"/>
                <w:kern w:val="0"/>
                <w:sz w:val="24"/>
              </w:rPr>
            </w:pPr>
          </w:p>
        </w:tc>
        <w:tc>
          <w:tcPr>
            <w:tcW w:w="1833"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14:paraId="3D51501F">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25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51309E">
            <w:pPr>
              <w:widowControl/>
              <w:jc w:val="center"/>
              <w:textAlignment w:val="center"/>
              <w:rPr>
                <w:rFonts w:ascii="宋体" w:hAnsi="宋体" w:cs="宋体"/>
                <w:color w:val="000000"/>
                <w:sz w:val="24"/>
              </w:rPr>
            </w:pPr>
            <w:r>
              <w:rPr>
                <w:rFonts w:hint="eastAsia" w:ascii="宋体" w:hAnsi="宋体" w:cs="宋体"/>
                <w:color w:val="000000"/>
                <w:sz w:val="24"/>
              </w:rPr>
              <w:t>财政安排数量</w:t>
            </w:r>
          </w:p>
        </w:tc>
        <w:tc>
          <w:tcPr>
            <w:tcW w:w="18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EA716A">
            <w:pPr>
              <w:widowControl/>
              <w:jc w:val="center"/>
              <w:textAlignment w:val="center"/>
              <w:rPr>
                <w:rFonts w:ascii="宋体" w:hAnsi="宋体" w:cs="宋体"/>
                <w:color w:val="000000"/>
                <w:sz w:val="24"/>
              </w:rPr>
            </w:pPr>
            <w:r>
              <w:rPr>
                <w:rFonts w:hint="eastAsia" w:ascii="宋体" w:hAnsi="宋体" w:cs="宋体"/>
                <w:color w:val="000000"/>
                <w:sz w:val="24"/>
              </w:rPr>
              <w:t>45</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04711B">
            <w:pPr>
              <w:widowControl/>
              <w:jc w:val="center"/>
              <w:textAlignment w:val="center"/>
              <w:rPr>
                <w:rFonts w:ascii="宋体" w:hAnsi="宋体" w:cs="宋体"/>
                <w:color w:val="000000"/>
                <w:sz w:val="24"/>
              </w:rPr>
            </w:pPr>
            <w:r>
              <w:rPr>
                <w:rFonts w:hint="eastAsia" w:ascii="宋体" w:hAnsi="宋体" w:cs="宋体"/>
                <w:color w:val="000000"/>
                <w:sz w:val="24"/>
              </w:rPr>
              <w:t>33.75</w:t>
            </w:r>
          </w:p>
        </w:tc>
      </w:tr>
      <w:tr w14:paraId="736F0C25">
        <w:tblPrEx>
          <w:tblCellMar>
            <w:top w:w="0" w:type="dxa"/>
            <w:left w:w="0" w:type="dxa"/>
            <w:bottom w:w="0" w:type="dxa"/>
            <w:right w:w="0" w:type="dxa"/>
          </w:tblCellMar>
        </w:tblPrEx>
        <w:trPr>
          <w:trHeight w:val="361" w:hRule="atLeast"/>
          <w:jc w:val="center"/>
        </w:trPr>
        <w:tc>
          <w:tcPr>
            <w:tcW w:w="622" w:type="dxa"/>
            <w:vMerge w:val="continue"/>
            <w:tcBorders>
              <w:left w:val="single" w:color="000000" w:sz="4" w:space="0"/>
              <w:right w:val="single" w:color="000000" w:sz="4" w:space="0"/>
            </w:tcBorders>
            <w:noWrap/>
            <w:tcMar>
              <w:top w:w="15" w:type="dxa"/>
              <w:left w:w="15" w:type="dxa"/>
              <w:right w:w="15" w:type="dxa"/>
            </w:tcMar>
            <w:vAlign w:val="center"/>
          </w:tcPr>
          <w:p w14:paraId="32710051">
            <w:pPr>
              <w:widowControl/>
              <w:jc w:val="center"/>
              <w:textAlignment w:val="center"/>
              <w:rPr>
                <w:rFonts w:ascii="宋体" w:hAnsi="宋体" w:cs="宋体"/>
                <w:color w:val="000000"/>
                <w:sz w:val="24"/>
              </w:rPr>
            </w:pPr>
          </w:p>
        </w:tc>
        <w:tc>
          <w:tcPr>
            <w:tcW w:w="733"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14:paraId="2BE987C3">
            <w:pPr>
              <w:widowControl/>
              <w:jc w:val="center"/>
              <w:textAlignment w:val="center"/>
              <w:rPr>
                <w:rFonts w:ascii="宋体" w:hAnsi="宋体" w:cs="宋体"/>
                <w:color w:val="000000"/>
                <w:kern w:val="0"/>
                <w:sz w:val="24"/>
              </w:rPr>
            </w:pPr>
          </w:p>
        </w:tc>
        <w:tc>
          <w:tcPr>
            <w:tcW w:w="1833"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14:paraId="4178062B">
            <w:pPr>
              <w:widowControl/>
              <w:jc w:val="center"/>
              <w:textAlignment w:val="center"/>
              <w:rPr>
                <w:rFonts w:ascii="宋体" w:hAnsi="宋体" w:cs="宋体"/>
                <w:color w:val="000000"/>
                <w:sz w:val="24"/>
              </w:rPr>
            </w:pPr>
          </w:p>
        </w:tc>
        <w:tc>
          <w:tcPr>
            <w:tcW w:w="25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3E06F5">
            <w:pPr>
              <w:widowControl/>
              <w:jc w:val="center"/>
              <w:textAlignment w:val="center"/>
              <w:rPr>
                <w:rFonts w:ascii="宋体" w:hAnsi="宋体" w:cs="宋体"/>
                <w:color w:val="000000"/>
                <w:sz w:val="24"/>
              </w:rPr>
            </w:pPr>
            <w:r>
              <w:rPr>
                <w:rFonts w:hint="eastAsia" w:ascii="宋体" w:hAnsi="宋体" w:cs="宋体"/>
                <w:color w:val="000000"/>
                <w:sz w:val="24"/>
              </w:rPr>
              <w:t>安排率</w:t>
            </w:r>
          </w:p>
        </w:tc>
        <w:tc>
          <w:tcPr>
            <w:tcW w:w="18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7B0211">
            <w:pPr>
              <w:widowControl/>
              <w:jc w:val="center"/>
              <w:textAlignment w:val="center"/>
              <w:rPr>
                <w:rFonts w:ascii="宋体" w:hAnsi="宋体" w:cs="宋体"/>
                <w:color w:val="000000"/>
                <w:sz w:val="24"/>
              </w:rPr>
            </w:pPr>
            <w:r>
              <w:rPr>
                <w:rFonts w:hint="eastAsia"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08FF59">
            <w:pPr>
              <w:widowControl/>
              <w:jc w:val="center"/>
              <w:textAlignment w:val="center"/>
              <w:rPr>
                <w:rFonts w:ascii="宋体" w:hAnsi="宋体" w:cs="宋体"/>
                <w:color w:val="000000"/>
                <w:sz w:val="24"/>
              </w:rPr>
            </w:pPr>
            <w:r>
              <w:rPr>
                <w:rFonts w:hint="eastAsia" w:ascii="宋体" w:hAnsi="宋体" w:cs="宋体"/>
                <w:color w:val="000000"/>
                <w:sz w:val="24"/>
              </w:rPr>
              <w:t>75%</w:t>
            </w:r>
          </w:p>
        </w:tc>
      </w:tr>
      <w:tr w14:paraId="5906A6D0">
        <w:tblPrEx>
          <w:tblCellMar>
            <w:top w:w="0" w:type="dxa"/>
            <w:left w:w="0" w:type="dxa"/>
            <w:bottom w:w="0" w:type="dxa"/>
            <w:right w:w="0" w:type="dxa"/>
          </w:tblCellMar>
        </w:tblPrEx>
        <w:trPr>
          <w:trHeight w:val="407" w:hRule="atLeast"/>
          <w:jc w:val="center"/>
        </w:trPr>
        <w:tc>
          <w:tcPr>
            <w:tcW w:w="622" w:type="dxa"/>
            <w:vMerge w:val="continue"/>
            <w:tcBorders>
              <w:left w:val="single" w:color="000000" w:sz="4" w:space="0"/>
              <w:right w:val="single" w:color="000000" w:sz="4" w:space="0"/>
            </w:tcBorders>
            <w:noWrap/>
            <w:tcMar>
              <w:top w:w="15" w:type="dxa"/>
              <w:left w:w="15" w:type="dxa"/>
              <w:right w:w="15" w:type="dxa"/>
            </w:tcMar>
            <w:vAlign w:val="center"/>
          </w:tcPr>
          <w:p w14:paraId="0B67CAF9">
            <w:pPr>
              <w:widowControl/>
              <w:jc w:val="center"/>
              <w:textAlignment w:val="center"/>
              <w:rPr>
                <w:rFonts w:ascii="宋体" w:hAnsi="宋体" w:cs="宋体"/>
                <w:color w:val="000000"/>
                <w:sz w:val="24"/>
              </w:rPr>
            </w:pPr>
          </w:p>
        </w:tc>
        <w:tc>
          <w:tcPr>
            <w:tcW w:w="733"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14:paraId="49DF07E3">
            <w:pPr>
              <w:jc w:val="center"/>
              <w:textAlignment w:val="center"/>
              <w:rPr>
                <w:rFonts w:ascii="宋体" w:hAnsi="宋体" w:cs="宋体"/>
                <w:color w:val="000000"/>
                <w:kern w:val="0"/>
                <w:sz w:val="24"/>
              </w:rPr>
            </w:pPr>
            <w:r>
              <w:rPr>
                <w:rFonts w:hint="eastAsia" w:ascii="宋体" w:hAnsi="宋体" w:cs="宋体"/>
                <w:color w:val="000000"/>
                <w:kern w:val="0"/>
                <w:sz w:val="24"/>
              </w:rPr>
              <w:t>效益指标</w:t>
            </w:r>
          </w:p>
        </w:tc>
        <w:tc>
          <w:tcPr>
            <w:tcW w:w="18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15F39E">
            <w:pPr>
              <w:widowControl/>
              <w:jc w:val="center"/>
              <w:textAlignment w:val="center"/>
              <w:rPr>
                <w:rFonts w:ascii="宋体" w:hAnsi="宋体" w:cs="宋体"/>
                <w:color w:val="000000"/>
                <w:sz w:val="24"/>
              </w:rPr>
            </w:pPr>
            <w:r>
              <w:rPr>
                <w:rFonts w:hint="eastAsia" w:ascii="宋体" w:hAnsi="宋体" w:cs="宋体"/>
                <w:color w:val="000000"/>
                <w:sz w:val="24"/>
              </w:rPr>
              <w:t>经济效益指标</w:t>
            </w:r>
          </w:p>
        </w:tc>
        <w:tc>
          <w:tcPr>
            <w:tcW w:w="25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3DF581">
            <w:pPr>
              <w:widowControl/>
              <w:jc w:val="center"/>
              <w:textAlignment w:val="center"/>
              <w:rPr>
                <w:rFonts w:ascii="宋体" w:hAnsi="宋体" w:cs="宋体"/>
                <w:color w:val="000000"/>
                <w:sz w:val="24"/>
              </w:rPr>
            </w:pPr>
            <w:r>
              <w:rPr>
                <w:rFonts w:hint="eastAsia" w:ascii="宋体" w:hAnsi="宋体" w:cs="宋体"/>
                <w:color w:val="000000"/>
                <w:sz w:val="24"/>
              </w:rPr>
              <w:t>未产生此项收益</w:t>
            </w:r>
          </w:p>
        </w:tc>
        <w:tc>
          <w:tcPr>
            <w:tcW w:w="18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B809FC">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FBDEF4">
            <w:pPr>
              <w:widowControl/>
              <w:jc w:val="center"/>
              <w:textAlignment w:val="center"/>
              <w:rPr>
                <w:rFonts w:ascii="宋体" w:hAnsi="宋体" w:cs="宋体"/>
                <w:color w:val="000000"/>
                <w:sz w:val="24"/>
              </w:rPr>
            </w:pPr>
          </w:p>
        </w:tc>
      </w:tr>
      <w:tr w14:paraId="46B59F75">
        <w:tblPrEx>
          <w:tblCellMar>
            <w:top w:w="0" w:type="dxa"/>
            <w:left w:w="0" w:type="dxa"/>
            <w:bottom w:w="0" w:type="dxa"/>
            <w:right w:w="0" w:type="dxa"/>
          </w:tblCellMar>
        </w:tblPrEx>
        <w:trPr>
          <w:trHeight w:val="416" w:hRule="atLeast"/>
          <w:jc w:val="center"/>
        </w:trPr>
        <w:tc>
          <w:tcPr>
            <w:tcW w:w="622" w:type="dxa"/>
            <w:vMerge w:val="continue"/>
            <w:tcBorders>
              <w:left w:val="single" w:color="000000" w:sz="4" w:space="0"/>
              <w:right w:val="single" w:color="000000" w:sz="4" w:space="0"/>
            </w:tcBorders>
            <w:noWrap/>
            <w:tcMar>
              <w:top w:w="15" w:type="dxa"/>
              <w:left w:w="15" w:type="dxa"/>
              <w:right w:w="15" w:type="dxa"/>
            </w:tcMar>
            <w:vAlign w:val="center"/>
          </w:tcPr>
          <w:p w14:paraId="6378E4FE">
            <w:pPr>
              <w:widowControl/>
              <w:jc w:val="center"/>
              <w:textAlignment w:val="center"/>
              <w:rPr>
                <w:rFonts w:ascii="宋体" w:hAnsi="宋体" w:cs="宋体"/>
                <w:color w:val="000000"/>
                <w:sz w:val="24"/>
              </w:rPr>
            </w:pPr>
          </w:p>
        </w:tc>
        <w:tc>
          <w:tcPr>
            <w:tcW w:w="733" w:type="dxa"/>
            <w:vMerge w:val="continue"/>
            <w:tcBorders>
              <w:left w:val="single" w:color="000000" w:sz="4" w:space="0"/>
              <w:right w:val="single" w:color="000000" w:sz="4" w:space="0"/>
            </w:tcBorders>
            <w:noWrap/>
            <w:tcMar>
              <w:top w:w="15" w:type="dxa"/>
              <w:left w:w="15" w:type="dxa"/>
              <w:right w:w="15" w:type="dxa"/>
            </w:tcMar>
            <w:vAlign w:val="center"/>
          </w:tcPr>
          <w:p w14:paraId="2E26B6FB">
            <w:pPr>
              <w:widowControl/>
              <w:jc w:val="center"/>
              <w:textAlignment w:val="center"/>
              <w:rPr>
                <w:rFonts w:ascii="宋体" w:hAnsi="宋体" w:cs="宋体"/>
                <w:color w:val="000000"/>
                <w:sz w:val="24"/>
              </w:rPr>
            </w:pPr>
          </w:p>
        </w:tc>
        <w:tc>
          <w:tcPr>
            <w:tcW w:w="18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329419">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5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46AD3C">
            <w:pPr>
              <w:widowControl/>
              <w:jc w:val="center"/>
              <w:textAlignment w:val="center"/>
              <w:rPr>
                <w:rFonts w:ascii="宋体" w:hAnsi="宋体" w:cs="宋体"/>
                <w:color w:val="000000"/>
                <w:sz w:val="24"/>
              </w:rPr>
            </w:pPr>
            <w:r>
              <w:rPr>
                <w:rFonts w:hint="eastAsia" w:ascii="宋体" w:hAnsi="宋体" w:cs="宋体"/>
                <w:color w:val="000000"/>
                <w:sz w:val="24"/>
              </w:rPr>
              <w:t>保障村级公益设施运转</w:t>
            </w:r>
          </w:p>
        </w:tc>
        <w:tc>
          <w:tcPr>
            <w:tcW w:w="18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E719D1">
            <w:pPr>
              <w:widowControl/>
              <w:jc w:val="center"/>
              <w:textAlignment w:val="center"/>
              <w:rPr>
                <w:rFonts w:ascii="宋体" w:hAnsi="宋体" w:cs="宋体"/>
                <w:color w:val="000000"/>
                <w:sz w:val="24"/>
              </w:rPr>
            </w:pPr>
            <w:r>
              <w:rPr>
                <w:rFonts w:hint="eastAsia" w:ascii="宋体" w:hAnsi="宋体" w:cs="宋体"/>
                <w:color w:val="000000"/>
                <w:sz w:val="24"/>
              </w:rPr>
              <w:t>全部保障</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6301FD">
            <w:pPr>
              <w:widowControl/>
              <w:jc w:val="center"/>
              <w:textAlignment w:val="center"/>
              <w:rPr>
                <w:rFonts w:ascii="宋体" w:hAnsi="宋体" w:cs="宋体"/>
                <w:color w:val="000000"/>
                <w:sz w:val="24"/>
              </w:rPr>
            </w:pPr>
            <w:r>
              <w:rPr>
                <w:rFonts w:hint="eastAsia" w:ascii="宋体" w:hAnsi="宋体" w:cs="宋体"/>
                <w:color w:val="000000"/>
                <w:sz w:val="24"/>
              </w:rPr>
              <w:t>全部保障</w:t>
            </w:r>
          </w:p>
        </w:tc>
      </w:tr>
      <w:tr w14:paraId="70C6A95E">
        <w:tblPrEx>
          <w:tblCellMar>
            <w:top w:w="0" w:type="dxa"/>
            <w:left w:w="0" w:type="dxa"/>
            <w:bottom w:w="0" w:type="dxa"/>
            <w:right w:w="0" w:type="dxa"/>
          </w:tblCellMar>
        </w:tblPrEx>
        <w:trPr>
          <w:trHeight w:val="364" w:hRule="atLeast"/>
          <w:jc w:val="center"/>
        </w:trPr>
        <w:tc>
          <w:tcPr>
            <w:tcW w:w="622" w:type="dxa"/>
            <w:vMerge w:val="continue"/>
            <w:tcBorders>
              <w:left w:val="single" w:color="000000" w:sz="4" w:space="0"/>
              <w:right w:val="single" w:color="000000" w:sz="4" w:space="0"/>
            </w:tcBorders>
            <w:noWrap/>
            <w:tcMar>
              <w:top w:w="15" w:type="dxa"/>
              <w:left w:w="15" w:type="dxa"/>
              <w:right w:w="15" w:type="dxa"/>
            </w:tcMar>
            <w:vAlign w:val="center"/>
          </w:tcPr>
          <w:p w14:paraId="47DC800A">
            <w:pPr>
              <w:widowControl/>
              <w:jc w:val="center"/>
              <w:textAlignment w:val="center"/>
              <w:rPr>
                <w:rFonts w:ascii="宋体" w:hAnsi="宋体" w:cs="宋体"/>
                <w:color w:val="000000"/>
                <w:sz w:val="24"/>
              </w:rPr>
            </w:pPr>
          </w:p>
        </w:tc>
        <w:tc>
          <w:tcPr>
            <w:tcW w:w="733" w:type="dxa"/>
            <w:vMerge w:val="continue"/>
            <w:tcBorders>
              <w:left w:val="single" w:color="000000" w:sz="4" w:space="0"/>
              <w:right w:val="single" w:color="000000" w:sz="4" w:space="0"/>
            </w:tcBorders>
            <w:noWrap/>
            <w:tcMar>
              <w:top w:w="15" w:type="dxa"/>
              <w:left w:w="15" w:type="dxa"/>
              <w:right w:w="15" w:type="dxa"/>
            </w:tcMar>
            <w:vAlign w:val="center"/>
          </w:tcPr>
          <w:p w14:paraId="084C1F6D">
            <w:pPr>
              <w:widowControl/>
              <w:jc w:val="center"/>
              <w:textAlignment w:val="center"/>
              <w:rPr>
                <w:rFonts w:ascii="宋体" w:hAnsi="宋体" w:cs="宋体"/>
                <w:color w:val="000000"/>
                <w:kern w:val="0"/>
                <w:sz w:val="24"/>
              </w:rPr>
            </w:pPr>
          </w:p>
        </w:tc>
        <w:tc>
          <w:tcPr>
            <w:tcW w:w="18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026809">
            <w:pPr>
              <w:widowControl/>
              <w:jc w:val="center"/>
              <w:textAlignment w:val="center"/>
              <w:rPr>
                <w:rFonts w:ascii="宋体" w:hAnsi="宋体" w:cs="宋体"/>
                <w:color w:val="000000"/>
                <w:sz w:val="24"/>
              </w:rPr>
            </w:pPr>
            <w:r>
              <w:rPr>
                <w:rFonts w:hint="eastAsia" w:ascii="宋体" w:hAnsi="宋体" w:cs="宋体"/>
                <w:color w:val="000000"/>
                <w:sz w:val="24"/>
              </w:rPr>
              <w:t>生态效益指标</w:t>
            </w:r>
          </w:p>
        </w:tc>
        <w:tc>
          <w:tcPr>
            <w:tcW w:w="25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159E60">
            <w:pPr>
              <w:widowControl/>
              <w:jc w:val="center"/>
              <w:textAlignment w:val="center"/>
              <w:rPr>
                <w:rFonts w:ascii="宋体" w:hAnsi="宋体" w:cs="宋体"/>
                <w:color w:val="000000"/>
                <w:sz w:val="24"/>
              </w:rPr>
            </w:pPr>
            <w:r>
              <w:rPr>
                <w:rFonts w:hint="eastAsia" w:ascii="宋体" w:hAnsi="宋体" w:cs="宋体"/>
                <w:color w:val="000000"/>
                <w:sz w:val="24"/>
              </w:rPr>
              <w:t>未产生此项收益</w:t>
            </w:r>
          </w:p>
        </w:tc>
        <w:tc>
          <w:tcPr>
            <w:tcW w:w="18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C35445">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41946D">
            <w:pPr>
              <w:widowControl/>
              <w:jc w:val="center"/>
              <w:textAlignment w:val="center"/>
              <w:rPr>
                <w:rFonts w:ascii="宋体" w:hAnsi="宋体" w:cs="宋体"/>
                <w:color w:val="000000"/>
                <w:sz w:val="24"/>
              </w:rPr>
            </w:pPr>
          </w:p>
        </w:tc>
      </w:tr>
      <w:tr w14:paraId="6D1E2658">
        <w:tblPrEx>
          <w:tblCellMar>
            <w:top w:w="0" w:type="dxa"/>
            <w:left w:w="0" w:type="dxa"/>
            <w:bottom w:w="0" w:type="dxa"/>
            <w:right w:w="0" w:type="dxa"/>
          </w:tblCellMar>
        </w:tblPrEx>
        <w:trPr>
          <w:trHeight w:val="787" w:hRule="atLeast"/>
          <w:jc w:val="center"/>
        </w:trPr>
        <w:tc>
          <w:tcPr>
            <w:tcW w:w="622" w:type="dxa"/>
            <w:vMerge w:val="continue"/>
            <w:tcBorders>
              <w:left w:val="single" w:color="000000" w:sz="4" w:space="0"/>
              <w:right w:val="single" w:color="000000" w:sz="4" w:space="0"/>
            </w:tcBorders>
            <w:noWrap/>
            <w:tcMar>
              <w:top w:w="15" w:type="dxa"/>
              <w:left w:w="15" w:type="dxa"/>
              <w:right w:w="15" w:type="dxa"/>
            </w:tcMar>
            <w:vAlign w:val="center"/>
          </w:tcPr>
          <w:p w14:paraId="6AE3DC44">
            <w:pPr>
              <w:widowControl/>
              <w:jc w:val="center"/>
              <w:textAlignment w:val="center"/>
              <w:rPr>
                <w:rFonts w:ascii="宋体" w:hAnsi="宋体" w:cs="宋体"/>
                <w:color w:val="000000"/>
                <w:sz w:val="24"/>
              </w:rPr>
            </w:pPr>
          </w:p>
        </w:tc>
        <w:tc>
          <w:tcPr>
            <w:tcW w:w="733"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14:paraId="4CED6491">
            <w:pPr>
              <w:widowControl/>
              <w:jc w:val="center"/>
              <w:textAlignment w:val="center"/>
              <w:rPr>
                <w:rFonts w:ascii="宋体" w:hAnsi="宋体" w:cs="宋体"/>
                <w:color w:val="000000"/>
                <w:kern w:val="0"/>
                <w:sz w:val="24"/>
              </w:rPr>
            </w:pPr>
          </w:p>
        </w:tc>
        <w:tc>
          <w:tcPr>
            <w:tcW w:w="18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62ACF2">
            <w:pPr>
              <w:widowControl/>
              <w:jc w:val="center"/>
              <w:textAlignment w:val="center"/>
              <w:rPr>
                <w:rFonts w:ascii="宋体" w:hAnsi="宋体" w:cs="宋体"/>
                <w:color w:val="000000"/>
                <w:sz w:val="24"/>
              </w:rPr>
            </w:pPr>
            <w:r>
              <w:rPr>
                <w:rFonts w:hint="eastAsia" w:ascii="宋体" w:hAnsi="宋体" w:cs="宋体"/>
                <w:color w:val="000000"/>
                <w:sz w:val="24"/>
              </w:rPr>
              <w:t>可持续影响指标</w:t>
            </w:r>
          </w:p>
        </w:tc>
        <w:tc>
          <w:tcPr>
            <w:tcW w:w="25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782EE9">
            <w:pPr>
              <w:widowControl/>
              <w:jc w:val="center"/>
              <w:textAlignment w:val="center"/>
              <w:rPr>
                <w:rFonts w:ascii="宋体" w:hAnsi="宋体" w:cs="宋体"/>
                <w:color w:val="000000"/>
                <w:sz w:val="24"/>
              </w:rPr>
            </w:pPr>
            <w:r>
              <w:rPr>
                <w:rFonts w:hint="eastAsia" w:ascii="宋体" w:hAnsi="宋体" w:cs="宋体"/>
                <w:color w:val="000000"/>
                <w:sz w:val="24"/>
              </w:rPr>
              <w:t>村级设施的长效养护</w:t>
            </w:r>
          </w:p>
        </w:tc>
        <w:tc>
          <w:tcPr>
            <w:tcW w:w="18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5BA29D">
            <w:pPr>
              <w:widowControl/>
              <w:jc w:val="center"/>
              <w:textAlignment w:val="center"/>
              <w:rPr>
                <w:rFonts w:ascii="宋体" w:hAnsi="宋体" w:cs="宋体"/>
                <w:color w:val="000000"/>
                <w:sz w:val="24"/>
              </w:rPr>
            </w:pPr>
            <w:r>
              <w:rPr>
                <w:rFonts w:hint="eastAsia" w:ascii="宋体" w:hAnsi="宋体" w:cs="宋体"/>
                <w:color w:val="000000"/>
                <w:sz w:val="24"/>
              </w:rPr>
              <w:t>建成养护机制</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D43A54">
            <w:pPr>
              <w:widowControl/>
              <w:jc w:val="center"/>
              <w:textAlignment w:val="center"/>
              <w:rPr>
                <w:rFonts w:ascii="宋体" w:hAnsi="宋体" w:cs="宋体"/>
                <w:color w:val="000000"/>
                <w:sz w:val="24"/>
              </w:rPr>
            </w:pPr>
            <w:r>
              <w:rPr>
                <w:rFonts w:hint="eastAsia" w:ascii="宋体" w:hAnsi="宋体" w:cs="宋体"/>
                <w:color w:val="000000"/>
                <w:sz w:val="24"/>
              </w:rPr>
              <w:t>建成养护机制</w:t>
            </w:r>
          </w:p>
        </w:tc>
      </w:tr>
      <w:tr w14:paraId="790822FC">
        <w:tblPrEx>
          <w:tblCellMar>
            <w:top w:w="0" w:type="dxa"/>
            <w:left w:w="0" w:type="dxa"/>
            <w:bottom w:w="0" w:type="dxa"/>
            <w:right w:w="0" w:type="dxa"/>
          </w:tblCellMar>
        </w:tblPrEx>
        <w:trPr>
          <w:trHeight w:val="628" w:hRule="atLeast"/>
          <w:jc w:val="center"/>
        </w:trPr>
        <w:tc>
          <w:tcPr>
            <w:tcW w:w="622" w:type="dxa"/>
            <w:vMerge w:val="continue"/>
            <w:tcBorders>
              <w:left w:val="single" w:color="000000" w:sz="4" w:space="0"/>
              <w:right w:val="single" w:color="000000" w:sz="4" w:space="0"/>
            </w:tcBorders>
            <w:noWrap/>
            <w:tcMar>
              <w:top w:w="15" w:type="dxa"/>
              <w:left w:w="15" w:type="dxa"/>
              <w:right w:w="15" w:type="dxa"/>
            </w:tcMar>
            <w:vAlign w:val="center"/>
          </w:tcPr>
          <w:p w14:paraId="182923C9">
            <w:pPr>
              <w:widowControl/>
              <w:jc w:val="center"/>
              <w:textAlignment w:val="center"/>
              <w:rPr>
                <w:rFonts w:ascii="宋体" w:hAnsi="宋体" w:cs="宋体"/>
                <w:color w:val="000000"/>
                <w:sz w:val="24"/>
              </w:rPr>
            </w:pPr>
          </w:p>
        </w:tc>
        <w:tc>
          <w:tcPr>
            <w:tcW w:w="7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44D4D5">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8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4E28BE">
            <w:pPr>
              <w:widowControl/>
              <w:jc w:val="center"/>
              <w:textAlignment w:val="center"/>
              <w:rPr>
                <w:rFonts w:ascii="宋体" w:hAnsi="宋体" w:cs="宋体"/>
                <w:color w:val="000000"/>
                <w:sz w:val="24"/>
              </w:rPr>
            </w:pPr>
            <w:r>
              <w:rPr>
                <w:rFonts w:hint="eastAsia" w:ascii="宋体" w:hAnsi="宋体" w:cs="宋体"/>
                <w:color w:val="000000"/>
                <w:sz w:val="24"/>
              </w:rPr>
              <w:t>服务对象</w:t>
            </w:r>
          </w:p>
          <w:p w14:paraId="1EE725DE">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5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9199B5">
            <w:pPr>
              <w:widowControl/>
              <w:jc w:val="center"/>
              <w:textAlignment w:val="center"/>
              <w:rPr>
                <w:rFonts w:ascii="宋体" w:hAnsi="宋体" w:cs="宋体"/>
                <w:color w:val="000000"/>
                <w:sz w:val="24"/>
              </w:rPr>
            </w:pPr>
            <w:r>
              <w:rPr>
                <w:rFonts w:hint="eastAsia" w:ascii="宋体" w:hAnsi="宋体" w:cs="宋体"/>
                <w:color w:val="000000"/>
                <w:sz w:val="24"/>
              </w:rPr>
              <w:t>群众满意度</w:t>
            </w:r>
          </w:p>
        </w:tc>
        <w:tc>
          <w:tcPr>
            <w:tcW w:w="18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80CDB1">
            <w:pPr>
              <w:widowControl/>
              <w:jc w:val="center"/>
              <w:textAlignment w:val="center"/>
              <w:rPr>
                <w:rFonts w:ascii="宋体" w:hAnsi="宋体" w:cs="宋体"/>
                <w:color w:val="000000"/>
                <w:sz w:val="24"/>
              </w:rPr>
            </w:pPr>
            <w:r>
              <w:rPr>
                <w:rFonts w:hint="eastAsia" w:ascii="宋体" w:hAnsi="宋体" w:cs="宋体"/>
                <w:color w:val="000000"/>
                <w:sz w:val="24"/>
              </w:rPr>
              <w:t>≧90（单位：%）</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49BE20">
            <w:pPr>
              <w:widowControl/>
              <w:jc w:val="center"/>
              <w:textAlignment w:val="center"/>
              <w:rPr>
                <w:rFonts w:ascii="宋体" w:hAnsi="宋体" w:cs="宋体"/>
                <w:color w:val="000000"/>
                <w:sz w:val="24"/>
              </w:rPr>
            </w:pPr>
            <w:r>
              <w:rPr>
                <w:rFonts w:hint="eastAsia" w:ascii="宋体" w:hAnsi="宋体" w:cs="宋体"/>
                <w:color w:val="000000"/>
                <w:sz w:val="24"/>
              </w:rPr>
              <w:t>≧90（单位：%）</w:t>
            </w:r>
          </w:p>
        </w:tc>
      </w:tr>
    </w:tbl>
    <w:p w14:paraId="48B4E165">
      <w:pPr>
        <w:jc w:val="center"/>
        <w:rPr>
          <w:rFonts w:ascii="黑体" w:hAnsi="黑体" w:eastAsia="黑体"/>
          <w:b/>
          <w:color w:val="000000"/>
          <w:sz w:val="44"/>
          <w:szCs w:val="44"/>
        </w:rPr>
      </w:pPr>
      <w:r>
        <w:rPr>
          <w:rFonts w:hint="eastAsia" w:ascii="黑体" w:hAnsi="黑体" w:eastAsia="黑体"/>
          <w:b/>
          <w:color w:val="000000"/>
          <w:sz w:val="44"/>
          <w:szCs w:val="44"/>
        </w:rPr>
        <w:t>第三部分 名词解释</w:t>
      </w:r>
    </w:p>
    <w:p w14:paraId="77E5FD54">
      <w:pPr>
        <w:pStyle w:val="17"/>
        <w:spacing w:line="560" w:lineRule="exact"/>
        <w:ind w:firstLine="640" w:firstLineChars="200"/>
        <w:rPr>
          <w:rFonts w:hAnsi="仿宋"/>
          <w:sz w:val="32"/>
          <w:szCs w:val="32"/>
        </w:rPr>
      </w:pPr>
      <w:r>
        <w:rPr>
          <w:rFonts w:hAnsi="仿宋"/>
          <w:sz w:val="32"/>
          <w:szCs w:val="32"/>
        </w:rPr>
        <w:t>1.</w:t>
      </w:r>
      <w:r>
        <w:rPr>
          <w:rFonts w:hint="eastAsia" w:hAnsi="仿宋"/>
          <w:sz w:val="32"/>
          <w:szCs w:val="32"/>
        </w:rPr>
        <w:t>财政拨款收入：指单位从同级财政部门取得的财政预算资金。</w:t>
      </w:r>
    </w:p>
    <w:p w14:paraId="35546BE6">
      <w:pPr>
        <w:pStyle w:val="17"/>
        <w:spacing w:line="560" w:lineRule="exact"/>
        <w:ind w:firstLine="640" w:firstLineChars="200"/>
        <w:rPr>
          <w:rFonts w:hAnsi="仿宋"/>
          <w:sz w:val="32"/>
          <w:szCs w:val="32"/>
        </w:rPr>
      </w:pPr>
      <w:r>
        <w:rPr>
          <w:rFonts w:hAnsi="仿宋"/>
          <w:sz w:val="32"/>
          <w:szCs w:val="32"/>
        </w:rPr>
        <w:t>2.</w:t>
      </w:r>
      <w:r>
        <w:rPr>
          <w:rFonts w:hint="eastAsia" w:hAnsi="仿宋"/>
          <w:sz w:val="32"/>
          <w:szCs w:val="32"/>
        </w:rPr>
        <w:t>事业收入：指事业单位开展专业业务活动及辅助活动取得的收入。如…（二级预算单位事业收入情况）等。</w:t>
      </w:r>
    </w:p>
    <w:p w14:paraId="4AD781EA">
      <w:pPr>
        <w:pStyle w:val="17"/>
        <w:spacing w:line="560" w:lineRule="exact"/>
        <w:ind w:firstLine="640" w:firstLineChars="200"/>
        <w:rPr>
          <w:rFonts w:hAnsi="仿宋"/>
          <w:sz w:val="32"/>
          <w:szCs w:val="32"/>
        </w:rPr>
      </w:pPr>
      <w:r>
        <w:rPr>
          <w:rFonts w:hAnsi="仿宋"/>
          <w:sz w:val="32"/>
          <w:szCs w:val="32"/>
        </w:rPr>
        <w:t>3.</w:t>
      </w:r>
      <w:r>
        <w:rPr>
          <w:rFonts w:hint="eastAsia" w:hAnsi="仿宋"/>
          <w:sz w:val="32"/>
          <w:szCs w:val="32"/>
        </w:rPr>
        <w:t>经营收入：指事业单位在专业业务活动及其辅助活动之外开展非独立核算经营活动取得的收入。如…（二级预算单位经营收入情况）等。</w:t>
      </w:r>
    </w:p>
    <w:p w14:paraId="7E5EAF5D">
      <w:pPr>
        <w:pStyle w:val="17"/>
        <w:spacing w:line="560" w:lineRule="exact"/>
        <w:ind w:firstLine="640" w:firstLineChars="200"/>
        <w:rPr>
          <w:rFonts w:hAnsi="仿宋"/>
          <w:sz w:val="32"/>
          <w:szCs w:val="32"/>
        </w:rPr>
      </w:pPr>
      <w:r>
        <w:rPr>
          <w:rFonts w:hAnsi="仿宋"/>
          <w:sz w:val="32"/>
          <w:szCs w:val="32"/>
        </w:rPr>
        <w:t>4.</w:t>
      </w:r>
      <w:r>
        <w:rPr>
          <w:rFonts w:hint="eastAsia" w:hAnsi="仿宋"/>
          <w:sz w:val="32"/>
          <w:szCs w:val="32"/>
        </w:rPr>
        <w:t>其他收入：指单位取得的除上述收入以外的各项收入。主要是…（收入类型）等。</w:t>
      </w:r>
    </w:p>
    <w:p w14:paraId="3EAF40D2">
      <w:pPr>
        <w:pStyle w:val="17"/>
        <w:spacing w:line="560" w:lineRule="exact"/>
        <w:ind w:firstLine="640" w:firstLineChars="200"/>
        <w:rPr>
          <w:rFonts w:hAnsi="仿宋"/>
          <w:sz w:val="32"/>
          <w:szCs w:val="32"/>
        </w:rPr>
      </w:pPr>
      <w:r>
        <w:rPr>
          <w:rFonts w:hAnsi="仿宋"/>
          <w:sz w:val="32"/>
          <w:szCs w:val="32"/>
        </w:rPr>
        <w:t>5.</w:t>
      </w:r>
      <w:r>
        <w:rPr>
          <w:rFonts w:hint="eastAsia" w:hAnsi="仿宋"/>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14:paraId="476569A8">
      <w:pPr>
        <w:pStyle w:val="17"/>
        <w:spacing w:line="560" w:lineRule="exact"/>
        <w:ind w:firstLine="640" w:firstLineChars="200"/>
        <w:rPr>
          <w:rFonts w:hAnsi="仿宋"/>
          <w:sz w:val="32"/>
          <w:szCs w:val="32"/>
        </w:rPr>
      </w:pPr>
      <w:r>
        <w:rPr>
          <w:rFonts w:hAnsi="仿宋"/>
          <w:sz w:val="32"/>
          <w:szCs w:val="32"/>
        </w:rPr>
        <w:t>6.</w:t>
      </w:r>
      <w:r>
        <w:rPr>
          <w:rFonts w:hint="eastAsia" w:hAnsi="仿宋"/>
          <w:sz w:val="32"/>
          <w:szCs w:val="32"/>
        </w:rPr>
        <w:t>年初结转和结余：指以前年度尚未完成、结转到本年按有关规定继续使用的资金。</w:t>
      </w:r>
    </w:p>
    <w:p w14:paraId="3C76E329">
      <w:pPr>
        <w:pStyle w:val="17"/>
        <w:spacing w:line="560" w:lineRule="exact"/>
        <w:ind w:firstLine="640" w:firstLineChars="200"/>
        <w:rPr>
          <w:rFonts w:hAnsi="仿宋"/>
          <w:sz w:val="32"/>
          <w:szCs w:val="32"/>
        </w:rPr>
      </w:pPr>
      <w:r>
        <w:rPr>
          <w:rFonts w:hAnsi="仿宋"/>
          <w:sz w:val="32"/>
          <w:szCs w:val="32"/>
        </w:rPr>
        <w:t>7.</w:t>
      </w:r>
      <w:r>
        <w:rPr>
          <w:rFonts w:hint="eastAsia" w:hAnsi="仿宋"/>
          <w:sz w:val="32"/>
          <w:szCs w:val="32"/>
        </w:rPr>
        <w:t>结余分配：指事业单位按照事业单位会计制度的规定从非财政补助结余中分配的事业基金和职工福利基金等。</w:t>
      </w:r>
    </w:p>
    <w:p w14:paraId="3112663E">
      <w:pPr>
        <w:pStyle w:val="17"/>
        <w:spacing w:line="560" w:lineRule="exact"/>
        <w:ind w:firstLine="640" w:firstLineChars="200"/>
        <w:rPr>
          <w:rFonts w:hAnsi="仿宋"/>
          <w:sz w:val="32"/>
          <w:szCs w:val="32"/>
        </w:rPr>
      </w:pPr>
      <w:r>
        <w:rPr>
          <w:rFonts w:hAnsi="仿宋"/>
          <w:sz w:val="32"/>
          <w:szCs w:val="32"/>
        </w:rPr>
        <w:t>8</w:t>
      </w:r>
      <w:r>
        <w:rPr>
          <w:rFonts w:hint="eastAsia" w:hAnsi="仿宋"/>
          <w:sz w:val="32"/>
          <w:szCs w:val="32"/>
        </w:rPr>
        <w:t>、年末结转和结余：指单位按有关规定结转到下年或以后年度继续使用的资金。</w:t>
      </w:r>
    </w:p>
    <w:p w14:paraId="41C742A9">
      <w:pPr>
        <w:spacing w:line="600" w:lineRule="exact"/>
        <w:ind w:firstLine="640" w:firstLineChars="200"/>
        <w:rPr>
          <w:rStyle w:val="15"/>
          <w:rFonts w:ascii="仿宋" w:hAnsi="仿宋" w:eastAsia="仿宋"/>
          <w:b w:val="0"/>
          <w:color w:val="000000"/>
          <w:sz w:val="32"/>
          <w:szCs w:val="32"/>
        </w:rPr>
      </w:pPr>
      <w:r>
        <w:rPr>
          <w:rStyle w:val="15"/>
          <w:rFonts w:hint="eastAsia" w:ascii="仿宋" w:hAnsi="仿宋" w:eastAsia="仿宋"/>
          <w:b w:val="0"/>
          <w:color w:val="000000"/>
          <w:sz w:val="32"/>
          <w:szCs w:val="32"/>
        </w:rPr>
        <w:t>9.一般公共服务（类）:</w:t>
      </w:r>
    </w:p>
    <w:p w14:paraId="4B0F251A">
      <w:pPr>
        <w:spacing w:line="600" w:lineRule="exact"/>
        <w:ind w:firstLine="640" w:firstLineChars="200"/>
        <w:rPr>
          <w:rFonts w:ascii="仿宋" w:hAnsi="仿宋" w:eastAsia="仿宋"/>
          <w:color w:val="000000"/>
          <w:sz w:val="32"/>
          <w:szCs w:val="32"/>
        </w:rPr>
      </w:pPr>
      <w:r>
        <w:rPr>
          <w:rStyle w:val="15"/>
          <w:rFonts w:hint="eastAsia" w:ascii="仿宋" w:hAnsi="仿宋" w:eastAsia="仿宋"/>
          <w:b w:val="0"/>
          <w:color w:val="000000"/>
          <w:sz w:val="32"/>
          <w:szCs w:val="32"/>
        </w:rPr>
        <w:t>人大事务（款）行政运行（项）：</w:t>
      </w:r>
      <w:r>
        <w:rPr>
          <w:rFonts w:hint="eastAsia" w:ascii="仿宋" w:hAnsi="仿宋" w:eastAsia="仿宋"/>
          <w:color w:val="000000"/>
          <w:sz w:val="32"/>
          <w:szCs w:val="32"/>
        </w:rPr>
        <w:t>反映行政单位的基本支出。</w:t>
      </w:r>
    </w:p>
    <w:p w14:paraId="0A3599DA">
      <w:pPr>
        <w:ind w:firstLine="640" w:firstLineChars="200"/>
        <w:rPr>
          <w:rFonts w:ascii="仿宋" w:hAnsi="仿宋" w:eastAsia="仿宋" w:cs="Arial"/>
          <w:color w:val="000000"/>
          <w:sz w:val="32"/>
          <w:szCs w:val="32"/>
        </w:rPr>
      </w:pPr>
      <w:r>
        <w:rPr>
          <w:rStyle w:val="15"/>
          <w:rFonts w:hint="eastAsia" w:ascii="仿宋" w:hAnsi="仿宋" w:eastAsia="仿宋"/>
          <w:b w:val="0"/>
          <w:color w:val="000000"/>
          <w:sz w:val="32"/>
          <w:szCs w:val="32"/>
        </w:rPr>
        <w:t>人大事务（款）</w:t>
      </w:r>
      <w:r>
        <w:rPr>
          <w:rFonts w:hint="eastAsia" w:ascii="仿宋" w:hAnsi="仿宋" w:eastAsia="仿宋"/>
          <w:color w:val="000000"/>
          <w:sz w:val="32"/>
          <w:szCs w:val="32"/>
        </w:rPr>
        <w:t>其他人大事务支出（项）：指除人大立法、监督等项目以外的其他人大事务支出。</w:t>
      </w:r>
    </w:p>
    <w:p w14:paraId="2D4402F4">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政府办公厅（室）及相关机构事务（款）行政运行（项）：反映行政单位的基本支出。</w:t>
      </w:r>
    </w:p>
    <w:p w14:paraId="4BF7D641">
      <w:pPr>
        <w:spacing w:line="600" w:lineRule="exact"/>
        <w:ind w:firstLine="480" w:firstLineChars="150"/>
        <w:rPr>
          <w:rFonts w:ascii="仿宋" w:hAnsi="仿宋" w:eastAsia="仿宋"/>
          <w:color w:val="000000"/>
          <w:sz w:val="32"/>
          <w:szCs w:val="32"/>
        </w:rPr>
      </w:pPr>
      <w:r>
        <w:rPr>
          <w:rFonts w:hint="eastAsia" w:ascii="仿宋" w:hAnsi="仿宋" w:eastAsia="仿宋"/>
          <w:color w:val="000000"/>
          <w:sz w:val="32"/>
          <w:szCs w:val="32"/>
        </w:rPr>
        <w:t>政府办公厅（室）及相关机构事务（款）一般行政管理事务（项）：反映行政单位未单独设置项级科目的其他项目支出。</w:t>
      </w:r>
    </w:p>
    <w:p w14:paraId="01B57998">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财政事务（款）其他财政事务支出（项）：反映除上述项目以外其他财政事务方面的支出。</w:t>
      </w:r>
    </w:p>
    <w:p w14:paraId="7C5C33FC">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党委办公厅（室）及相关机构事务（款）行政运行(项)：反映行政单位的基本支出。</w:t>
      </w:r>
    </w:p>
    <w:p w14:paraId="2D0C6DDB">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党委办公厅（室）及相关机构事务（款）其他党委办公厅（室）及相关机构事务支出(项)：反映上述项目以外其他用于党委办公厅（室）及相关机构事务支出。</w:t>
      </w:r>
    </w:p>
    <w:p w14:paraId="5368820B">
      <w:pPr>
        <w:spacing w:line="600" w:lineRule="exact"/>
        <w:ind w:firstLine="640" w:firstLineChars="200"/>
        <w:rPr>
          <w:rStyle w:val="15"/>
          <w:rFonts w:ascii="仿宋" w:hAnsi="仿宋" w:eastAsia="仿宋"/>
          <w:b w:val="0"/>
          <w:color w:val="000000"/>
          <w:sz w:val="32"/>
          <w:szCs w:val="32"/>
        </w:rPr>
      </w:pPr>
      <w:r>
        <w:rPr>
          <w:rStyle w:val="15"/>
          <w:rFonts w:hint="eastAsia" w:ascii="仿宋" w:hAnsi="仿宋" w:eastAsia="仿宋"/>
          <w:b w:val="0"/>
          <w:color w:val="000000"/>
          <w:sz w:val="32"/>
          <w:szCs w:val="32"/>
        </w:rPr>
        <w:t>10.文化旅游体育与传媒支出（类）：</w:t>
      </w:r>
    </w:p>
    <w:p w14:paraId="2062177C">
      <w:pPr>
        <w:spacing w:line="600" w:lineRule="exact"/>
        <w:ind w:firstLine="640" w:firstLineChars="200"/>
        <w:rPr>
          <w:rFonts w:ascii="仿宋" w:hAnsi="仿宋" w:eastAsia="仿宋"/>
          <w:color w:val="000000"/>
          <w:sz w:val="32"/>
          <w:szCs w:val="32"/>
        </w:rPr>
      </w:pPr>
      <w:r>
        <w:rPr>
          <w:rStyle w:val="15"/>
          <w:rFonts w:hint="eastAsia" w:ascii="仿宋" w:hAnsi="仿宋" w:eastAsia="仿宋"/>
          <w:b w:val="0"/>
          <w:color w:val="000000"/>
          <w:sz w:val="32"/>
          <w:szCs w:val="32"/>
        </w:rPr>
        <w:t>新闻出版电影（款）其他新闻出版电影支出（项）：</w:t>
      </w:r>
      <w:r>
        <w:rPr>
          <w:rFonts w:hint="eastAsia" w:ascii="仿宋" w:hAnsi="仿宋" w:eastAsia="仿宋"/>
          <w:color w:val="000000"/>
          <w:sz w:val="32"/>
          <w:szCs w:val="32"/>
        </w:rPr>
        <w:t>反映除上述项目以外其他用于</w:t>
      </w:r>
      <w:r>
        <w:rPr>
          <w:rStyle w:val="15"/>
          <w:rFonts w:hint="eastAsia" w:ascii="仿宋" w:hAnsi="仿宋" w:eastAsia="仿宋"/>
          <w:b w:val="0"/>
          <w:color w:val="000000"/>
          <w:sz w:val="32"/>
          <w:szCs w:val="32"/>
        </w:rPr>
        <w:t>新闻出版电影方面的</w:t>
      </w:r>
      <w:r>
        <w:rPr>
          <w:rFonts w:hint="eastAsia" w:ascii="仿宋" w:hAnsi="仿宋" w:eastAsia="仿宋"/>
          <w:color w:val="000000"/>
          <w:sz w:val="32"/>
          <w:szCs w:val="32"/>
        </w:rPr>
        <w:t>支出。</w:t>
      </w:r>
    </w:p>
    <w:p w14:paraId="785CACC6">
      <w:pPr>
        <w:spacing w:line="600" w:lineRule="exact"/>
        <w:ind w:firstLine="640" w:firstLineChars="200"/>
        <w:rPr>
          <w:rStyle w:val="15"/>
          <w:rFonts w:ascii="仿宋" w:hAnsi="仿宋" w:eastAsia="仿宋"/>
          <w:b w:val="0"/>
          <w:color w:val="000000"/>
          <w:sz w:val="32"/>
          <w:szCs w:val="32"/>
        </w:rPr>
      </w:pPr>
      <w:r>
        <w:rPr>
          <w:rStyle w:val="15"/>
          <w:rFonts w:hint="eastAsia" w:ascii="仿宋" w:hAnsi="仿宋" w:eastAsia="仿宋"/>
          <w:b w:val="0"/>
          <w:color w:val="000000"/>
          <w:sz w:val="32"/>
          <w:szCs w:val="32"/>
        </w:rPr>
        <w:t>其他文化体育与传媒支出（款）</w:t>
      </w:r>
      <w:r>
        <w:rPr>
          <w:rFonts w:hint="eastAsia" w:ascii="仿宋" w:hAnsi="仿宋" w:eastAsia="仿宋"/>
          <w:bCs/>
          <w:color w:val="000000"/>
          <w:sz w:val="32"/>
          <w:szCs w:val="32"/>
        </w:rPr>
        <w:t>其他文化体育与传媒支出（项）</w:t>
      </w:r>
      <w:r>
        <w:rPr>
          <w:rStyle w:val="15"/>
          <w:rFonts w:hint="eastAsia" w:ascii="仿宋" w:hAnsi="仿宋" w:eastAsia="仿宋"/>
          <w:b w:val="0"/>
          <w:color w:val="000000"/>
          <w:sz w:val="32"/>
          <w:szCs w:val="32"/>
        </w:rPr>
        <w:t>:</w:t>
      </w:r>
      <w:r>
        <w:rPr>
          <w:rFonts w:hint="eastAsia" w:ascii="仿宋" w:hAnsi="仿宋" w:eastAsia="仿宋"/>
          <w:color w:val="000000"/>
          <w:sz w:val="32"/>
          <w:szCs w:val="32"/>
        </w:rPr>
        <w:t xml:space="preserve"> 指除文化活动、表演、交流等支出以外的其他文化体育与传媒支出。</w:t>
      </w:r>
      <w:r>
        <w:rPr>
          <w:rFonts w:hint="eastAsia" w:ascii="仿宋" w:hAnsi="仿宋" w:eastAsia="仿宋"/>
          <w:color w:val="000000"/>
          <w:sz w:val="32"/>
          <w:szCs w:val="32"/>
        </w:rPr>
        <w:br w:type="textWrapping"/>
      </w:r>
      <w:r>
        <w:rPr>
          <w:rFonts w:hint="eastAsia" w:ascii="仿宋" w:hAnsi="仿宋" w:eastAsia="仿宋"/>
          <w:color w:val="000000"/>
          <w:sz w:val="32"/>
          <w:szCs w:val="32"/>
        </w:rPr>
        <w:t>　　</w:t>
      </w:r>
      <w:r>
        <w:rPr>
          <w:rStyle w:val="15"/>
          <w:rFonts w:hint="eastAsia" w:ascii="仿宋" w:hAnsi="仿宋" w:eastAsia="仿宋"/>
          <w:b w:val="0"/>
          <w:color w:val="000000"/>
          <w:sz w:val="32"/>
          <w:szCs w:val="32"/>
        </w:rPr>
        <w:t>11.社会保障和就业（类）：</w:t>
      </w:r>
    </w:p>
    <w:p w14:paraId="3C4AC7D8">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行政事业单位离退休（款）机关事业单位基本养老保险缴费支出（项）：反映机关事业单位实施养老保险制度有单位缴纳的基本保险费支出。</w:t>
      </w:r>
    </w:p>
    <w:p w14:paraId="0E54F6E9">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就业补助（款）其他就业补助支出（项）：反映除上述项目以外按规定确定的其他用于促进就业的补助</w:t>
      </w:r>
      <w:r>
        <w:rPr>
          <w:rStyle w:val="15"/>
          <w:rFonts w:hint="eastAsia" w:ascii="仿宋" w:hAnsi="仿宋" w:eastAsia="仿宋"/>
          <w:b w:val="0"/>
          <w:color w:val="000000"/>
          <w:sz w:val="32"/>
          <w:szCs w:val="32"/>
        </w:rPr>
        <w:t>的</w:t>
      </w:r>
      <w:r>
        <w:rPr>
          <w:rFonts w:hint="eastAsia" w:ascii="仿宋" w:hAnsi="仿宋" w:eastAsia="仿宋"/>
          <w:color w:val="000000"/>
          <w:sz w:val="32"/>
          <w:szCs w:val="32"/>
        </w:rPr>
        <w:t>支出。</w:t>
      </w:r>
    </w:p>
    <w:p w14:paraId="6C7A8E7E">
      <w:pPr>
        <w:ind w:firstLine="640" w:firstLineChars="200"/>
        <w:rPr>
          <w:rStyle w:val="15"/>
          <w:rFonts w:ascii="仿宋" w:hAnsi="仿宋" w:eastAsia="仿宋"/>
          <w:b w:val="0"/>
          <w:color w:val="000000"/>
          <w:sz w:val="32"/>
          <w:szCs w:val="32"/>
        </w:rPr>
      </w:pPr>
      <w:r>
        <w:rPr>
          <w:rFonts w:hint="eastAsia" w:ascii="仿宋" w:hAnsi="仿宋" w:eastAsia="仿宋"/>
          <w:color w:val="000000"/>
          <w:sz w:val="32"/>
          <w:szCs w:val="32"/>
        </w:rPr>
        <w:t>其他生活救助（款）其他农村生活救助（项）：反映除最低生活保障、临时救助、特困人员供养、自然灾害生活救助外，用于农村生活困难居民生活救助的其他支出、</w:t>
      </w:r>
      <w:r>
        <w:rPr>
          <w:rFonts w:hint="eastAsia" w:ascii="仿宋" w:hAnsi="仿宋" w:eastAsia="仿宋"/>
          <w:color w:val="000000"/>
          <w:sz w:val="32"/>
          <w:szCs w:val="32"/>
        </w:rPr>
        <w:br w:type="textWrapping"/>
      </w:r>
      <w:r>
        <w:rPr>
          <w:rFonts w:hint="eastAsia" w:ascii="仿宋" w:hAnsi="仿宋" w:eastAsia="仿宋"/>
          <w:color w:val="000000"/>
          <w:sz w:val="32"/>
          <w:szCs w:val="32"/>
        </w:rPr>
        <w:t>　　</w:t>
      </w:r>
      <w:r>
        <w:rPr>
          <w:rStyle w:val="15"/>
          <w:rFonts w:hint="eastAsia" w:ascii="仿宋" w:hAnsi="仿宋" w:eastAsia="仿宋"/>
          <w:b w:val="0"/>
          <w:color w:val="000000"/>
          <w:sz w:val="32"/>
          <w:szCs w:val="32"/>
        </w:rPr>
        <w:t>12.卫生健康支出（类）:</w:t>
      </w:r>
    </w:p>
    <w:p w14:paraId="2E839BBD">
      <w:pPr>
        <w:ind w:firstLine="640" w:firstLineChars="200"/>
        <w:rPr>
          <w:rFonts w:ascii="仿宋" w:hAnsi="仿宋" w:eastAsia="仿宋"/>
          <w:color w:val="000000"/>
          <w:sz w:val="32"/>
          <w:szCs w:val="32"/>
        </w:rPr>
      </w:pPr>
      <w:r>
        <w:rPr>
          <w:rStyle w:val="15"/>
          <w:rFonts w:hint="eastAsia" w:ascii="仿宋" w:hAnsi="仿宋" w:eastAsia="仿宋"/>
          <w:b w:val="0"/>
          <w:color w:val="000000"/>
          <w:sz w:val="32"/>
          <w:szCs w:val="32"/>
        </w:rPr>
        <w:t>公共卫生（款）  重大公共卫生服务（项）：</w:t>
      </w:r>
      <w:r>
        <w:rPr>
          <w:rFonts w:hint="eastAsia" w:ascii="仿宋" w:hAnsi="仿宋" w:eastAsia="仿宋"/>
          <w:color w:val="000000"/>
          <w:sz w:val="32"/>
          <w:szCs w:val="32"/>
        </w:rPr>
        <w:t xml:space="preserve">反映重大疾病、重大传染病预防控制等重大公共卫生服务项目支出。 </w:t>
      </w:r>
    </w:p>
    <w:p w14:paraId="73827C03">
      <w:pPr>
        <w:ind w:firstLine="640" w:firstLineChars="200"/>
        <w:rPr>
          <w:rFonts w:ascii="仿宋" w:hAnsi="仿宋" w:eastAsia="仿宋"/>
          <w:color w:val="000000"/>
          <w:sz w:val="32"/>
          <w:szCs w:val="32"/>
        </w:rPr>
      </w:pPr>
      <w:r>
        <w:rPr>
          <w:rFonts w:hint="eastAsia" w:ascii="仿宋" w:hAnsi="仿宋" w:eastAsia="仿宋"/>
          <w:color w:val="000000"/>
          <w:sz w:val="32"/>
          <w:szCs w:val="32"/>
        </w:rPr>
        <w:t>行政事业单位医疗（款）行政单位医疗（项）：</w:t>
      </w:r>
      <w:r>
        <w:rPr>
          <w:rFonts w:ascii="仿宋" w:hAnsi="仿宋" w:eastAsia="仿宋"/>
          <w:color w:val="000000"/>
          <w:sz w:val="32"/>
          <w:szCs w:val="32"/>
          <w:lang w:bidi="en-US"/>
        </w:rPr>
        <w:t>反映财政部门安排的行政单位（包括实行公务员管理的事业单位，下同）基本医疗保险缴费经费，未参加医疗保险的行政单位的公费医疗经费，按国家规定享受离休人员、红军老战士待遇人员的医疗经费。</w:t>
      </w:r>
    </w:p>
    <w:p w14:paraId="25F341E3">
      <w:pPr>
        <w:ind w:firstLine="640" w:firstLineChars="200"/>
        <w:rPr>
          <w:rFonts w:ascii="仿宋" w:hAnsi="仿宋" w:eastAsia="仿宋"/>
          <w:color w:val="000000"/>
          <w:sz w:val="32"/>
          <w:szCs w:val="32"/>
        </w:rPr>
      </w:pPr>
      <w:r>
        <w:rPr>
          <w:rStyle w:val="15"/>
          <w:rFonts w:hint="eastAsia" w:ascii="仿宋" w:hAnsi="仿宋" w:eastAsia="仿宋"/>
          <w:b w:val="0"/>
          <w:color w:val="000000"/>
          <w:sz w:val="32"/>
          <w:szCs w:val="32"/>
        </w:rPr>
        <w:t>13.节能环保（类）:</w:t>
      </w:r>
    </w:p>
    <w:p w14:paraId="0BB9E614">
      <w:pPr>
        <w:ind w:firstLine="640" w:firstLineChars="200"/>
        <w:rPr>
          <w:rStyle w:val="15"/>
          <w:rFonts w:ascii="仿宋" w:hAnsi="仿宋" w:eastAsia="仿宋"/>
          <w:b w:val="0"/>
          <w:color w:val="000000"/>
          <w:sz w:val="32"/>
          <w:szCs w:val="32"/>
        </w:rPr>
      </w:pPr>
      <w:r>
        <w:rPr>
          <w:rStyle w:val="15"/>
          <w:rFonts w:hint="eastAsia" w:ascii="仿宋" w:hAnsi="仿宋" w:eastAsia="仿宋"/>
          <w:b w:val="0"/>
          <w:color w:val="000000"/>
          <w:sz w:val="32"/>
          <w:szCs w:val="32"/>
        </w:rPr>
        <w:t>污染防治（款）水体（项）反映政府在排水、污水处理、水污染防治、湖库生态环境保护、水源地保护等方面支出。</w:t>
      </w:r>
    </w:p>
    <w:p w14:paraId="6F2998F7">
      <w:pPr>
        <w:ind w:firstLine="640" w:firstLineChars="200"/>
        <w:rPr>
          <w:rFonts w:ascii="仿宋" w:hAnsi="仿宋" w:eastAsia="仿宋"/>
          <w:b/>
          <w:color w:val="000000"/>
          <w:sz w:val="32"/>
          <w:szCs w:val="32"/>
        </w:rPr>
      </w:pPr>
      <w:r>
        <w:rPr>
          <w:rStyle w:val="15"/>
          <w:rFonts w:hint="eastAsia" w:ascii="仿宋" w:hAnsi="仿宋" w:eastAsia="仿宋"/>
          <w:b w:val="0"/>
          <w:color w:val="000000"/>
          <w:sz w:val="32"/>
          <w:szCs w:val="32"/>
        </w:rPr>
        <w:t>自然生态保护（款）农村环境保护（项）反映用于农村环境保护方面的支出</w:t>
      </w:r>
    </w:p>
    <w:p w14:paraId="1138AC88">
      <w:pPr>
        <w:ind w:firstLine="640" w:firstLineChars="200"/>
        <w:rPr>
          <w:rFonts w:ascii="仿宋" w:hAnsi="仿宋" w:eastAsia="仿宋"/>
          <w:color w:val="000000"/>
          <w:sz w:val="32"/>
          <w:szCs w:val="32"/>
        </w:rPr>
      </w:pPr>
      <w:r>
        <w:rPr>
          <w:rStyle w:val="15"/>
          <w:rFonts w:hint="eastAsia" w:ascii="仿宋" w:hAnsi="仿宋" w:eastAsia="仿宋"/>
          <w:b w:val="0"/>
          <w:color w:val="000000"/>
          <w:sz w:val="32"/>
          <w:szCs w:val="32"/>
        </w:rPr>
        <w:t>14.城乡社区支出（类）:</w:t>
      </w:r>
    </w:p>
    <w:p w14:paraId="157DC7B6">
      <w:pPr>
        <w:ind w:firstLine="640" w:firstLineChars="200"/>
        <w:rPr>
          <w:rFonts w:ascii="仿宋" w:hAnsi="仿宋" w:eastAsia="仿宋"/>
          <w:color w:val="000000"/>
          <w:sz w:val="32"/>
          <w:szCs w:val="32"/>
        </w:rPr>
      </w:pPr>
      <w:r>
        <w:rPr>
          <w:rFonts w:hint="eastAsia" w:ascii="仿宋" w:hAnsi="仿宋" w:eastAsia="仿宋"/>
          <w:bCs/>
          <w:color w:val="000000"/>
          <w:sz w:val="32"/>
          <w:szCs w:val="32"/>
        </w:rPr>
        <w:t>城乡社区管理事务（款）行政运行（项）</w:t>
      </w:r>
      <w:r>
        <w:rPr>
          <w:rStyle w:val="15"/>
          <w:rFonts w:hint="eastAsia" w:ascii="仿宋" w:hAnsi="仿宋" w:eastAsia="仿宋"/>
          <w:b w:val="0"/>
          <w:color w:val="000000"/>
          <w:sz w:val="32"/>
          <w:szCs w:val="32"/>
        </w:rPr>
        <w:t>：</w:t>
      </w:r>
      <w:r>
        <w:rPr>
          <w:rFonts w:hint="eastAsia" w:ascii="仿宋" w:hAnsi="仿宋" w:eastAsia="仿宋"/>
          <w:color w:val="000000"/>
          <w:sz w:val="32"/>
          <w:szCs w:val="32"/>
        </w:rPr>
        <w:t>反映行政单位的基本支出。</w:t>
      </w:r>
    </w:p>
    <w:p w14:paraId="3B68FAE9">
      <w:pPr>
        <w:ind w:firstLine="640" w:firstLineChars="200"/>
        <w:rPr>
          <w:rStyle w:val="15"/>
          <w:rFonts w:ascii="仿宋" w:hAnsi="仿宋" w:eastAsia="仿宋"/>
          <w:b w:val="0"/>
          <w:color w:val="000000"/>
          <w:sz w:val="32"/>
          <w:szCs w:val="32"/>
        </w:rPr>
      </w:pPr>
      <w:r>
        <w:rPr>
          <w:rStyle w:val="15"/>
          <w:rFonts w:hint="eastAsia" w:ascii="仿宋" w:hAnsi="仿宋" w:eastAsia="仿宋"/>
          <w:b w:val="0"/>
          <w:color w:val="000000"/>
          <w:sz w:val="32"/>
          <w:szCs w:val="32"/>
        </w:rPr>
        <w:t>15.农林水支出（类）:</w:t>
      </w:r>
    </w:p>
    <w:p w14:paraId="662032A4">
      <w:pPr>
        <w:ind w:firstLine="640" w:firstLineChars="200"/>
        <w:rPr>
          <w:rFonts w:ascii="仿宋" w:hAnsi="仿宋" w:eastAsia="仿宋"/>
          <w:color w:val="000000"/>
          <w:sz w:val="32"/>
          <w:szCs w:val="32"/>
        </w:rPr>
      </w:pPr>
      <w:r>
        <w:rPr>
          <w:rFonts w:hint="eastAsia" w:ascii="仿宋" w:hAnsi="仿宋" w:eastAsia="仿宋"/>
          <w:bCs/>
          <w:color w:val="000000"/>
          <w:sz w:val="32"/>
          <w:szCs w:val="32"/>
        </w:rPr>
        <w:t>农业农村（款）行政运行（项）</w:t>
      </w:r>
      <w:r>
        <w:rPr>
          <w:rStyle w:val="15"/>
          <w:rFonts w:hint="eastAsia" w:ascii="仿宋" w:hAnsi="仿宋" w:eastAsia="仿宋"/>
          <w:b w:val="0"/>
          <w:color w:val="000000"/>
          <w:sz w:val="32"/>
          <w:szCs w:val="32"/>
        </w:rPr>
        <w:t>：反映行政单位（包括实行公务员管理的事业单位）的基本支出。</w:t>
      </w:r>
    </w:p>
    <w:p w14:paraId="014A0EA9">
      <w:pPr>
        <w:ind w:firstLine="640" w:firstLineChars="200"/>
        <w:rPr>
          <w:rFonts w:ascii="仿宋" w:hAnsi="仿宋" w:eastAsia="仿宋"/>
          <w:color w:val="000000"/>
          <w:sz w:val="32"/>
          <w:szCs w:val="32"/>
        </w:rPr>
      </w:pPr>
      <w:r>
        <w:rPr>
          <w:rFonts w:hint="eastAsia" w:ascii="仿宋" w:hAnsi="仿宋" w:eastAsia="仿宋"/>
          <w:bCs/>
          <w:color w:val="000000"/>
          <w:sz w:val="32"/>
          <w:szCs w:val="32"/>
        </w:rPr>
        <w:t>农业农村（款）农村道路建设（项）</w:t>
      </w:r>
      <w:r>
        <w:rPr>
          <w:rStyle w:val="15"/>
          <w:rFonts w:hint="eastAsia" w:ascii="仿宋" w:hAnsi="仿宋" w:eastAsia="仿宋"/>
          <w:b w:val="0"/>
          <w:color w:val="000000"/>
          <w:sz w:val="32"/>
          <w:szCs w:val="32"/>
        </w:rPr>
        <w:t>：</w:t>
      </w:r>
      <w:r>
        <w:rPr>
          <w:rFonts w:hint="eastAsia" w:ascii="仿宋" w:hAnsi="仿宋" w:eastAsia="仿宋"/>
          <w:color w:val="000000"/>
          <w:sz w:val="32"/>
          <w:szCs w:val="32"/>
        </w:rPr>
        <w:t>反映用于农村公路、乡村道路方面的支出。</w:t>
      </w:r>
    </w:p>
    <w:p w14:paraId="7019E656">
      <w:pPr>
        <w:ind w:firstLine="640" w:firstLineChars="200"/>
        <w:rPr>
          <w:rFonts w:ascii="仿宋" w:hAnsi="仿宋" w:eastAsia="仿宋"/>
          <w:color w:val="000000"/>
          <w:sz w:val="32"/>
          <w:szCs w:val="32"/>
        </w:rPr>
      </w:pPr>
      <w:r>
        <w:rPr>
          <w:rFonts w:hint="eastAsia" w:ascii="仿宋" w:hAnsi="仿宋" w:eastAsia="仿宋"/>
          <w:bCs/>
          <w:color w:val="000000"/>
          <w:sz w:val="32"/>
          <w:szCs w:val="32"/>
        </w:rPr>
        <w:t>农业农村（款）其他农业支出（项）</w:t>
      </w:r>
      <w:r>
        <w:rPr>
          <w:rStyle w:val="15"/>
          <w:rFonts w:hint="eastAsia" w:ascii="仿宋" w:hAnsi="仿宋" w:eastAsia="仿宋"/>
          <w:b w:val="0"/>
          <w:color w:val="000000"/>
          <w:sz w:val="32"/>
          <w:szCs w:val="32"/>
        </w:rPr>
        <w:t>：</w:t>
      </w:r>
      <w:r>
        <w:rPr>
          <w:rFonts w:hint="eastAsia" w:ascii="仿宋" w:hAnsi="仿宋" w:eastAsia="仿宋"/>
          <w:color w:val="000000"/>
          <w:sz w:val="32"/>
          <w:szCs w:val="32"/>
        </w:rPr>
        <w:t>反映用于</w:t>
      </w:r>
      <w:r>
        <w:rPr>
          <w:rFonts w:hint="eastAsia" w:ascii="仿宋" w:hAnsi="仿宋" w:eastAsia="仿宋"/>
          <w:bCs/>
          <w:color w:val="000000"/>
          <w:sz w:val="32"/>
          <w:szCs w:val="32"/>
        </w:rPr>
        <w:t>其他农业方面</w:t>
      </w:r>
      <w:r>
        <w:rPr>
          <w:rFonts w:hint="eastAsia" w:ascii="仿宋" w:hAnsi="仿宋" w:eastAsia="仿宋"/>
          <w:color w:val="000000"/>
          <w:sz w:val="32"/>
          <w:szCs w:val="32"/>
        </w:rPr>
        <w:t>支出。</w:t>
      </w:r>
    </w:p>
    <w:p w14:paraId="1AE1C9F3">
      <w:pPr>
        <w:ind w:firstLine="640" w:firstLineChars="200"/>
        <w:rPr>
          <w:rFonts w:ascii="仿宋" w:hAnsi="仿宋" w:eastAsia="仿宋"/>
          <w:color w:val="000000"/>
          <w:sz w:val="32"/>
          <w:szCs w:val="32"/>
        </w:rPr>
      </w:pPr>
      <w:r>
        <w:rPr>
          <w:rFonts w:hint="eastAsia" w:ascii="仿宋" w:hAnsi="仿宋" w:eastAsia="仿宋"/>
          <w:bCs/>
          <w:color w:val="000000"/>
          <w:sz w:val="32"/>
          <w:szCs w:val="32"/>
        </w:rPr>
        <w:t>林业和草原（款）行政运行（项）</w:t>
      </w:r>
      <w:r>
        <w:rPr>
          <w:rStyle w:val="15"/>
          <w:rFonts w:hint="eastAsia" w:ascii="仿宋" w:hAnsi="仿宋" w:eastAsia="仿宋"/>
          <w:b w:val="0"/>
          <w:color w:val="000000"/>
          <w:sz w:val="32"/>
          <w:szCs w:val="32"/>
        </w:rPr>
        <w:t>：</w:t>
      </w:r>
      <w:r>
        <w:rPr>
          <w:rFonts w:hint="eastAsia" w:ascii="仿宋" w:hAnsi="仿宋" w:eastAsia="仿宋"/>
          <w:color w:val="000000"/>
          <w:sz w:val="32"/>
          <w:szCs w:val="32"/>
        </w:rPr>
        <w:t>反映行政单位（包括实行公务员管理的事业单位）的基本支出。</w:t>
      </w:r>
    </w:p>
    <w:p w14:paraId="759D36E4">
      <w:pPr>
        <w:ind w:firstLine="640" w:firstLineChars="200"/>
        <w:rPr>
          <w:rFonts w:ascii="仿宋" w:hAnsi="仿宋" w:eastAsia="仿宋"/>
          <w:color w:val="000000"/>
          <w:sz w:val="32"/>
          <w:szCs w:val="32"/>
        </w:rPr>
      </w:pPr>
      <w:r>
        <w:rPr>
          <w:rFonts w:hint="eastAsia" w:ascii="仿宋" w:hAnsi="仿宋" w:eastAsia="仿宋"/>
          <w:bCs/>
          <w:color w:val="000000"/>
          <w:sz w:val="32"/>
          <w:szCs w:val="32"/>
        </w:rPr>
        <w:t>水利（款）行政运行（项）</w:t>
      </w:r>
      <w:r>
        <w:rPr>
          <w:rStyle w:val="15"/>
          <w:rFonts w:hint="eastAsia" w:ascii="仿宋" w:hAnsi="仿宋" w:eastAsia="仿宋"/>
          <w:b w:val="0"/>
          <w:color w:val="000000"/>
          <w:sz w:val="32"/>
          <w:szCs w:val="32"/>
        </w:rPr>
        <w:t>：</w:t>
      </w:r>
      <w:r>
        <w:rPr>
          <w:rFonts w:hint="eastAsia" w:ascii="仿宋" w:hAnsi="仿宋" w:eastAsia="仿宋"/>
          <w:color w:val="000000"/>
          <w:sz w:val="32"/>
          <w:szCs w:val="32"/>
        </w:rPr>
        <w:t>反映行政单位（包括实行公务员管理的事业单位）的基本支出。</w:t>
      </w:r>
    </w:p>
    <w:p w14:paraId="2DE18145">
      <w:pPr>
        <w:ind w:firstLine="640" w:firstLineChars="200"/>
        <w:rPr>
          <w:rFonts w:ascii="仿宋" w:hAnsi="仿宋" w:eastAsia="仿宋"/>
          <w:color w:val="000000"/>
          <w:sz w:val="32"/>
          <w:szCs w:val="32"/>
        </w:rPr>
      </w:pPr>
      <w:r>
        <w:rPr>
          <w:rFonts w:hint="eastAsia" w:ascii="仿宋" w:hAnsi="仿宋" w:eastAsia="仿宋"/>
          <w:color w:val="000000"/>
          <w:sz w:val="32"/>
          <w:szCs w:val="32"/>
        </w:rPr>
        <w:t>农村综合改革（款）对村级一事一议的补助（项）：反映农村税费改革后对村级公益事业建设一事一议的补助会出。</w:t>
      </w:r>
    </w:p>
    <w:p w14:paraId="6320B1FC">
      <w:pPr>
        <w:ind w:firstLine="640" w:firstLineChars="200"/>
        <w:rPr>
          <w:rFonts w:ascii="仿宋" w:hAnsi="仿宋" w:eastAsia="仿宋"/>
          <w:color w:val="000000"/>
          <w:sz w:val="32"/>
          <w:szCs w:val="32"/>
        </w:rPr>
      </w:pPr>
      <w:r>
        <w:rPr>
          <w:rFonts w:hint="eastAsia" w:ascii="仿宋" w:hAnsi="仿宋" w:eastAsia="仿宋"/>
          <w:color w:val="000000"/>
          <w:sz w:val="32"/>
          <w:szCs w:val="32"/>
        </w:rPr>
        <w:t>农村综合改革（款）对村民委员会和村党支部的补助（项）：反映各级财政对村民委员会和村党支部的补助支出。</w:t>
      </w:r>
    </w:p>
    <w:p w14:paraId="1619A11A">
      <w:pPr>
        <w:ind w:firstLine="640" w:firstLineChars="200"/>
        <w:rPr>
          <w:rFonts w:ascii="仿宋" w:hAnsi="仿宋" w:eastAsia="仿宋"/>
          <w:color w:val="000000"/>
          <w:sz w:val="32"/>
          <w:szCs w:val="32"/>
        </w:rPr>
      </w:pPr>
      <w:r>
        <w:rPr>
          <w:rStyle w:val="15"/>
          <w:rFonts w:hint="eastAsia" w:ascii="仿宋" w:hAnsi="仿宋" w:eastAsia="仿宋"/>
          <w:b w:val="0"/>
          <w:color w:val="000000"/>
          <w:sz w:val="32"/>
          <w:szCs w:val="32"/>
        </w:rPr>
        <w:t>16.住房保障（类）:</w:t>
      </w:r>
    </w:p>
    <w:p w14:paraId="044E6810">
      <w:pPr>
        <w:ind w:firstLine="640" w:firstLineChars="200"/>
        <w:rPr>
          <w:rFonts w:ascii="仿宋" w:hAnsi="仿宋" w:eastAsia="仿宋"/>
          <w:color w:val="000000"/>
          <w:sz w:val="32"/>
          <w:szCs w:val="32"/>
        </w:rPr>
      </w:pPr>
      <w:r>
        <w:rPr>
          <w:rFonts w:hint="eastAsia" w:ascii="仿宋" w:hAnsi="仿宋" w:eastAsia="仿宋"/>
          <w:bCs/>
          <w:color w:val="000000"/>
          <w:sz w:val="32"/>
          <w:szCs w:val="32"/>
        </w:rPr>
        <w:t>住房改革支出（款）住房公积金（项）</w:t>
      </w:r>
      <w:r>
        <w:rPr>
          <w:rStyle w:val="15"/>
          <w:rFonts w:hint="eastAsia" w:ascii="仿宋" w:hAnsi="仿宋" w:eastAsia="仿宋"/>
          <w:b w:val="0"/>
          <w:color w:val="000000"/>
          <w:sz w:val="32"/>
          <w:szCs w:val="32"/>
        </w:rPr>
        <w:t>：</w:t>
      </w:r>
      <w:r>
        <w:rPr>
          <w:rFonts w:hint="eastAsia" w:ascii="仿宋" w:hAnsi="仿宋" w:eastAsia="仿宋"/>
          <w:color w:val="000000"/>
          <w:sz w:val="32"/>
          <w:szCs w:val="32"/>
        </w:rPr>
        <w:t>反映行政事业单位按人力资源和社会保障部、财政部规定的基本工资和津贴补贴以及规定比例为职工缴纳的住房公积金。</w:t>
      </w:r>
    </w:p>
    <w:p w14:paraId="7753BA8B">
      <w:pPr>
        <w:ind w:firstLine="640" w:firstLineChars="200"/>
        <w:rPr>
          <w:rFonts w:ascii="仿宋" w:hAnsi="仿宋" w:eastAsia="仿宋"/>
          <w:color w:val="000000"/>
          <w:sz w:val="32"/>
          <w:szCs w:val="32"/>
        </w:rPr>
      </w:pPr>
      <w:r>
        <w:rPr>
          <w:rStyle w:val="15"/>
          <w:rFonts w:hint="eastAsia" w:ascii="仿宋" w:hAnsi="仿宋" w:eastAsia="仿宋"/>
          <w:b w:val="0"/>
          <w:color w:val="000000"/>
          <w:sz w:val="32"/>
          <w:szCs w:val="32"/>
        </w:rPr>
        <w:t>17.其他支出（类）:</w:t>
      </w:r>
    </w:p>
    <w:p w14:paraId="3F38D809">
      <w:pPr>
        <w:ind w:firstLine="640" w:firstLineChars="200"/>
        <w:rPr>
          <w:rFonts w:ascii="仿宋" w:hAnsi="仿宋" w:eastAsia="仿宋"/>
          <w:color w:val="000000"/>
          <w:sz w:val="32"/>
          <w:szCs w:val="32"/>
        </w:rPr>
      </w:pPr>
      <w:r>
        <w:rPr>
          <w:rStyle w:val="15"/>
          <w:rFonts w:hint="eastAsia" w:ascii="仿宋" w:hAnsi="仿宋" w:eastAsia="仿宋"/>
          <w:b w:val="0"/>
          <w:color w:val="000000"/>
          <w:sz w:val="32"/>
          <w:szCs w:val="32"/>
        </w:rPr>
        <w:t>其他支出（款）</w:t>
      </w:r>
      <w:r>
        <w:rPr>
          <w:rFonts w:hint="eastAsia" w:ascii="仿宋" w:hAnsi="仿宋" w:eastAsia="仿宋"/>
          <w:bCs/>
          <w:color w:val="000000"/>
          <w:sz w:val="32"/>
          <w:szCs w:val="32"/>
        </w:rPr>
        <w:t>其他支出（项）</w:t>
      </w:r>
      <w:r>
        <w:rPr>
          <w:rStyle w:val="15"/>
          <w:rFonts w:hint="eastAsia" w:ascii="仿宋" w:hAnsi="仿宋" w:eastAsia="仿宋"/>
          <w:b w:val="0"/>
          <w:color w:val="000000"/>
          <w:sz w:val="32"/>
          <w:szCs w:val="32"/>
        </w:rPr>
        <w:t>：</w:t>
      </w:r>
      <w:r>
        <w:rPr>
          <w:rFonts w:hint="eastAsia" w:ascii="仿宋" w:hAnsi="仿宋" w:eastAsia="仿宋"/>
          <w:color w:val="000000"/>
          <w:sz w:val="32"/>
          <w:szCs w:val="32"/>
        </w:rPr>
        <w:t>反映除上述项目以外其他不能划分到具体功能科目中的支出 项目。</w:t>
      </w:r>
    </w:p>
    <w:p w14:paraId="35D9AA86">
      <w:pPr>
        <w:ind w:firstLine="640" w:firstLineChars="200"/>
        <w:rPr>
          <w:rFonts w:ascii="仿宋" w:hAnsi="仿宋" w:eastAsia="仿宋"/>
          <w:color w:val="000000"/>
          <w:sz w:val="32"/>
          <w:szCs w:val="32"/>
        </w:rPr>
      </w:pPr>
      <w:r>
        <w:rPr>
          <w:rFonts w:hint="eastAsia" w:ascii="仿宋" w:hAnsi="仿宋" w:eastAsia="仿宋"/>
          <w:color w:val="000000"/>
          <w:sz w:val="32"/>
          <w:szCs w:val="32"/>
        </w:rPr>
        <w:t>18.结余分配：指事业单位按规定提取的职工福利基金、事业基金和缴纳的所得税，以及建设单位按规定应交回的基本建设竣工项目结余资金。</w:t>
      </w:r>
    </w:p>
    <w:p w14:paraId="2E62AA3F">
      <w:pPr>
        <w:ind w:firstLine="640" w:firstLineChars="200"/>
        <w:rPr>
          <w:rFonts w:ascii="仿宋" w:hAnsi="仿宋" w:eastAsia="仿宋"/>
          <w:color w:val="000000"/>
          <w:sz w:val="32"/>
          <w:szCs w:val="32"/>
        </w:rPr>
      </w:pPr>
      <w:r>
        <w:rPr>
          <w:rFonts w:hint="eastAsia" w:ascii="仿宋" w:hAnsi="仿宋" w:eastAsia="仿宋"/>
          <w:color w:val="000000"/>
          <w:sz w:val="32"/>
          <w:szCs w:val="32"/>
        </w:rPr>
        <w:t>19.年末结转和结余：指本年度或以前年度预算安排、因客观条件发生变化无法按原计划实施，需延迟到以后年度按有关规定继续使用的资金。</w:t>
      </w:r>
    </w:p>
    <w:p w14:paraId="12BB86EC">
      <w:pPr>
        <w:ind w:firstLine="640" w:firstLineChars="200"/>
        <w:rPr>
          <w:rFonts w:ascii="仿宋" w:hAnsi="仿宋" w:eastAsia="仿宋"/>
          <w:color w:val="000000"/>
          <w:sz w:val="32"/>
          <w:szCs w:val="32"/>
        </w:rPr>
      </w:pPr>
      <w:r>
        <w:rPr>
          <w:rFonts w:hint="eastAsia" w:ascii="仿宋" w:hAnsi="仿宋" w:eastAsia="仿宋"/>
          <w:color w:val="000000"/>
          <w:sz w:val="32"/>
          <w:szCs w:val="32"/>
        </w:rPr>
        <w:t>20.基本支出：指为保障机构正常运转、完成日常工作任务而发生的人员支出和公用支出。</w:t>
      </w:r>
    </w:p>
    <w:p w14:paraId="41754C36">
      <w:pPr>
        <w:ind w:firstLine="640" w:firstLineChars="200"/>
        <w:rPr>
          <w:rFonts w:ascii="仿宋" w:hAnsi="仿宋" w:eastAsia="仿宋"/>
          <w:color w:val="000000"/>
          <w:sz w:val="32"/>
          <w:szCs w:val="32"/>
        </w:rPr>
      </w:pPr>
      <w:r>
        <w:rPr>
          <w:rFonts w:hint="eastAsia" w:ascii="仿宋" w:hAnsi="仿宋" w:eastAsia="仿宋"/>
          <w:color w:val="000000"/>
          <w:sz w:val="32"/>
          <w:szCs w:val="32"/>
        </w:rPr>
        <w:t xml:space="preserve">21.项目支出：指在基本支出之外为完成特定行政任务和事业发展目标所发生的支出。 </w:t>
      </w:r>
    </w:p>
    <w:p w14:paraId="692938CB">
      <w:pPr>
        <w:ind w:firstLine="640" w:firstLineChars="200"/>
        <w:rPr>
          <w:rFonts w:ascii="仿宋" w:hAnsi="仿宋" w:eastAsia="仿宋"/>
          <w:color w:val="000000"/>
          <w:sz w:val="32"/>
          <w:szCs w:val="32"/>
        </w:rPr>
      </w:pPr>
      <w:r>
        <w:rPr>
          <w:rFonts w:hint="eastAsia" w:ascii="仿宋" w:hAnsi="仿宋" w:eastAsia="仿宋"/>
          <w:color w:val="000000"/>
          <w:sz w:val="32"/>
          <w:szCs w:val="32"/>
        </w:rPr>
        <w:t>22.经营支出：指事业单位在专业业务活动及其辅助活动之外开展非独立核算经营活动发生的支出。</w:t>
      </w:r>
    </w:p>
    <w:p w14:paraId="1B7F5E74">
      <w:pPr>
        <w:pStyle w:val="17"/>
        <w:spacing w:line="560" w:lineRule="exact"/>
        <w:ind w:firstLine="640" w:firstLineChars="200"/>
        <w:rPr>
          <w:rFonts w:hAnsi="仿宋"/>
          <w:sz w:val="32"/>
          <w:szCs w:val="32"/>
        </w:rPr>
      </w:pPr>
      <w:r>
        <w:rPr>
          <w:rFonts w:hint="eastAsia" w:hAnsi="仿宋"/>
          <w:sz w:val="32"/>
          <w:szCs w:val="32"/>
        </w:rPr>
        <w:t>23.“三公”经费：纳入省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1A10C3E6">
      <w:pPr>
        <w:pStyle w:val="17"/>
        <w:spacing w:line="560" w:lineRule="exact"/>
        <w:ind w:firstLine="640" w:firstLineChars="200"/>
        <w:rPr>
          <w:rFonts w:hAnsi="仿宋"/>
          <w:sz w:val="32"/>
          <w:szCs w:val="32"/>
        </w:rPr>
      </w:pPr>
      <w:r>
        <w:rPr>
          <w:rFonts w:hint="eastAsia" w:hAnsi="仿宋"/>
          <w:sz w:val="32"/>
          <w:szCs w:val="32"/>
        </w:rPr>
        <w:t>24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3A23383">
      <w:pPr>
        <w:pStyle w:val="17"/>
        <w:spacing w:line="560" w:lineRule="exact"/>
        <w:rPr>
          <w:rFonts w:hAnsi="仿宋"/>
          <w:sz w:val="32"/>
          <w:szCs w:val="32"/>
        </w:rPr>
      </w:pPr>
    </w:p>
    <w:p w14:paraId="4AD73101">
      <w:pPr>
        <w:pStyle w:val="17"/>
        <w:spacing w:line="560" w:lineRule="exact"/>
        <w:rPr>
          <w:rFonts w:ascii="黑体" w:hAnsi="黑体" w:eastAsia="黑体"/>
          <w:b/>
          <w:sz w:val="44"/>
          <w:szCs w:val="44"/>
        </w:rPr>
      </w:pPr>
    </w:p>
    <w:p w14:paraId="0B8B642A">
      <w:pPr>
        <w:pStyle w:val="17"/>
        <w:spacing w:line="560" w:lineRule="exact"/>
        <w:ind w:firstLine="883" w:firstLineChars="200"/>
        <w:jc w:val="center"/>
        <w:rPr>
          <w:rFonts w:ascii="黑体" w:hAnsi="黑体" w:eastAsia="黑体"/>
          <w:b/>
          <w:sz w:val="44"/>
          <w:szCs w:val="44"/>
        </w:rPr>
      </w:pPr>
    </w:p>
    <w:p w14:paraId="7E1AB2AE">
      <w:pPr>
        <w:pStyle w:val="17"/>
        <w:spacing w:line="560" w:lineRule="exact"/>
        <w:ind w:firstLine="883" w:firstLineChars="200"/>
        <w:jc w:val="center"/>
        <w:rPr>
          <w:rFonts w:ascii="黑体" w:hAnsi="黑体" w:eastAsia="黑体"/>
          <w:b/>
          <w:sz w:val="44"/>
          <w:szCs w:val="44"/>
        </w:rPr>
      </w:pPr>
    </w:p>
    <w:p w14:paraId="79C4BF66">
      <w:pPr>
        <w:pStyle w:val="17"/>
        <w:spacing w:line="560" w:lineRule="exact"/>
        <w:ind w:firstLine="883" w:firstLineChars="200"/>
        <w:jc w:val="center"/>
        <w:rPr>
          <w:rFonts w:ascii="黑体" w:hAnsi="黑体" w:eastAsia="黑体"/>
          <w:b/>
          <w:sz w:val="44"/>
          <w:szCs w:val="44"/>
        </w:rPr>
      </w:pPr>
    </w:p>
    <w:p w14:paraId="7ADA3624">
      <w:pPr>
        <w:pStyle w:val="17"/>
        <w:spacing w:line="560" w:lineRule="exact"/>
        <w:ind w:firstLine="883" w:firstLineChars="200"/>
        <w:jc w:val="center"/>
        <w:rPr>
          <w:rFonts w:ascii="黑体" w:hAnsi="黑体" w:eastAsia="黑体"/>
          <w:b/>
          <w:sz w:val="44"/>
          <w:szCs w:val="44"/>
        </w:rPr>
      </w:pPr>
    </w:p>
    <w:p w14:paraId="68851311">
      <w:pPr>
        <w:pStyle w:val="17"/>
        <w:spacing w:line="560" w:lineRule="exact"/>
        <w:ind w:firstLine="883" w:firstLineChars="200"/>
        <w:jc w:val="center"/>
        <w:rPr>
          <w:rFonts w:ascii="黑体" w:hAnsi="黑体" w:eastAsia="黑体"/>
          <w:b/>
          <w:sz w:val="44"/>
          <w:szCs w:val="44"/>
        </w:rPr>
      </w:pPr>
    </w:p>
    <w:p w14:paraId="19649B0F">
      <w:pPr>
        <w:pStyle w:val="17"/>
        <w:spacing w:line="560" w:lineRule="exact"/>
        <w:ind w:firstLine="883" w:firstLineChars="200"/>
        <w:jc w:val="center"/>
        <w:rPr>
          <w:rFonts w:ascii="黑体" w:hAnsi="黑体" w:eastAsia="黑体"/>
          <w:b/>
          <w:sz w:val="44"/>
          <w:szCs w:val="44"/>
        </w:rPr>
      </w:pPr>
    </w:p>
    <w:p w14:paraId="79479D5E">
      <w:pPr>
        <w:pStyle w:val="17"/>
        <w:spacing w:line="560" w:lineRule="exact"/>
        <w:ind w:firstLine="883" w:firstLineChars="200"/>
        <w:jc w:val="center"/>
        <w:rPr>
          <w:rFonts w:ascii="黑体" w:hAnsi="黑体" w:eastAsia="黑体"/>
          <w:b/>
          <w:sz w:val="44"/>
          <w:szCs w:val="44"/>
        </w:rPr>
      </w:pPr>
    </w:p>
    <w:p w14:paraId="0D109226">
      <w:pPr>
        <w:pStyle w:val="17"/>
        <w:spacing w:line="560" w:lineRule="exact"/>
        <w:ind w:firstLine="883" w:firstLineChars="200"/>
        <w:jc w:val="center"/>
        <w:rPr>
          <w:rFonts w:ascii="黑体" w:hAnsi="黑体" w:eastAsia="黑体"/>
          <w:b/>
          <w:sz w:val="44"/>
          <w:szCs w:val="44"/>
        </w:rPr>
      </w:pPr>
    </w:p>
    <w:p w14:paraId="047E291D">
      <w:pPr>
        <w:pStyle w:val="17"/>
        <w:spacing w:line="560" w:lineRule="exact"/>
        <w:ind w:firstLine="883" w:firstLineChars="200"/>
        <w:jc w:val="center"/>
        <w:rPr>
          <w:rFonts w:ascii="黑体" w:hAnsi="黑体" w:eastAsia="黑体"/>
          <w:b/>
          <w:sz w:val="44"/>
          <w:szCs w:val="44"/>
        </w:rPr>
      </w:pPr>
    </w:p>
    <w:p w14:paraId="30FD2150">
      <w:pPr>
        <w:pStyle w:val="17"/>
        <w:spacing w:line="560" w:lineRule="exact"/>
        <w:ind w:firstLine="883" w:firstLineChars="200"/>
        <w:jc w:val="center"/>
        <w:rPr>
          <w:rFonts w:ascii="黑体" w:hAnsi="黑体" w:eastAsia="黑体"/>
          <w:b/>
          <w:sz w:val="44"/>
          <w:szCs w:val="44"/>
        </w:rPr>
      </w:pPr>
    </w:p>
    <w:p w14:paraId="04BB50FA">
      <w:pPr>
        <w:pStyle w:val="17"/>
        <w:spacing w:line="560" w:lineRule="exact"/>
        <w:ind w:firstLine="883" w:firstLineChars="200"/>
        <w:jc w:val="center"/>
        <w:rPr>
          <w:rFonts w:ascii="黑体" w:hAnsi="黑体" w:eastAsia="黑体"/>
          <w:b/>
          <w:sz w:val="44"/>
          <w:szCs w:val="44"/>
        </w:rPr>
      </w:pPr>
    </w:p>
    <w:p w14:paraId="196D588A">
      <w:pPr>
        <w:pStyle w:val="17"/>
        <w:spacing w:line="560" w:lineRule="exact"/>
        <w:ind w:firstLine="883" w:firstLineChars="200"/>
        <w:jc w:val="center"/>
        <w:rPr>
          <w:rFonts w:ascii="黑体" w:hAnsi="黑体" w:eastAsia="黑体"/>
          <w:b/>
          <w:sz w:val="44"/>
          <w:szCs w:val="44"/>
        </w:rPr>
      </w:pPr>
    </w:p>
    <w:p w14:paraId="03296F8A">
      <w:pPr>
        <w:pStyle w:val="17"/>
        <w:spacing w:line="560" w:lineRule="exact"/>
        <w:ind w:firstLine="883" w:firstLineChars="200"/>
        <w:jc w:val="center"/>
        <w:rPr>
          <w:rFonts w:ascii="黑体" w:hAnsi="黑体" w:eastAsia="黑体"/>
          <w:b/>
          <w:sz w:val="44"/>
          <w:szCs w:val="44"/>
        </w:rPr>
      </w:pPr>
    </w:p>
    <w:p w14:paraId="5D77829B">
      <w:pPr>
        <w:pStyle w:val="17"/>
        <w:spacing w:line="560" w:lineRule="exact"/>
        <w:ind w:firstLine="883" w:firstLineChars="200"/>
        <w:jc w:val="center"/>
        <w:rPr>
          <w:rFonts w:ascii="黑体" w:hAnsi="黑体" w:eastAsia="黑体"/>
          <w:b/>
          <w:sz w:val="44"/>
          <w:szCs w:val="44"/>
        </w:rPr>
      </w:pPr>
    </w:p>
    <w:p w14:paraId="2DF2AD66">
      <w:pPr>
        <w:pStyle w:val="17"/>
        <w:spacing w:line="560" w:lineRule="exact"/>
        <w:ind w:firstLine="883" w:firstLineChars="200"/>
        <w:jc w:val="center"/>
        <w:rPr>
          <w:rFonts w:ascii="黑体" w:hAnsi="黑体" w:eastAsia="黑体"/>
          <w:b/>
          <w:sz w:val="44"/>
          <w:szCs w:val="44"/>
        </w:rPr>
      </w:pPr>
    </w:p>
    <w:p w14:paraId="2841D43C">
      <w:pPr>
        <w:pStyle w:val="17"/>
        <w:spacing w:line="560" w:lineRule="exact"/>
        <w:ind w:firstLine="883" w:firstLineChars="200"/>
        <w:jc w:val="center"/>
        <w:rPr>
          <w:rFonts w:ascii="黑体" w:hAnsi="黑体" w:eastAsia="黑体"/>
          <w:b/>
          <w:sz w:val="44"/>
          <w:szCs w:val="44"/>
        </w:rPr>
      </w:pPr>
    </w:p>
    <w:p w14:paraId="0E00681E">
      <w:pPr>
        <w:pStyle w:val="17"/>
        <w:spacing w:line="560" w:lineRule="exact"/>
        <w:ind w:firstLine="883" w:firstLineChars="200"/>
        <w:jc w:val="center"/>
        <w:rPr>
          <w:rFonts w:ascii="黑体" w:hAnsi="黑体" w:eastAsia="黑体"/>
          <w:b/>
          <w:sz w:val="44"/>
          <w:szCs w:val="44"/>
        </w:rPr>
      </w:pPr>
    </w:p>
    <w:p w14:paraId="6DA2A041">
      <w:pPr>
        <w:pStyle w:val="17"/>
        <w:spacing w:line="560" w:lineRule="exact"/>
        <w:ind w:firstLine="883" w:firstLineChars="200"/>
        <w:jc w:val="center"/>
        <w:rPr>
          <w:rFonts w:ascii="黑体" w:hAnsi="黑体" w:eastAsia="黑体"/>
          <w:sz w:val="44"/>
          <w:szCs w:val="44"/>
        </w:rPr>
      </w:pPr>
      <w:r>
        <w:rPr>
          <w:rFonts w:hint="eastAsia" w:ascii="黑体" w:hAnsi="黑体" w:eastAsia="黑体"/>
          <w:b/>
          <w:sz w:val="44"/>
          <w:szCs w:val="44"/>
        </w:rPr>
        <w:t>第四部分  附件</w:t>
      </w:r>
    </w:p>
    <w:p w14:paraId="5574508B">
      <w:pPr>
        <w:pStyle w:val="17"/>
        <w:spacing w:line="560" w:lineRule="exact"/>
        <w:rPr>
          <w:rFonts w:hAnsi="仿宋"/>
          <w:sz w:val="32"/>
          <w:szCs w:val="32"/>
        </w:rPr>
      </w:pPr>
    </w:p>
    <w:p w14:paraId="03AB1C6B">
      <w:pPr>
        <w:pStyle w:val="17"/>
        <w:spacing w:line="560" w:lineRule="exact"/>
        <w:rPr>
          <w:rFonts w:hAnsi="仿宋"/>
          <w:b/>
          <w:sz w:val="32"/>
          <w:szCs w:val="32"/>
        </w:rPr>
      </w:pPr>
      <w:r>
        <w:rPr>
          <w:rFonts w:hint="eastAsia" w:hAnsi="仿宋"/>
          <w:b/>
          <w:sz w:val="32"/>
          <w:szCs w:val="32"/>
        </w:rPr>
        <w:t>附件1</w:t>
      </w:r>
    </w:p>
    <w:p w14:paraId="13FB745B">
      <w:pPr>
        <w:widowControl/>
        <w:shd w:val="clear" w:color="auto" w:fill="FFFFFF"/>
        <w:spacing w:line="600" w:lineRule="atLeast"/>
        <w:jc w:val="center"/>
        <w:rPr>
          <w:rFonts w:ascii="黑体" w:hAnsi="黑体" w:eastAsia="黑体" w:cs="宋体"/>
          <w:color w:val="000000"/>
          <w:sz w:val="36"/>
          <w:szCs w:val="36"/>
        </w:rPr>
      </w:pPr>
      <w:r>
        <w:rPr>
          <w:rStyle w:val="15"/>
          <w:rFonts w:hint="eastAsia" w:ascii="黑体" w:hAnsi="黑体" w:eastAsia="黑体" w:cs="宋体"/>
          <w:color w:val="000000"/>
          <w:kern w:val="0"/>
          <w:sz w:val="36"/>
          <w:szCs w:val="36"/>
          <w:shd w:val="clear" w:color="auto" w:fill="FFFFFF"/>
        </w:rPr>
        <w:t>镇阳镇人民政府</w:t>
      </w:r>
    </w:p>
    <w:p w14:paraId="471FC20E">
      <w:pPr>
        <w:widowControl/>
        <w:shd w:val="clear" w:color="auto" w:fill="FFFFFF"/>
        <w:spacing w:line="600" w:lineRule="atLeast"/>
        <w:jc w:val="center"/>
        <w:rPr>
          <w:rStyle w:val="15"/>
          <w:rFonts w:ascii="黑体" w:hAnsi="黑体" w:eastAsia="黑体" w:cs="宋体"/>
          <w:color w:val="000000"/>
          <w:kern w:val="0"/>
          <w:sz w:val="36"/>
          <w:szCs w:val="36"/>
          <w:shd w:val="clear" w:color="auto" w:fill="FFFFFF"/>
        </w:rPr>
      </w:pPr>
      <w:r>
        <w:rPr>
          <w:rStyle w:val="15"/>
          <w:rFonts w:hint="eastAsia" w:ascii="黑体" w:hAnsi="黑体" w:eastAsia="黑体" w:cs="宋体"/>
          <w:color w:val="000000"/>
          <w:kern w:val="0"/>
          <w:sz w:val="36"/>
          <w:szCs w:val="36"/>
          <w:shd w:val="clear" w:color="auto" w:fill="FFFFFF"/>
        </w:rPr>
        <w:t>2020年整体支出绩效评价报告</w:t>
      </w:r>
    </w:p>
    <w:p w14:paraId="5F95A311">
      <w:pPr>
        <w:widowControl/>
        <w:shd w:val="clear" w:color="auto" w:fill="FFFFFF"/>
        <w:spacing w:line="600" w:lineRule="atLeast"/>
        <w:ind w:firstLine="643"/>
        <w:rPr>
          <w:rStyle w:val="15"/>
          <w:rFonts w:ascii="仿宋" w:hAnsi="仿宋" w:eastAsia="仿宋" w:cs="宋体"/>
          <w:color w:val="000000"/>
          <w:kern w:val="0"/>
          <w:sz w:val="32"/>
          <w:szCs w:val="32"/>
          <w:shd w:val="clear" w:color="auto" w:fill="FFFFFF"/>
        </w:rPr>
      </w:pPr>
    </w:p>
    <w:p w14:paraId="2116617D">
      <w:pPr>
        <w:pStyle w:val="30"/>
        <w:widowControl/>
        <w:ind w:left="72"/>
        <w:jc w:val="left"/>
        <w:rPr>
          <w:rFonts w:hAnsi="黑体" w:cs="仿宋_GB2312"/>
          <w:color w:val="000000"/>
          <w:kern w:val="0"/>
          <w:shd w:val="clear" w:color="auto" w:fill="FFFFFF"/>
        </w:rPr>
      </w:pPr>
      <w:r>
        <w:rPr>
          <w:rFonts w:hint="eastAsia" w:hAnsi="黑体" w:cs="仿宋_GB2312"/>
          <w:color w:val="000000"/>
          <w:kern w:val="0"/>
          <w:shd w:val="clear" w:color="auto" w:fill="FFFFFF"/>
        </w:rPr>
        <w:t>部门（单位）概况</w:t>
      </w:r>
    </w:p>
    <w:p w14:paraId="47136C75">
      <w:pPr>
        <w:widowControl/>
        <w:shd w:val="clear" w:color="auto" w:fill="FFFFFF"/>
        <w:spacing w:line="600" w:lineRule="atLeast"/>
        <w:ind w:firstLine="643" w:firstLineChars="200"/>
        <w:rPr>
          <w:rFonts w:ascii="仿宋" w:hAnsi="仿宋" w:eastAsia="仿宋"/>
          <w:b/>
          <w:bCs/>
          <w:sz w:val="32"/>
          <w:szCs w:val="32"/>
        </w:rPr>
      </w:pPr>
      <w:r>
        <w:rPr>
          <w:rFonts w:hint="eastAsia" w:ascii="仿宋" w:hAnsi="仿宋" w:eastAsia="仿宋"/>
          <w:b/>
          <w:bCs/>
          <w:sz w:val="32"/>
          <w:szCs w:val="32"/>
        </w:rPr>
        <w:t>（一）机构组成</w:t>
      </w:r>
    </w:p>
    <w:p w14:paraId="3CDCD2E1">
      <w:pPr>
        <w:widowControl/>
        <w:shd w:val="clear" w:color="auto" w:fill="FFFFFF"/>
        <w:spacing w:line="600" w:lineRule="atLeast"/>
        <w:ind w:firstLine="640" w:firstLineChars="20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井研县镇阳镇人民政府：政府部门预决算单位1个、辖7个非独立预决算单位，分别是镇阳镇社会事业服务中心、镇阳镇农业技术服务中心、原天云乡社会事业服务中心、原天云乡农业技术服务中心、井研县毛坝水库保护服务中心、井研县镇阳镇畜牧兽医站、井研县镇阳镇畜牧兽医站天云分站。</w:t>
      </w:r>
    </w:p>
    <w:p w14:paraId="757510F3">
      <w:pPr>
        <w:widowControl/>
        <w:shd w:val="clear" w:color="auto" w:fill="FFFFFF"/>
        <w:spacing w:line="600" w:lineRule="atLeast"/>
        <w:ind w:firstLine="482" w:firstLineChars="150"/>
        <w:rPr>
          <w:rFonts w:ascii="仿宋" w:hAnsi="仿宋" w:eastAsia="仿宋" w:cs="仿宋_GB2312"/>
          <w:b/>
          <w:bCs/>
          <w:color w:val="000000"/>
          <w:kern w:val="0"/>
          <w:sz w:val="32"/>
          <w:szCs w:val="32"/>
          <w:shd w:val="clear" w:color="auto" w:fill="FFFFFF"/>
        </w:rPr>
      </w:pPr>
      <w:r>
        <w:rPr>
          <w:rFonts w:hint="eastAsia" w:ascii="仿宋" w:hAnsi="仿宋" w:eastAsia="仿宋" w:cs="仿宋_GB2312"/>
          <w:b/>
          <w:bCs/>
          <w:color w:val="000000"/>
          <w:kern w:val="0"/>
          <w:sz w:val="32"/>
          <w:szCs w:val="32"/>
          <w:shd w:val="clear" w:color="auto" w:fill="FFFFFF"/>
        </w:rPr>
        <w:t>（二）机构职能</w:t>
      </w:r>
    </w:p>
    <w:p w14:paraId="2E280480">
      <w:pPr>
        <w:widowControl/>
        <w:shd w:val="clear" w:color="auto" w:fill="FFFFFF"/>
        <w:spacing w:line="600" w:lineRule="atLeast"/>
        <w:ind w:firstLine="964" w:firstLineChars="300"/>
        <w:rPr>
          <w:rFonts w:ascii="仿宋" w:hAnsi="仿宋" w:eastAsia="仿宋" w:cs="宋体"/>
          <w:color w:val="000000"/>
          <w:sz w:val="32"/>
          <w:szCs w:val="32"/>
        </w:rPr>
      </w:pPr>
      <w:r>
        <w:rPr>
          <w:rStyle w:val="15"/>
          <w:rFonts w:hint="eastAsia" w:ascii="仿宋" w:hAnsi="仿宋" w:eastAsia="仿宋" w:cs="宋体"/>
          <w:color w:val="000000"/>
          <w:kern w:val="0"/>
          <w:sz w:val="32"/>
          <w:szCs w:val="32"/>
          <w:shd w:val="clear" w:color="auto" w:fill="FFFFFF"/>
        </w:rPr>
        <w:t>1、基本职能及主要工作</w:t>
      </w:r>
    </w:p>
    <w:p w14:paraId="60C8A8D0">
      <w:pPr>
        <w:widowControl/>
        <w:shd w:val="clear" w:color="auto" w:fill="FFFFFF"/>
        <w:spacing w:line="600" w:lineRule="atLeast"/>
        <w:ind w:firstLine="643"/>
        <w:rPr>
          <w:rFonts w:ascii="仿宋" w:hAnsi="仿宋" w:eastAsia="仿宋" w:cs="仿宋_GB2312"/>
          <w:color w:val="000000"/>
          <w:sz w:val="32"/>
          <w:szCs w:val="32"/>
        </w:rPr>
      </w:pPr>
      <w:r>
        <w:rPr>
          <w:rStyle w:val="15"/>
          <w:rFonts w:hint="eastAsia" w:ascii="仿宋" w:hAnsi="仿宋" w:eastAsia="仿宋" w:cs="仿宋_GB2312"/>
          <w:color w:val="000000"/>
          <w:kern w:val="0"/>
          <w:sz w:val="32"/>
          <w:szCs w:val="32"/>
          <w:shd w:val="clear" w:color="auto" w:fill="FFFFFF"/>
        </w:rPr>
        <w:t xml:space="preserve"> （1）、镇党委的主要职责。</w:t>
      </w:r>
      <w:r>
        <w:rPr>
          <w:rFonts w:hint="eastAsia" w:ascii="仿宋" w:hAnsi="仿宋" w:eastAsia="仿宋" w:cs="仿宋_GB2312"/>
          <w:color w:val="000000"/>
          <w:kern w:val="0"/>
          <w:sz w:val="32"/>
          <w:szCs w:val="32"/>
          <w:shd w:val="clear" w:color="auto" w:fill="FFFFFF"/>
        </w:rPr>
        <w:t>一是贯彻执行党的路线方针政策和上级党组织及本镇党员代表大会的决议。二是讨论决定本镇经济建设和社会发展中的重大问题。需由镇政权机关或集体经济组织决定的问题，由镇政权机关或集体经济组织依照法律和有关规定作出决定。三是领导镇政权机关和群众组织，支持和保证这些机关的组织依照国家法律法规及各自章程充分行使职权。四是加强镇党委自身建设和以党支部为核心的村级组织建设。五是按照干部管理权限，负责对干部的教育、培养、选拔和监督工作。协助管理上级有关部门驻镇单位的干部。六是领导本镇的社会主义民主法</w:t>
      </w:r>
      <w:r>
        <w:rPr>
          <w:rFonts w:hint="eastAsia" w:ascii="仿宋" w:hAnsi="仿宋" w:eastAsia="仿宋" w:cs="仿宋_GB2312"/>
          <w:color w:val="000000"/>
          <w:kern w:val="0"/>
          <w:sz w:val="32"/>
          <w:szCs w:val="32"/>
          <w:shd w:val="clear" w:color="auto" w:fill="FFFFFF"/>
          <w:lang w:eastAsia="zh-CN"/>
        </w:rPr>
        <w:t>治</w:t>
      </w:r>
      <w:r>
        <w:rPr>
          <w:rFonts w:hint="eastAsia" w:ascii="仿宋" w:hAnsi="仿宋" w:eastAsia="仿宋" w:cs="仿宋_GB2312"/>
          <w:color w:val="000000"/>
          <w:kern w:val="0"/>
          <w:sz w:val="32"/>
          <w:szCs w:val="32"/>
          <w:shd w:val="clear" w:color="auto" w:fill="FFFFFF"/>
        </w:rPr>
        <w:t>建设和精神文明建设，做好社会治安综合治理及计划生育工作。七是完成县委交办的工作任务。</w:t>
      </w:r>
    </w:p>
    <w:p w14:paraId="1D9680AA">
      <w:pPr>
        <w:widowControl/>
        <w:shd w:val="clear" w:color="auto" w:fill="FFFFFF"/>
        <w:spacing w:line="600" w:lineRule="atLeast"/>
        <w:ind w:firstLine="643"/>
        <w:rPr>
          <w:rFonts w:ascii="仿宋" w:hAnsi="仿宋" w:eastAsia="仿宋" w:cs="仿宋_GB2312"/>
          <w:color w:val="000000"/>
          <w:sz w:val="32"/>
          <w:szCs w:val="32"/>
        </w:rPr>
      </w:pPr>
      <w:r>
        <w:rPr>
          <w:rStyle w:val="15"/>
          <w:rFonts w:hint="eastAsia" w:ascii="仿宋" w:hAnsi="仿宋" w:eastAsia="仿宋" w:cs="仿宋_GB2312"/>
          <w:color w:val="000000"/>
          <w:kern w:val="0"/>
          <w:sz w:val="32"/>
          <w:szCs w:val="32"/>
          <w:shd w:val="clear" w:color="auto" w:fill="FFFFFF"/>
        </w:rPr>
        <w:t>（2）、镇政府的主要职能。</w:t>
      </w:r>
      <w:r>
        <w:rPr>
          <w:rFonts w:hint="eastAsia" w:ascii="仿宋" w:hAnsi="仿宋" w:eastAsia="仿宋" w:cs="仿宋_GB2312"/>
          <w:color w:val="000000"/>
          <w:kern w:val="0"/>
          <w:sz w:val="32"/>
          <w:szCs w:val="32"/>
          <w:shd w:val="clear" w:color="auto" w:fill="FFFFFF"/>
        </w:rPr>
        <w:t>一是落实政策。宣传、落实党的路线、方针、政策和国家的法律、法规，稳定农村基本经济制度，坚持依法行政，推进政务公开，加强对村民委员会的指导，提高、培育村民委员会自治能力。二是促进发展。科学制订发展规划，营造农村经济发展环境，加强农村市场监督，培育、提升市场功能，搞活市场流通，推广农业技术，完善农业社会化服务体系，引导农民发展现代农业，调整产业结构，加强农村劳动力技能培训，引导农村劳动力转移和就业，不断提高社会主义新农村建设水平。三是维护稳定。坚持“立党为公，执政为民”，紧紧围绕实现和维护群众利益开展工作，突出解决人民群众最关心、最直接、最现实的利益问题。加强和巩固农村基层政权建设和民主法</w:t>
      </w:r>
      <w:r>
        <w:rPr>
          <w:rFonts w:hint="eastAsia" w:ascii="仿宋" w:hAnsi="仿宋" w:eastAsia="仿宋" w:cs="仿宋_GB2312"/>
          <w:color w:val="000000"/>
          <w:kern w:val="0"/>
          <w:sz w:val="32"/>
          <w:szCs w:val="32"/>
          <w:shd w:val="clear" w:color="auto" w:fill="FFFFFF"/>
          <w:lang w:eastAsia="zh-CN"/>
        </w:rPr>
        <w:t>治</w:t>
      </w:r>
      <w:r>
        <w:rPr>
          <w:rFonts w:hint="eastAsia" w:ascii="仿宋" w:hAnsi="仿宋" w:eastAsia="仿宋" w:cs="仿宋_GB2312"/>
          <w:color w:val="000000"/>
          <w:kern w:val="0"/>
          <w:sz w:val="32"/>
          <w:szCs w:val="32"/>
          <w:shd w:val="clear" w:color="auto" w:fill="FFFFFF"/>
        </w:rPr>
        <w:t>建设，加强社会治安综合治理，加强对突发事件的预警和管理，建立、健全各种应急机制，加强民事纠纷调解，化解农村社会矛盾，开展农村扶贫和社会救助，切实保障农民合法权益，维护农村社会稳定。四是加强管理。加强民政、教育、科技、文化、卫生、计划生育、安全生产、劳动保障和镇村规划等社会管理，加强社会主义精神文明建设，做好防火减灾工作，搞好环境保护，努力改善农村人居环境，不断提高农村人口素质和农民生活质量。五是提供服务。进一步发展和完善农业社会化服务体系，引导各类协会和农村专业合作经济组织发展并充分发挥其作用，发展农村社会公益事业和集体公益事业，加强农村基础设施建设，增加公共产品，提供政策、科技、市场信息和社会救济、救助服务，及时向党委、政府反映社情民意，进一步密切党和政府与人民群众的关系。六是完成县政府交办的工作任务。</w:t>
      </w:r>
    </w:p>
    <w:p w14:paraId="27568F7F">
      <w:pPr>
        <w:widowControl/>
        <w:shd w:val="clear" w:color="auto" w:fill="FFFFFF"/>
        <w:spacing w:line="600" w:lineRule="atLeast"/>
        <w:ind w:firstLine="643"/>
        <w:rPr>
          <w:rFonts w:ascii="仿宋" w:hAnsi="仿宋" w:eastAsia="仿宋" w:cs="仿宋_GB2312"/>
          <w:color w:val="000000"/>
          <w:kern w:val="0"/>
          <w:sz w:val="32"/>
          <w:szCs w:val="32"/>
          <w:shd w:val="clear" w:color="auto" w:fill="FFFFFF"/>
        </w:rPr>
      </w:pPr>
      <w:r>
        <w:rPr>
          <w:rStyle w:val="15"/>
          <w:rFonts w:hint="eastAsia" w:ascii="仿宋" w:hAnsi="仿宋" w:eastAsia="仿宋" w:cs="仿宋_GB2312"/>
          <w:color w:val="000000"/>
          <w:kern w:val="0"/>
          <w:sz w:val="32"/>
          <w:szCs w:val="32"/>
          <w:shd w:val="clear" w:color="auto" w:fill="FFFFFF"/>
        </w:rPr>
        <w:t xml:space="preserve"> (3）、镇事业单位承担的公益性职能。</w:t>
      </w:r>
      <w:r>
        <w:rPr>
          <w:rFonts w:hint="eastAsia" w:ascii="仿宋" w:hAnsi="仿宋" w:eastAsia="仿宋" w:cs="仿宋_GB2312"/>
          <w:color w:val="000000"/>
          <w:kern w:val="0"/>
          <w:sz w:val="32"/>
          <w:szCs w:val="32"/>
          <w:shd w:val="clear" w:color="auto" w:fill="FFFFFF"/>
        </w:rPr>
        <w:t>计划生育技术服务、宣传咨询、人员培训和药具发放；农林牧业生产中关键技术和新产品、新农具的引进、试验、示范；农作物的林木病虫害、动物疫病及农业灾害的监测、预报防治和处置；农作物苗情监测和农牧产品生产过程中的质量安全检测、监测和强制性检验；农业公共信息和培训教育服务；小型水利工程及病害水库的整治；水资源管理和防汛抗旱技术服务；水土保持的预防及水土流失的治理；农机安全检查和事故的预防、报告及处理；镇村机耕道的规划、建设；组织农机进行抗灾抢险和跨区域农机作业；城镇登记失业人员和农村劳动力转移就业人员的职业培训、劳务输出和就业管理服务；企事业单位退休人的社会化管理服务；制定年度农村公益性文化项目实施计划；开展多种形式的文娱体育活动和宣传教育活动；完成党委政府交办的其他工作任务。</w:t>
      </w:r>
    </w:p>
    <w:p w14:paraId="3D0519C4">
      <w:pPr>
        <w:widowControl/>
        <w:shd w:val="clear" w:color="auto" w:fill="FFFFFF"/>
        <w:spacing w:line="600" w:lineRule="atLeast"/>
        <w:ind w:firstLine="643"/>
        <w:rPr>
          <w:rStyle w:val="15"/>
          <w:rFonts w:ascii="仿宋" w:hAnsi="仿宋" w:eastAsia="仿宋" w:cs="仿宋_GB2312"/>
          <w:color w:val="000000"/>
          <w:kern w:val="0"/>
          <w:sz w:val="32"/>
          <w:szCs w:val="32"/>
          <w:shd w:val="clear" w:color="auto" w:fill="FFFFFF"/>
          <w:lang w:val="zh-CN"/>
        </w:rPr>
      </w:pPr>
      <w:r>
        <w:rPr>
          <w:rStyle w:val="15"/>
          <w:rFonts w:hint="eastAsia" w:ascii="仿宋" w:hAnsi="仿宋" w:eastAsia="仿宋" w:cs="仿宋_GB2312"/>
          <w:color w:val="000000"/>
          <w:kern w:val="0"/>
          <w:sz w:val="32"/>
          <w:szCs w:val="32"/>
          <w:shd w:val="clear" w:color="auto" w:fill="FFFFFF"/>
          <w:lang w:val="zh-CN"/>
        </w:rPr>
        <w:t>（三）人员概况</w:t>
      </w:r>
    </w:p>
    <w:p w14:paraId="01B839C1">
      <w:pPr>
        <w:pStyle w:val="30"/>
        <w:numPr>
          <w:ilvl w:val="0"/>
          <w:numId w:val="0"/>
        </w:numPr>
        <w:ind w:firstLine="567"/>
        <w:rPr>
          <w:rFonts w:ascii="仿宋" w:hAnsi="仿宋" w:eastAsia="仿宋" w:cs="仿宋_GB2312"/>
          <w:color w:val="000000"/>
          <w:kern w:val="0"/>
          <w:shd w:val="clear" w:color="auto" w:fill="FFFFFF"/>
        </w:rPr>
      </w:pPr>
      <w:r>
        <w:rPr>
          <w:rFonts w:hint="eastAsia" w:ascii="仿宋" w:hAnsi="仿宋" w:eastAsia="仿宋" w:cs="仿宋_GB2312"/>
          <w:color w:val="000000"/>
          <w:kern w:val="0"/>
          <w:shd w:val="clear" w:color="auto" w:fill="FFFFFF"/>
        </w:rPr>
        <w:t xml:space="preserve"> 镇阳镇人民政府总编制人数72人，其中行政编制29人（包括机关工勤2人），镇阳镇便民服务中心编制人数14人、镇阳镇农业综合服务中心编制人数4人、镇阳镇农民工服务中心编制人数3人、村（社区）治理服务中心编制人数3人、井研县毛坝水库保护服务中心编制人数11人、井研县镇阳镇畜牧兽医站编制人数8人。</w:t>
      </w:r>
    </w:p>
    <w:p w14:paraId="1844A2F3">
      <w:pPr>
        <w:pStyle w:val="30"/>
        <w:numPr>
          <w:ilvl w:val="0"/>
          <w:numId w:val="0"/>
        </w:numPr>
        <w:ind w:firstLine="567"/>
        <w:rPr>
          <w:rFonts w:ascii="仿宋" w:hAnsi="仿宋" w:eastAsia="仿宋" w:cs="仿宋_GB2312"/>
          <w:color w:val="000000"/>
          <w:kern w:val="0"/>
          <w:shd w:val="clear" w:color="auto" w:fill="FFFFFF"/>
        </w:rPr>
      </w:pPr>
      <w:r>
        <w:rPr>
          <w:rFonts w:hint="eastAsia" w:ascii="仿宋" w:hAnsi="仿宋" w:eastAsia="仿宋" w:cs="仿宋_GB2312"/>
          <w:color w:val="000000"/>
          <w:kern w:val="0"/>
          <w:shd w:val="clear" w:color="auto" w:fill="FFFFFF"/>
        </w:rPr>
        <w:t>年末实际在编人数53人，行政人员23人，镇阳镇便民服务中心9人、镇阳镇综合服务中心4人、镇阳镇农民工服务中心2人、镇阳镇村（社区）治理服务中心2人、井研县毛坝水库保护服务中心8人、镇阳镇兽医5人。</w:t>
      </w:r>
    </w:p>
    <w:p w14:paraId="31AF0E14">
      <w:pPr>
        <w:pStyle w:val="30"/>
        <w:widowControl/>
        <w:ind w:left="72"/>
        <w:jc w:val="left"/>
        <w:rPr>
          <w:rFonts w:hAnsi="黑体" w:cs="仿宋_GB2312"/>
          <w:color w:val="000000"/>
          <w:kern w:val="0"/>
          <w:shd w:val="clear" w:color="auto" w:fill="FFFFFF"/>
        </w:rPr>
      </w:pPr>
      <w:r>
        <w:rPr>
          <w:rFonts w:hint="eastAsia" w:hAnsi="黑体" w:cs="仿宋_GB2312"/>
          <w:color w:val="000000"/>
          <w:kern w:val="0"/>
          <w:shd w:val="clear" w:color="auto" w:fill="FFFFFF"/>
        </w:rPr>
        <w:t>部门财政资金收支情况</w:t>
      </w:r>
    </w:p>
    <w:p w14:paraId="1584AD72">
      <w:pPr>
        <w:pStyle w:val="30"/>
        <w:numPr>
          <w:ilvl w:val="0"/>
          <w:numId w:val="0"/>
        </w:numPr>
        <w:ind w:left="284"/>
        <w:rPr>
          <w:rFonts w:ascii="仿宋" w:hAnsi="仿宋" w:eastAsia="仿宋" w:cs="仿宋_GB2312"/>
          <w:b/>
          <w:bCs/>
          <w:color w:val="000000"/>
          <w:kern w:val="0"/>
          <w:shd w:val="clear" w:color="auto" w:fill="FFFFFF"/>
        </w:rPr>
      </w:pPr>
      <w:r>
        <w:rPr>
          <w:rFonts w:hint="eastAsia" w:ascii="仿宋" w:hAnsi="仿宋" w:eastAsia="仿宋" w:cs="仿宋_GB2312"/>
          <w:b/>
          <w:bCs/>
          <w:color w:val="000000"/>
          <w:kern w:val="0"/>
          <w:shd w:val="clear" w:color="auto" w:fill="FFFFFF"/>
        </w:rPr>
        <w:t>（一）部门财政资金收入情况。</w:t>
      </w:r>
    </w:p>
    <w:p w14:paraId="6E51D809">
      <w:pPr>
        <w:spacing w:line="600" w:lineRule="exact"/>
        <w:ind w:firstLine="800" w:firstLineChars="250"/>
        <w:rPr>
          <w:rFonts w:ascii="仿宋" w:hAnsi="仿宋" w:eastAsia="仿宋" w:cs="仿宋_GB2312"/>
          <w:sz w:val="32"/>
          <w:szCs w:val="32"/>
        </w:rPr>
      </w:pPr>
      <w:r>
        <w:rPr>
          <w:rFonts w:hint="eastAsia" w:ascii="仿宋" w:hAnsi="仿宋" w:eastAsia="仿宋" w:cs="仿宋_GB2312"/>
          <w:color w:val="000000"/>
          <w:kern w:val="0"/>
          <w:sz w:val="32"/>
          <w:szCs w:val="32"/>
          <w:shd w:val="clear" w:color="auto" w:fill="FFFFFF"/>
        </w:rPr>
        <w:t>2020年镇阳镇部门收入决算总额为1628.79万元，其中：当年财政拨款收入1577.42万元占96.85%（其中政府基金财政拨款0万元），上年结转收入50.41万元占3.09%,利息收入0.96万元占0.06%,。</w:t>
      </w:r>
      <w:r>
        <w:rPr>
          <w:rFonts w:hint="eastAsia" w:ascii="仿宋" w:hAnsi="仿宋" w:eastAsia="仿宋"/>
          <w:color w:val="000000"/>
          <w:sz w:val="32"/>
          <w:szCs w:val="32"/>
        </w:rPr>
        <w:t>收入</w:t>
      </w:r>
      <w:r>
        <w:rPr>
          <w:rFonts w:hint="eastAsia" w:ascii="仿宋" w:hAnsi="仿宋" w:eastAsia="仿宋" w:cs="仿宋_GB2312"/>
          <w:sz w:val="32"/>
          <w:szCs w:val="32"/>
        </w:rPr>
        <w:t>减少了124.27万元，</w:t>
      </w:r>
      <w:r>
        <w:rPr>
          <w:rFonts w:hint="eastAsia" w:ascii="仿宋" w:hAnsi="仿宋" w:eastAsia="仿宋"/>
          <w:color w:val="000000"/>
          <w:sz w:val="32"/>
          <w:szCs w:val="32"/>
        </w:rPr>
        <w:t>，下降7.09%，因2020年对历年结转结余资金归集上缴171.02万元本年实际收入与2019年相比增加46.75万元，主要变动原因是环保支出增加撤村并组后村组干部报酬调整原干部保留待遇相应收入支出增加</w:t>
      </w:r>
      <w:r>
        <w:rPr>
          <w:rFonts w:hint="eastAsia" w:ascii="仿宋" w:hAnsi="仿宋" w:eastAsia="仿宋" w:cs="仿宋_GB2312"/>
          <w:sz w:val="32"/>
          <w:szCs w:val="32"/>
        </w:rPr>
        <w:t xml:space="preserve">。 </w:t>
      </w:r>
    </w:p>
    <w:p w14:paraId="6851FDA2">
      <w:pPr>
        <w:spacing w:line="600" w:lineRule="exact"/>
        <w:ind w:firstLine="803" w:firstLineChars="250"/>
        <w:rPr>
          <w:rFonts w:ascii="仿宋" w:hAnsi="仿宋" w:eastAsia="仿宋" w:cs="仿宋_GB2312"/>
          <w:b/>
          <w:bCs/>
          <w:sz w:val="32"/>
          <w:szCs w:val="32"/>
        </w:rPr>
      </w:pPr>
      <w:r>
        <w:rPr>
          <w:rFonts w:ascii="仿宋" w:hAnsi="仿宋" w:eastAsia="仿宋" w:cs="仿宋_GB2312"/>
          <w:b/>
          <w:bCs/>
          <w:sz w:val="32"/>
          <w:szCs w:val="32"/>
        </w:rPr>
        <w:t>（二）部门财政资金支出情况。</w:t>
      </w:r>
    </w:p>
    <w:p w14:paraId="0EC7B6D4">
      <w:pPr>
        <w:spacing w:line="600" w:lineRule="exact"/>
        <w:ind w:firstLine="640" w:firstLineChars="200"/>
        <w:rPr>
          <w:rFonts w:ascii="仿宋" w:hAnsi="仿宋" w:eastAsia="仿宋"/>
          <w:color w:val="000000"/>
          <w:sz w:val="32"/>
          <w:szCs w:val="32"/>
        </w:rPr>
      </w:pPr>
      <w:r>
        <w:rPr>
          <w:rFonts w:hint="eastAsia" w:ascii="仿宋" w:hAnsi="仿宋" w:eastAsia="仿宋" w:cs="仿宋_GB2312"/>
          <w:color w:val="000000"/>
          <w:kern w:val="0"/>
          <w:sz w:val="32"/>
          <w:szCs w:val="32"/>
          <w:shd w:val="clear" w:color="auto" w:fill="FFFFFF"/>
        </w:rPr>
        <w:t>2020年镇阳镇人民政府本年支出合计1614.66万元</w:t>
      </w:r>
      <w:r>
        <w:rPr>
          <w:rFonts w:hint="eastAsia" w:ascii="仿宋" w:hAnsi="仿宋" w:eastAsia="仿宋"/>
          <w:color w:val="000000"/>
          <w:sz w:val="32"/>
          <w:szCs w:val="32"/>
        </w:rPr>
        <w:t>，其中：基本支出931.73万元，占57.7% %;项目支出682.93元，占42.3 %涉及项目23个，</w:t>
      </w:r>
      <w:r>
        <w:rPr>
          <w:rFonts w:hint="eastAsia" w:ascii="仿宋" w:hAnsi="仿宋" w:eastAsia="仿宋" w:cs="仿宋_GB2312"/>
          <w:color w:val="000000"/>
          <w:kern w:val="0"/>
          <w:sz w:val="32"/>
          <w:szCs w:val="32"/>
          <w:shd w:val="clear" w:color="auto" w:fill="FFFFFF"/>
        </w:rPr>
        <w:t>结转下年14.1</w:t>
      </w:r>
      <w:r>
        <w:rPr>
          <w:rFonts w:hint="eastAsia" w:ascii="仿宋" w:hAnsi="仿宋" w:eastAsia="仿宋"/>
          <w:color w:val="000000"/>
          <w:sz w:val="32"/>
          <w:szCs w:val="32"/>
        </w:rPr>
        <w:t>3万元。</w:t>
      </w:r>
    </w:p>
    <w:p w14:paraId="2DBD8E59">
      <w:pPr>
        <w:pStyle w:val="30"/>
        <w:widowControl/>
        <w:ind w:left="72"/>
        <w:jc w:val="left"/>
        <w:rPr>
          <w:rFonts w:hAnsi="黑体" w:cs="仿宋_GB2312"/>
          <w:b/>
          <w:bCs/>
          <w:color w:val="000000"/>
          <w:kern w:val="0"/>
          <w:shd w:val="clear" w:color="auto" w:fill="FFFFFF"/>
        </w:rPr>
      </w:pPr>
      <w:r>
        <w:rPr>
          <w:rFonts w:hint="eastAsia" w:hAnsi="黑体" w:cs="仿宋_GB2312"/>
          <w:b/>
          <w:bCs/>
          <w:color w:val="000000"/>
          <w:kern w:val="0"/>
          <w:shd w:val="clear" w:color="auto" w:fill="FFFFFF"/>
        </w:rPr>
        <w:t>部门整体预算绩效管理情况</w:t>
      </w:r>
    </w:p>
    <w:p w14:paraId="15796348">
      <w:pPr>
        <w:spacing w:line="580" w:lineRule="exact"/>
        <w:ind w:firstLine="643" w:firstLineChars="200"/>
        <w:rPr>
          <w:rFonts w:ascii="仿宋" w:hAnsi="仿宋" w:eastAsia="仿宋" w:cs="仿宋_GB2312"/>
          <w:b/>
          <w:bCs/>
          <w:sz w:val="32"/>
          <w:szCs w:val="32"/>
        </w:rPr>
      </w:pPr>
      <w:r>
        <w:rPr>
          <w:rFonts w:ascii="仿宋" w:hAnsi="仿宋" w:eastAsia="仿宋" w:cs="仿宋_GB2312"/>
          <w:b/>
          <w:bCs/>
          <w:sz w:val="32"/>
          <w:szCs w:val="32"/>
        </w:rPr>
        <w:t>（一）部门预算管理。</w:t>
      </w:r>
    </w:p>
    <w:p w14:paraId="60A91556">
      <w:pPr>
        <w:spacing w:line="560" w:lineRule="exact"/>
        <w:ind w:firstLine="643" w:firstLineChars="200"/>
        <w:rPr>
          <w:rFonts w:ascii="仿宋" w:hAnsi="仿宋" w:eastAsia="仿宋" w:cs="仿宋_GB2312"/>
          <w:b/>
          <w:bCs/>
          <w:color w:val="000000"/>
          <w:kern w:val="0"/>
          <w:sz w:val="32"/>
          <w:szCs w:val="32"/>
          <w:shd w:val="clear" w:color="auto" w:fill="FFFFFF"/>
        </w:rPr>
      </w:pPr>
      <w:r>
        <w:rPr>
          <w:rFonts w:hint="eastAsia" w:ascii="仿宋" w:hAnsi="仿宋" w:eastAsia="仿宋" w:cs="仿宋_GB2312"/>
          <w:b/>
          <w:bCs/>
          <w:color w:val="000000"/>
          <w:kern w:val="0"/>
          <w:sz w:val="32"/>
          <w:szCs w:val="32"/>
          <w:shd w:val="clear" w:color="auto" w:fill="FFFFFF"/>
        </w:rPr>
        <w:t>1、 预算编制情况</w:t>
      </w:r>
    </w:p>
    <w:p w14:paraId="566DFDB2">
      <w:pPr>
        <w:spacing w:line="560" w:lineRule="exact"/>
        <w:ind w:firstLine="640" w:firstLineChars="20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 xml:space="preserve">井研县镇阳镇财政拨款支出主要用于保障该部门机构正常运转、完成日常工作任务。  </w:t>
      </w:r>
    </w:p>
    <w:p w14:paraId="080462B5">
      <w:pPr>
        <w:spacing w:line="560" w:lineRule="exact"/>
        <w:ind w:firstLine="482" w:firstLineChars="150"/>
        <w:rPr>
          <w:rFonts w:ascii="仿宋" w:hAnsi="仿宋" w:eastAsia="仿宋" w:cs="仿宋_GB2312"/>
          <w:color w:val="000000"/>
          <w:kern w:val="0"/>
          <w:sz w:val="32"/>
          <w:szCs w:val="32"/>
          <w:shd w:val="clear" w:color="auto" w:fill="FFFFFF"/>
        </w:rPr>
      </w:pPr>
      <w:r>
        <w:rPr>
          <w:rFonts w:hint="eastAsia" w:ascii="仿宋" w:hAnsi="仿宋" w:eastAsia="仿宋" w:cs="仿宋_GB2312"/>
          <w:b/>
          <w:bCs/>
          <w:color w:val="000000"/>
          <w:kern w:val="0"/>
          <w:sz w:val="32"/>
          <w:szCs w:val="32"/>
          <w:shd w:val="clear" w:color="auto" w:fill="FFFFFF"/>
        </w:rPr>
        <w:t>（1）、基本支出</w:t>
      </w:r>
      <w:r>
        <w:rPr>
          <w:rFonts w:hint="eastAsia" w:ascii="仿宋" w:hAnsi="仿宋" w:eastAsia="仿宋" w:cs="仿宋_GB2312"/>
          <w:color w:val="000000"/>
          <w:kern w:val="0"/>
          <w:sz w:val="32"/>
          <w:szCs w:val="32"/>
          <w:shd w:val="clear" w:color="auto" w:fill="FFFFFF"/>
        </w:rPr>
        <w:t>，是用于保障机关正常运转的日常支出，包括基本工资、津贴补贴等人员经费以及办公费、印刷费、水电费、办公设备购置等日常公用经费，2020年镇阳镇基本支出</w:t>
      </w:r>
      <w:r>
        <w:rPr>
          <w:rFonts w:hint="eastAsia" w:ascii="仿宋" w:hAnsi="仿宋" w:eastAsia="仿宋"/>
          <w:color w:val="000000"/>
          <w:sz w:val="32"/>
          <w:szCs w:val="32"/>
        </w:rPr>
        <w:t>931.73</w:t>
      </w:r>
      <w:r>
        <w:rPr>
          <w:rFonts w:hint="eastAsia" w:ascii="仿宋" w:hAnsi="仿宋" w:eastAsia="仿宋" w:cs="仿宋_GB2312"/>
          <w:color w:val="000000"/>
          <w:kern w:val="0"/>
          <w:sz w:val="32"/>
          <w:szCs w:val="32"/>
          <w:shd w:val="clear" w:color="auto" w:fill="FFFFFF"/>
        </w:rPr>
        <w:t>万元。</w:t>
      </w:r>
    </w:p>
    <w:p w14:paraId="1068E333">
      <w:pPr>
        <w:spacing w:line="560" w:lineRule="exact"/>
        <w:ind w:firstLine="643" w:firstLineChars="200"/>
        <w:rPr>
          <w:rFonts w:ascii="仿宋" w:hAnsi="仿宋" w:eastAsia="仿宋" w:cs="仿宋_GB2312"/>
          <w:color w:val="000000"/>
          <w:kern w:val="0"/>
          <w:sz w:val="32"/>
          <w:szCs w:val="32"/>
          <w:shd w:val="clear" w:color="auto" w:fill="FFFFFF"/>
        </w:rPr>
      </w:pPr>
      <w:r>
        <w:rPr>
          <w:rFonts w:hint="eastAsia" w:ascii="仿宋" w:hAnsi="仿宋" w:eastAsia="仿宋" w:cs="仿宋_GB2312"/>
          <w:b/>
          <w:bCs/>
          <w:color w:val="000000"/>
          <w:kern w:val="0"/>
          <w:sz w:val="32"/>
          <w:szCs w:val="32"/>
          <w:shd w:val="clear" w:color="auto" w:fill="FFFFFF"/>
        </w:rPr>
        <w:t>（2）、项目支出</w:t>
      </w:r>
      <w:r>
        <w:rPr>
          <w:rFonts w:hint="eastAsia" w:ascii="仿宋" w:hAnsi="仿宋" w:eastAsia="仿宋" w:cs="仿宋_GB2312"/>
          <w:color w:val="000000"/>
          <w:kern w:val="0"/>
          <w:sz w:val="32"/>
          <w:szCs w:val="32"/>
          <w:shd w:val="clear" w:color="auto" w:fill="FFFFFF"/>
        </w:rPr>
        <w:t>，是用于保障机关为完成特定的行政工作任务村组干部报酬、办公费、“一事一议”、农村公共运行维护或事业发展目标，用于专项业务工作的经费支出，项目支出</w:t>
      </w:r>
      <w:r>
        <w:rPr>
          <w:rFonts w:hint="eastAsia" w:ascii="仿宋" w:hAnsi="仿宋" w:eastAsia="仿宋"/>
          <w:color w:val="000000"/>
          <w:sz w:val="32"/>
          <w:szCs w:val="32"/>
        </w:rPr>
        <w:t>682.93</w:t>
      </w:r>
      <w:r>
        <w:rPr>
          <w:rFonts w:hint="eastAsia" w:ascii="仿宋" w:hAnsi="仿宋" w:eastAsia="仿宋" w:cs="仿宋_GB2312"/>
          <w:color w:val="000000"/>
          <w:kern w:val="0"/>
          <w:sz w:val="32"/>
          <w:szCs w:val="32"/>
          <w:shd w:val="clear" w:color="auto" w:fill="FFFFFF"/>
        </w:rPr>
        <w:t>万元。</w:t>
      </w:r>
    </w:p>
    <w:p w14:paraId="479A9F60">
      <w:pPr>
        <w:spacing w:line="560" w:lineRule="exact"/>
        <w:ind w:firstLine="643" w:firstLineChars="200"/>
        <w:rPr>
          <w:rFonts w:ascii="仿宋" w:hAnsi="仿宋" w:eastAsia="仿宋" w:cs="仿宋_GB2312"/>
          <w:b/>
          <w:bCs/>
          <w:color w:val="000000"/>
          <w:kern w:val="0"/>
          <w:sz w:val="32"/>
          <w:szCs w:val="32"/>
          <w:shd w:val="clear" w:color="auto" w:fill="FFFFFF"/>
        </w:rPr>
      </w:pPr>
      <w:r>
        <w:rPr>
          <w:rFonts w:hint="eastAsia" w:ascii="仿宋" w:hAnsi="仿宋" w:eastAsia="仿宋" w:cs="仿宋_GB2312"/>
          <w:b/>
          <w:bCs/>
          <w:color w:val="000000"/>
          <w:kern w:val="0"/>
          <w:sz w:val="32"/>
          <w:szCs w:val="32"/>
          <w:shd w:val="clear" w:color="auto" w:fill="FFFFFF"/>
        </w:rPr>
        <w:t>2、 预算执行情况</w:t>
      </w:r>
    </w:p>
    <w:p w14:paraId="367A272E">
      <w:pPr>
        <w:spacing w:line="560" w:lineRule="exact"/>
        <w:ind w:firstLine="640" w:firstLineChars="20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按支出功能分类主要用于以下方面:</w:t>
      </w:r>
    </w:p>
    <w:p w14:paraId="1737C010">
      <w:pPr>
        <w:spacing w:line="600" w:lineRule="exact"/>
        <w:ind w:firstLine="643" w:firstLineChars="200"/>
        <w:rPr>
          <w:rStyle w:val="15"/>
          <w:rFonts w:ascii="仿宋" w:hAnsi="仿宋" w:eastAsia="仿宋"/>
          <w:b w:val="0"/>
          <w:bCs w:val="0"/>
          <w:color w:val="000000"/>
          <w:sz w:val="32"/>
          <w:szCs w:val="32"/>
        </w:rPr>
      </w:pPr>
      <w:r>
        <w:rPr>
          <w:rStyle w:val="15"/>
          <w:rFonts w:hint="eastAsia" w:ascii="仿宋" w:hAnsi="仿宋" w:eastAsia="仿宋"/>
          <w:bCs w:val="0"/>
          <w:color w:val="000000"/>
          <w:sz w:val="32"/>
          <w:szCs w:val="32"/>
        </w:rPr>
        <w:t>1.一般公共服务支出（类）</w:t>
      </w:r>
      <w:r>
        <w:rPr>
          <w:rStyle w:val="15"/>
          <w:rFonts w:hint="eastAsia" w:ascii="仿宋" w:hAnsi="仿宋" w:eastAsia="仿宋"/>
          <w:b w:val="0"/>
          <w:color w:val="000000"/>
          <w:sz w:val="32"/>
          <w:szCs w:val="32"/>
        </w:rPr>
        <w:t>:人大事务、政府办公厅（室）及相关事务、财政事务、党委办公厅（室）及相关机构事务（款）; 行政运行、其他人大事务支出、一般行政管理事务、其他财政事务支出、其他党委办公厅（室）及相关机构事务支出等（项）</w:t>
      </w:r>
      <w:r>
        <w:rPr>
          <w:rStyle w:val="15"/>
          <w:rFonts w:hint="eastAsia" w:ascii="仿宋" w:hAnsi="仿宋" w:eastAsia="仿宋" w:cs="仿宋_GB2312"/>
          <w:b w:val="0"/>
          <w:bCs w:val="0"/>
          <w:color w:val="000000"/>
          <w:sz w:val="32"/>
          <w:szCs w:val="32"/>
        </w:rPr>
        <w:t>支出决算数633.67万元，预算数633.67万元，完成预算100%</w:t>
      </w:r>
      <w:r>
        <w:rPr>
          <w:rStyle w:val="15"/>
          <w:rFonts w:hint="eastAsia" w:ascii="仿宋" w:hAnsi="仿宋" w:eastAsia="仿宋"/>
          <w:b w:val="0"/>
          <w:bCs w:val="0"/>
          <w:color w:val="000000"/>
          <w:sz w:val="32"/>
          <w:szCs w:val="32"/>
        </w:rPr>
        <w:t>，</w:t>
      </w:r>
      <w:r>
        <w:rPr>
          <w:rStyle w:val="15"/>
          <w:rFonts w:hint="eastAsia" w:ascii="仿宋" w:hAnsi="仿宋" w:eastAsia="仿宋" w:cs="仿宋_GB2312"/>
          <w:b w:val="0"/>
          <w:bCs w:val="0"/>
          <w:color w:val="000000"/>
          <w:sz w:val="32"/>
          <w:szCs w:val="32"/>
        </w:rPr>
        <w:t>决算数</w:t>
      </w:r>
      <w:r>
        <w:rPr>
          <w:rStyle w:val="15"/>
          <w:rFonts w:hint="eastAsia" w:ascii="仿宋" w:hAnsi="仿宋" w:eastAsia="仿宋"/>
          <w:b w:val="0"/>
          <w:color w:val="000000"/>
          <w:sz w:val="32"/>
          <w:szCs w:val="32"/>
        </w:rPr>
        <w:t>与预算数持平</w:t>
      </w:r>
      <w:r>
        <w:rPr>
          <w:rStyle w:val="15"/>
          <w:rFonts w:hint="eastAsia" w:ascii="仿宋" w:hAnsi="仿宋" w:eastAsia="仿宋"/>
          <w:b w:val="0"/>
          <w:bCs w:val="0"/>
          <w:color w:val="000000"/>
          <w:sz w:val="32"/>
          <w:szCs w:val="32"/>
        </w:rPr>
        <w:t>。</w:t>
      </w:r>
    </w:p>
    <w:p w14:paraId="34598976">
      <w:pPr>
        <w:spacing w:line="600" w:lineRule="exact"/>
        <w:ind w:firstLine="643" w:firstLineChars="200"/>
        <w:rPr>
          <w:rStyle w:val="15"/>
          <w:rFonts w:ascii="仿宋" w:hAnsi="仿宋" w:eastAsia="仿宋"/>
          <w:b w:val="0"/>
          <w:bCs w:val="0"/>
          <w:color w:val="000000"/>
          <w:sz w:val="32"/>
          <w:szCs w:val="32"/>
        </w:rPr>
      </w:pPr>
      <w:r>
        <w:rPr>
          <w:rStyle w:val="15"/>
          <w:rFonts w:hint="eastAsia" w:ascii="仿宋" w:hAnsi="仿宋" w:eastAsia="仿宋"/>
          <w:bCs w:val="0"/>
          <w:color w:val="000000"/>
          <w:sz w:val="32"/>
          <w:szCs w:val="32"/>
        </w:rPr>
        <w:t>2.文化体育与传媒支出（类）</w:t>
      </w:r>
      <w:r>
        <w:rPr>
          <w:rStyle w:val="15"/>
          <w:rFonts w:hint="eastAsia" w:ascii="仿宋" w:hAnsi="仿宋" w:eastAsia="仿宋"/>
          <w:b w:val="0"/>
          <w:color w:val="000000"/>
          <w:sz w:val="32"/>
          <w:szCs w:val="32"/>
        </w:rPr>
        <w:t>：新闻出版广播影视、其他文化旅游体育与传媒支出（款），  其他新闻出版电影支出、其他文化旅游体育与传媒支出（项）</w:t>
      </w:r>
      <w:r>
        <w:rPr>
          <w:rStyle w:val="15"/>
          <w:rFonts w:hint="eastAsia" w:ascii="仿宋" w:hAnsi="仿宋" w:eastAsia="仿宋"/>
          <w:b w:val="0"/>
          <w:bCs w:val="0"/>
          <w:color w:val="000000"/>
          <w:sz w:val="32"/>
          <w:szCs w:val="32"/>
        </w:rPr>
        <w:t>支出决算数4.3万元，</w:t>
      </w:r>
      <w:r>
        <w:rPr>
          <w:rStyle w:val="15"/>
          <w:rFonts w:hint="eastAsia" w:ascii="仿宋" w:hAnsi="仿宋" w:eastAsia="仿宋" w:cs="仿宋_GB2312"/>
          <w:b w:val="0"/>
          <w:bCs w:val="0"/>
          <w:color w:val="000000"/>
          <w:sz w:val="32"/>
          <w:szCs w:val="32"/>
        </w:rPr>
        <w:t>预算数4.3万元，完成预算100.00%，决算数</w:t>
      </w:r>
      <w:r>
        <w:rPr>
          <w:rStyle w:val="15"/>
          <w:rFonts w:hint="eastAsia" w:ascii="仿宋" w:hAnsi="仿宋" w:eastAsia="仿宋"/>
          <w:b w:val="0"/>
          <w:color w:val="000000"/>
          <w:sz w:val="32"/>
          <w:szCs w:val="32"/>
        </w:rPr>
        <w:t>与预算数持平</w:t>
      </w:r>
      <w:r>
        <w:rPr>
          <w:rStyle w:val="15"/>
          <w:rFonts w:hint="eastAsia" w:ascii="仿宋" w:hAnsi="仿宋" w:eastAsia="仿宋"/>
          <w:b w:val="0"/>
          <w:bCs w:val="0"/>
          <w:color w:val="000000"/>
          <w:sz w:val="32"/>
          <w:szCs w:val="32"/>
        </w:rPr>
        <w:t>。</w:t>
      </w:r>
    </w:p>
    <w:p w14:paraId="13144332">
      <w:pPr>
        <w:spacing w:line="600" w:lineRule="exact"/>
        <w:ind w:firstLine="643" w:firstLineChars="200"/>
        <w:rPr>
          <w:rStyle w:val="15"/>
          <w:rFonts w:ascii="仿宋" w:hAnsi="仿宋" w:eastAsia="仿宋"/>
          <w:b w:val="0"/>
          <w:bCs w:val="0"/>
          <w:color w:val="000000"/>
          <w:sz w:val="32"/>
          <w:szCs w:val="32"/>
        </w:rPr>
      </w:pPr>
      <w:r>
        <w:rPr>
          <w:rFonts w:hint="eastAsia" w:ascii="仿宋" w:hAnsi="仿宋" w:eastAsia="仿宋"/>
          <w:b/>
          <w:color w:val="000000"/>
          <w:sz w:val="32"/>
          <w:szCs w:val="32"/>
        </w:rPr>
        <w:t>3</w:t>
      </w:r>
      <w:r>
        <w:rPr>
          <w:rStyle w:val="15"/>
          <w:rFonts w:hint="eastAsia" w:ascii="仿宋" w:hAnsi="仿宋" w:eastAsia="仿宋"/>
          <w:bCs w:val="0"/>
          <w:color w:val="000000"/>
          <w:sz w:val="32"/>
          <w:szCs w:val="32"/>
        </w:rPr>
        <w:t>.社会保障和就业（类）</w:t>
      </w:r>
      <w:r>
        <w:rPr>
          <w:rStyle w:val="15"/>
          <w:rFonts w:hint="eastAsia" w:ascii="仿宋" w:hAnsi="仿宋" w:eastAsia="仿宋"/>
          <w:b w:val="0"/>
          <w:color w:val="000000"/>
          <w:sz w:val="32"/>
          <w:szCs w:val="32"/>
        </w:rPr>
        <w:t>：行政事业单位养老支出、就业补助、其他生活救助（款）；机关事业单位基本养老保险缴费支出、其他就业补助支出、其他农村生活补助（项）</w:t>
      </w:r>
      <w:r>
        <w:rPr>
          <w:rStyle w:val="15"/>
          <w:rFonts w:hint="eastAsia" w:ascii="仿宋" w:hAnsi="仿宋" w:eastAsia="仿宋"/>
          <w:b w:val="0"/>
          <w:bCs w:val="0"/>
          <w:color w:val="000000"/>
          <w:sz w:val="32"/>
          <w:szCs w:val="32"/>
        </w:rPr>
        <w:t>支出决算数66.86</w:t>
      </w:r>
      <w:r>
        <w:rPr>
          <w:rFonts w:hint="eastAsia" w:ascii="仿宋" w:hAnsi="仿宋" w:eastAsia="仿宋"/>
          <w:color w:val="000000"/>
          <w:sz w:val="32"/>
          <w:szCs w:val="32"/>
        </w:rPr>
        <w:t>万元，</w:t>
      </w:r>
      <w:r>
        <w:rPr>
          <w:rStyle w:val="15"/>
          <w:rFonts w:hint="eastAsia" w:ascii="仿宋" w:hAnsi="仿宋" w:eastAsia="仿宋" w:cs="仿宋_GB2312"/>
          <w:b w:val="0"/>
          <w:bCs w:val="0"/>
          <w:color w:val="000000"/>
          <w:sz w:val="32"/>
          <w:szCs w:val="32"/>
        </w:rPr>
        <w:t>预算数66.86万元，完成预算100.00%，决算数</w:t>
      </w:r>
      <w:r>
        <w:rPr>
          <w:rStyle w:val="15"/>
          <w:rFonts w:hint="eastAsia" w:ascii="仿宋" w:hAnsi="仿宋" w:eastAsia="仿宋"/>
          <w:b w:val="0"/>
          <w:color w:val="000000"/>
          <w:sz w:val="32"/>
          <w:szCs w:val="32"/>
        </w:rPr>
        <w:t>与预算数持平</w:t>
      </w:r>
      <w:r>
        <w:rPr>
          <w:rStyle w:val="15"/>
          <w:rFonts w:hint="eastAsia" w:ascii="仿宋" w:hAnsi="仿宋" w:eastAsia="仿宋"/>
          <w:b w:val="0"/>
          <w:bCs w:val="0"/>
          <w:color w:val="000000"/>
          <w:sz w:val="32"/>
          <w:szCs w:val="32"/>
        </w:rPr>
        <w:t>。</w:t>
      </w:r>
      <w:r>
        <w:rPr>
          <w:rFonts w:hint="eastAsia" w:ascii="仿宋" w:hAnsi="仿宋" w:eastAsia="仿宋"/>
          <w:color w:val="000000"/>
          <w:sz w:val="32"/>
          <w:szCs w:val="32"/>
        </w:rPr>
        <w:br w:type="textWrapping"/>
      </w:r>
      <w:r>
        <w:rPr>
          <w:rFonts w:hint="eastAsia" w:ascii="仿宋" w:hAnsi="仿宋" w:eastAsia="仿宋"/>
          <w:color w:val="000000"/>
          <w:sz w:val="32"/>
          <w:szCs w:val="32"/>
        </w:rPr>
        <w:t>　　</w:t>
      </w:r>
      <w:r>
        <w:rPr>
          <w:rFonts w:hint="eastAsia" w:ascii="仿宋" w:hAnsi="仿宋" w:eastAsia="仿宋"/>
          <w:b/>
          <w:color w:val="000000"/>
          <w:sz w:val="32"/>
          <w:szCs w:val="32"/>
        </w:rPr>
        <w:t>4</w:t>
      </w:r>
      <w:r>
        <w:rPr>
          <w:rStyle w:val="15"/>
          <w:rFonts w:hint="eastAsia" w:ascii="仿宋" w:hAnsi="仿宋" w:eastAsia="仿宋"/>
          <w:bCs w:val="0"/>
          <w:color w:val="000000"/>
          <w:sz w:val="32"/>
          <w:szCs w:val="32"/>
        </w:rPr>
        <w:t>.卫生健康支出（类）</w:t>
      </w:r>
      <w:r>
        <w:rPr>
          <w:rStyle w:val="15"/>
          <w:rFonts w:hint="eastAsia" w:ascii="仿宋" w:hAnsi="仿宋" w:eastAsia="仿宋"/>
          <w:b w:val="0"/>
          <w:color w:val="000000"/>
          <w:sz w:val="32"/>
          <w:szCs w:val="32"/>
        </w:rPr>
        <w:t>: 公共卫生、行政事业单位医疗（款），重大公共卫生服务、其他公共卫生支出、行政单位医疗（项）支出决算数30.00万元，</w:t>
      </w:r>
      <w:r>
        <w:rPr>
          <w:rFonts w:hint="eastAsia" w:ascii="仿宋" w:hAnsi="仿宋" w:eastAsia="仿宋"/>
          <w:color w:val="000000"/>
          <w:sz w:val="32"/>
          <w:szCs w:val="32"/>
        </w:rPr>
        <w:t>年初预算数30.00万</w:t>
      </w:r>
      <w:r>
        <w:rPr>
          <w:rStyle w:val="15"/>
          <w:rFonts w:hint="eastAsia" w:ascii="仿宋" w:hAnsi="仿宋" w:eastAsia="仿宋"/>
          <w:b w:val="0"/>
          <w:color w:val="000000"/>
          <w:sz w:val="32"/>
          <w:szCs w:val="32"/>
        </w:rPr>
        <w:t>，</w:t>
      </w:r>
      <w:r>
        <w:rPr>
          <w:rStyle w:val="15"/>
          <w:rFonts w:hint="eastAsia" w:ascii="仿宋" w:hAnsi="仿宋" w:eastAsia="仿宋" w:cs="仿宋_GB2312"/>
          <w:b w:val="0"/>
          <w:bCs w:val="0"/>
          <w:color w:val="000000"/>
          <w:sz w:val="32"/>
          <w:szCs w:val="32"/>
        </w:rPr>
        <w:t>完成预算100.00%，决算数</w:t>
      </w:r>
      <w:r>
        <w:rPr>
          <w:rStyle w:val="15"/>
          <w:rFonts w:hint="eastAsia" w:ascii="仿宋" w:hAnsi="仿宋" w:eastAsia="仿宋"/>
          <w:b w:val="0"/>
          <w:color w:val="000000"/>
          <w:sz w:val="32"/>
          <w:szCs w:val="32"/>
        </w:rPr>
        <w:t>与预算数持平</w:t>
      </w:r>
      <w:r>
        <w:rPr>
          <w:rStyle w:val="15"/>
          <w:rFonts w:hint="eastAsia" w:ascii="仿宋" w:hAnsi="仿宋" w:eastAsia="仿宋"/>
          <w:b w:val="0"/>
          <w:bCs w:val="0"/>
          <w:color w:val="000000"/>
          <w:sz w:val="32"/>
          <w:szCs w:val="32"/>
        </w:rPr>
        <w:t>。</w:t>
      </w:r>
    </w:p>
    <w:p w14:paraId="6EB4369B">
      <w:pPr>
        <w:spacing w:line="600" w:lineRule="exact"/>
        <w:ind w:firstLine="643" w:firstLineChars="200"/>
        <w:rPr>
          <w:rFonts w:ascii="仿宋" w:hAnsi="仿宋" w:eastAsia="仿宋"/>
          <w:color w:val="000000"/>
          <w:sz w:val="32"/>
          <w:szCs w:val="32"/>
        </w:rPr>
      </w:pPr>
      <w:r>
        <w:rPr>
          <w:rStyle w:val="15"/>
          <w:rFonts w:hint="eastAsia" w:ascii="仿宋" w:hAnsi="仿宋" w:eastAsia="仿宋"/>
          <w:bCs w:val="0"/>
          <w:color w:val="000000"/>
          <w:sz w:val="32"/>
          <w:szCs w:val="32"/>
        </w:rPr>
        <w:t>5.节能环保支出（类）</w:t>
      </w:r>
      <w:r>
        <w:rPr>
          <w:rStyle w:val="15"/>
          <w:rFonts w:hint="eastAsia" w:ascii="仿宋" w:hAnsi="仿宋" w:eastAsia="仿宋"/>
          <w:b w:val="0"/>
          <w:color w:val="000000"/>
          <w:sz w:val="32"/>
          <w:szCs w:val="32"/>
        </w:rPr>
        <w:t>:污染防治、自然生态保护（款），水体、农村环境保护（项）</w:t>
      </w:r>
      <w:r>
        <w:rPr>
          <w:rStyle w:val="15"/>
          <w:rFonts w:hint="eastAsia" w:ascii="仿宋" w:hAnsi="仿宋" w:eastAsia="仿宋"/>
          <w:b w:val="0"/>
          <w:bCs w:val="0"/>
          <w:color w:val="000000"/>
          <w:sz w:val="32"/>
          <w:szCs w:val="32"/>
        </w:rPr>
        <w:t>支出决算数119.77万元</w:t>
      </w:r>
      <w:r>
        <w:rPr>
          <w:rFonts w:hint="eastAsia" w:ascii="仿宋" w:hAnsi="仿宋" w:eastAsia="仿宋"/>
          <w:color w:val="000000"/>
          <w:sz w:val="32"/>
          <w:szCs w:val="32"/>
        </w:rPr>
        <w:t>，年初预算数119.77万</w:t>
      </w:r>
      <w:r>
        <w:rPr>
          <w:rStyle w:val="15"/>
          <w:rFonts w:hint="eastAsia" w:ascii="仿宋" w:hAnsi="仿宋" w:eastAsia="仿宋"/>
          <w:b w:val="0"/>
          <w:color w:val="000000"/>
          <w:sz w:val="32"/>
          <w:szCs w:val="32"/>
        </w:rPr>
        <w:t>，</w:t>
      </w:r>
      <w:r>
        <w:rPr>
          <w:rStyle w:val="15"/>
          <w:rFonts w:hint="eastAsia" w:ascii="仿宋" w:hAnsi="仿宋" w:eastAsia="仿宋" w:cs="仿宋_GB2312"/>
          <w:b w:val="0"/>
          <w:bCs w:val="0"/>
          <w:color w:val="000000"/>
          <w:sz w:val="32"/>
          <w:szCs w:val="32"/>
        </w:rPr>
        <w:t>完成预算100.00%</w:t>
      </w:r>
      <w:r>
        <w:rPr>
          <w:rStyle w:val="15"/>
          <w:rFonts w:hint="eastAsia" w:ascii="仿宋" w:hAnsi="仿宋" w:eastAsia="仿宋"/>
          <w:b w:val="0"/>
          <w:color w:val="000000"/>
          <w:sz w:val="32"/>
          <w:szCs w:val="32"/>
        </w:rPr>
        <w:t>，</w:t>
      </w:r>
      <w:r>
        <w:rPr>
          <w:rStyle w:val="15"/>
          <w:rFonts w:hint="eastAsia" w:ascii="仿宋" w:hAnsi="仿宋" w:eastAsia="仿宋" w:cs="仿宋_GB2312"/>
          <w:b w:val="0"/>
          <w:bCs w:val="0"/>
          <w:color w:val="000000"/>
          <w:sz w:val="32"/>
          <w:szCs w:val="32"/>
        </w:rPr>
        <w:t>决算数</w:t>
      </w:r>
      <w:r>
        <w:rPr>
          <w:rStyle w:val="15"/>
          <w:rFonts w:hint="eastAsia" w:ascii="仿宋" w:hAnsi="仿宋" w:eastAsia="仿宋"/>
          <w:b w:val="0"/>
          <w:color w:val="000000"/>
          <w:sz w:val="32"/>
          <w:szCs w:val="32"/>
        </w:rPr>
        <w:t>与预算数持平</w:t>
      </w:r>
      <w:r>
        <w:rPr>
          <w:rStyle w:val="15"/>
          <w:rFonts w:hint="eastAsia" w:ascii="仿宋" w:hAnsi="仿宋" w:eastAsia="仿宋"/>
          <w:b w:val="0"/>
          <w:bCs w:val="0"/>
          <w:color w:val="000000"/>
          <w:sz w:val="32"/>
          <w:szCs w:val="32"/>
        </w:rPr>
        <w:t>。</w:t>
      </w:r>
    </w:p>
    <w:p w14:paraId="6EA46A6F">
      <w:pPr>
        <w:spacing w:line="600" w:lineRule="exact"/>
        <w:ind w:firstLine="643" w:firstLineChars="200"/>
        <w:rPr>
          <w:rStyle w:val="15"/>
          <w:rFonts w:ascii="仿宋" w:hAnsi="仿宋" w:eastAsia="仿宋"/>
          <w:b w:val="0"/>
          <w:bCs w:val="0"/>
          <w:color w:val="000000"/>
          <w:sz w:val="32"/>
          <w:szCs w:val="32"/>
        </w:rPr>
      </w:pPr>
      <w:r>
        <w:rPr>
          <w:rStyle w:val="15"/>
          <w:rFonts w:hint="eastAsia" w:ascii="仿宋" w:hAnsi="仿宋" w:eastAsia="仿宋"/>
          <w:bCs w:val="0"/>
          <w:color w:val="000000"/>
          <w:sz w:val="32"/>
          <w:szCs w:val="32"/>
        </w:rPr>
        <w:t>6.城乡社区支出（类）</w:t>
      </w:r>
      <w:r>
        <w:rPr>
          <w:rStyle w:val="15"/>
          <w:rFonts w:hint="eastAsia" w:ascii="仿宋" w:hAnsi="仿宋" w:eastAsia="仿宋"/>
          <w:b w:val="0"/>
          <w:color w:val="000000"/>
          <w:sz w:val="32"/>
          <w:szCs w:val="32"/>
        </w:rPr>
        <w:t>:城乡社区管理事务（款）；行政运行（项）</w:t>
      </w:r>
      <w:r>
        <w:rPr>
          <w:rStyle w:val="15"/>
          <w:rFonts w:hint="eastAsia" w:ascii="仿宋" w:hAnsi="仿宋" w:eastAsia="仿宋"/>
          <w:b w:val="0"/>
          <w:bCs w:val="0"/>
          <w:color w:val="000000"/>
          <w:sz w:val="32"/>
          <w:szCs w:val="32"/>
        </w:rPr>
        <w:t>支出决算数12.03万元</w:t>
      </w:r>
      <w:r>
        <w:rPr>
          <w:rFonts w:hint="eastAsia" w:ascii="仿宋" w:hAnsi="仿宋" w:eastAsia="仿宋"/>
          <w:color w:val="000000"/>
          <w:sz w:val="32"/>
          <w:szCs w:val="32"/>
        </w:rPr>
        <w:t>，预算12.03万元，</w:t>
      </w:r>
      <w:r>
        <w:rPr>
          <w:rStyle w:val="15"/>
          <w:rFonts w:hint="eastAsia" w:ascii="仿宋" w:hAnsi="仿宋" w:eastAsia="仿宋" w:cs="仿宋_GB2312"/>
          <w:b w:val="0"/>
          <w:bCs w:val="0"/>
          <w:color w:val="000000"/>
          <w:sz w:val="32"/>
          <w:szCs w:val="32"/>
        </w:rPr>
        <w:t>完成预算100.00%，决算数</w:t>
      </w:r>
      <w:r>
        <w:rPr>
          <w:rStyle w:val="15"/>
          <w:rFonts w:hint="eastAsia" w:ascii="仿宋" w:hAnsi="仿宋" w:eastAsia="仿宋"/>
          <w:b w:val="0"/>
          <w:color w:val="000000"/>
          <w:sz w:val="32"/>
          <w:szCs w:val="32"/>
        </w:rPr>
        <w:t>与预算数持平</w:t>
      </w:r>
      <w:r>
        <w:rPr>
          <w:rStyle w:val="15"/>
          <w:rFonts w:hint="eastAsia" w:ascii="仿宋" w:hAnsi="仿宋" w:eastAsia="仿宋"/>
          <w:b w:val="0"/>
          <w:bCs w:val="0"/>
          <w:color w:val="000000"/>
          <w:sz w:val="32"/>
          <w:szCs w:val="32"/>
        </w:rPr>
        <w:t>。</w:t>
      </w:r>
    </w:p>
    <w:p w14:paraId="5820650C">
      <w:pPr>
        <w:ind w:firstLine="472" w:firstLineChars="147"/>
        <w:rPr>
          <w:rStyle w:val="15"/>
          <w:rFonts w:ascii="仿宋" w:hAnsi="仿宋" w:eastAsia="仿宋"/>
          <w:b w:val="0"/>
          <w:bCs w:val="0"/>
          <w:color w:val="000000"/>
          <w:sz w:val="32"/>
          <w:szCs w:val="32"/>
        </w:rPr>
      </w:pPr>
      <w:r>
        <w:rPr>
          <w:rStyle w:val="15"/>
          <w:rFonts w:hint="eastAsia" w:ascii="仿宋" w:hAnsi="仿宋" w:eastAsia="仿宋"/>
          <w:bCs w:val="0"/>
          <w:color w:val="000000"/>
          <w:sz w:val="32"/>
          <w:szCs w:val="32"/>
        </w:rPr>
        <w:t xml:space="preserve"> 7.农林水支出（类）</w:t>
      </w:r>
      <w:r>
        <w:rPr>
          <w:rStyle w:val="15"/>
          <w:rFonts w:hint="eastAsia" w:ascii="仿宋" w:hAnsi="仿宋" w:eastAsia="仿宋"/>
          <w:b w:val="0"/>
          <w:color w:val="000000"/>
          <w:sz w:val="32"/>
          <w:szCs w:val="32"/>
        </w:rPr>
        <w:t>:农业农村、林业和草原、水利、农村综合改革（款）;  行政运行、农村道路建设、其他农业农村支出、对村级一事一议的补助、对村民委员会和村支部的补助（项）</w:t>
      </w:r>
      <w:r>
        <w:rPr>
          <w:rStyle w:val="15"/>
          <w:rFonts w:hint="eastAsia" w:ascii="仿宋" w:hAnsi="仿宋" w:eastAsia="仿宋"/>
          <w:b w:val="0"/>
          <w:bCs w:val="0"/>
          <w:color w:val="000000"/>
          <w:sz w:val="32"/>
          <w:szCs w:val="32"/>
        </w:rPr>
        <w:t>支出决算数663.35万元，预算数663.35万元，</w:t>
      </w:r>
      <w:r>
        <w:rPr>
          <w:rStyle w:val="15"/>
          <w:rFonts w:hint="eastAsia" w:ascii="仿宋" w:hAnsi="仿宋" w:eastAsia="仿宋" w:cs="仿宋_GB2312"/>
          <w:b w:val="0"/>
          <w:bCs w:val="0"/>
          <w:color w:val="000000"/>
          <w:sz w:val="32"/>
          <w:szCs w:val="32"/>
        </w:rPr>
        <w:t>完成预算100.00%</w:t>
      </w:r>
      <w:r>
        <w:rPr>
          <w:rStyle w:val="15"/>
          <w:rFonts w:hint="eastAsia" w:ascii="仿宋" w:hAnsi="仿宋" w:eastAsia="仿宋"/>
          <w:b w:val="0"/>
          <w:color w:val="000000"/>
          <w:sz w:val="32"/>
          <w:szCs w:val="32"/>
        </w:rPr>
        <w:t>，</w:t>
      </w:r>
      <w:r>
        <w:rPr>
          <w:rStyle w:val="15"/>
          <w:rFonts w:hint="eastAsia" w:ascii="仿宋" w:hAnsi="仿宋" w:eastAsia="仿宋" w:cs="仿宋_GB2312"/>
          <w:b w:val="0"/>
          <w:bCs w:val="0"/>
          <w:color w:val="000000"/>
          <w:sz w:val="32"/>
          <w:szCs w:val="32"/>
        </w:rPr>
        <w:t>决算数</w:t>
      </w:r>
      <w:r>
        <w:rPr>
          <w:rStyle w:val="15"/>
          <w:rFonts w:hint="eastAsia" w:ascii="仿宋" w:hAnsi="仿宋" w:eastAsia="仿宋"/>
          <w:b w:val="0"/>
          <w:color w:val="000000"/>
          <w:sz w:val="32"/>
          <w:szCs w:val="32"/>
        </w:rPr>
        <w:t>与预算数持平</w:t>
      </w:r>
      <w:r>
        <w:rPr>
          <w:rStyle w:val="15"/>
          <w:rFonts w:hint="eastAsia" w:ascii="仿宋" w:hAnsi="仿宋" w:eastAsia="仿宋"/>
          <w:b w:val="0"/>
          <w:bCs w:val="0"/>
          <w:color w:val="000000"/>
          <w:sz w:val="32"/>
          <w:szCs w:val="32"/>
        </w:rPr>
        <w:t>。</w:t>
      </w:r>
    </w:p>
    <w:p w14:paraId="32B8BF51">
      <w:pPr>
        <w:ind w:firstLine="643" w:firstLineChars="200"/>
        <w:rPr>
          <w:rStyle w:val="15"/>
          <w:rFonts w:ascii="仿宋" w:hAnsi="仿宋" w:eastAsia="仿宋"/>
          <w:b w:val="0"/>
          <w:color w:val="000000"/>
          <w:sz w:val="32"/>
          <w:szCs w:val="32"/>
        </w:rPr>
      </w:pPr>
      <w:r>
        <w:rPr>
          <w:rStyle w:val="15"/>
          <w:rFonts w:hint="eastAsia" w:ascii="仿宋" w:hAnsi="仿宋" w:eastAsia="仿宋"/>
          <w:bCs w:val="0"/>
          <w:color w:val="000000"/>
          <w:sz w:val="32"/>
          <w:szCs w:val="32"/>
        </w:rPr>
        <w:t>8.住房保障支出（款）</w:t>
      </w:r>
      <w:r>
        <w:rPr>
          <w:rStyle w:val="15"/>
          <w:rFonts w:hint="eastAsia" w:ascii="仿宋" w:hAnsi="仿宋" w:eastAsia="仿宋"/>
          <w:b w:val="0"/>
          <w:color w:val="000000"/>
          <w:sz w:val="32"/>
          <w:szCs w:val="32"/>
        </w:rPr>
        <w:t>:住房改革支出（款）；住房公积金（项）</w:t>
      </w:r>
      <w:r>
        <w:rPr>
          <w:rFonts w:hint="eastAsia" w:ascii="仿宋" w:hAnsi="仿宋" w:eastAsia="仿宋"/>
          <w:bCs/>
          <w:color w:val="000000"/>
          <w:sz w:val="32"/>
          <w:szCs w:val="32"/>
        </w:rPr>
        <w:t>支出决算数64.63万元，预算64.63万元，</w:t>
      </w:r>
      <w:r>
        <w:rPr>
          <w:rStyle w:val="15"/>
          <w:rFonts w:hint="eastAsia" w:ascii="仿宋" w:hAnsi="仿宋" w:eastAsia="仿宋" w:cs="仿宋_GB2312"/>
          <w:b w:val="0"/>
          <w:bCs w:val="0"/>
          <w:color w:val="000000"/>
          <w:sz w:val="32"/>
          <w:szCs w:val="32"/>
        </w:rPr>
        <w:t>完成预算100.00%</w:t>
      </w:r>
      <w:r>
        <w:rPr>
          <w:rStyle w:val="15"/>
          <w:rFonts w:hint="eastAsia" w:ascii="仿宋" w:hAnsi="仿宋" w:eastAsia="仿宋"/>
          <w:b w:val="0"/>
          <w:color w:val="000000"/>
          <w:sz w:val="32"/>
          <w:szCs w:val="32"/>
        </w:rPr>
        <w:t>，</w:t>
      </w:r>
      <w:r>
        <w:rPr>
          <w:rStyle w:val="15"/>
          <w:rFonts w:hint="eastAsia" w:ascii="仿宋" w:hAnsi="仿宋" w:eastAsia="仿宋" w:cs="仿宋_GB2312"/>
          <w:b w:val="0"/>
          <w:bCs w:val="0"/>
          <w:color w:val="000000"/>
          <w:sz w:val="32"/>
          <w:szCs w:val="32"/>
        </w:rPr>
        <w:t>决算数</w:t>
      </w:r>
      <w:r>
        <w:rPr>
          <w:rStyle w:val="15"/>
          <w:rFonts w:hint="eastAsia" w:ascii="仿宋" w:hAnsi="仿宋" w:eastAsia="仿宋"/>
          <w:b w:val="0"/>
          <w:color w:val="000000"/>
          <w:sz w:val="32"/>
          <w:szCs w:val="32"/>
        </w:rPr>
        <w:t>与预算数持平</w:t>
      </w:r>
      <w:r>
        <w:rPr>
          <w:rStyle w:val="15"/>
          <w:rFonts w:hint="eastAsia" w:ascii="仿宋" w:hAnsi="仿宋" w:eastAsia="仿宋"/>
          <w:b w:val="0"/>
          <w:bCs w:val="0"/>
          <w:color w:val="000000"/>
          <w:sz w:val="32"/>
          <w:szCs w:val="32"/>
        </w:rPr>
        <w:t>。</w:t>
      </w:r>
    </w:p>
    <w:p w14:paraId="50B37D0A">
      <w:pPr>
        <w:ind w:firstLine="643" w:firstLineChars="200"/>
        <w:rPr>
          <w:rFonts w:ascii="仿宋" w:hAnsi="仿宋" w:eastAsia="仿宋"/>
          <w:bCs/>
          <w:color w:val="000000"/>
          <w:sz w:val="32"/>
          <w:szCs w:val="32"/>
        </w:rPr>
      </w:pPr>
      <w:r>
        <w:rPr>
          <w:rStyle w:val="15"/>
          <w:rFonts w:hint="eastAsia" w:ascii="仿宋" w:hAnsi="仿宋" w:eastAsia="仿宋"/>
          <w:bCs w:val="0"/>
          <w:color w:val="000000"/>
          <w:sz w:val="32"/>
          <w:szCs w:val="32"/>
        </w:rPr>
        <w:t>9.其他支出（款）</w:t>
      </w:r>
      <w:r>
        <w:rPr>
          <w:rStyle w:val="15"/>
          <w:rFonts w:hint="eastAsia" w:ascii="仿宋" w:hAnsi="仿宋" w:eastAsia="仿宋"/>
          <w:b w:val="0"/>
          <w:color w:val="000000"/>
          <w:sz w:val="32"/>
          <w:szCs w:val="32"/>
        </w:rPr>
        <w:t>:其他支出（款）；其他支出（项）</w:t>
      </w:r>
      <w:r>
        <w:rPr>
          <w:rStyle w:val="15"/>
          <w:rFonts w:hint="eastAsia" w:ascii="仿宋" w:hAnsi="仿宋" w:eastAsia="仿宋"/>
          <w:b w:val="0"/>
          <w:bCs w:val="0"/>
          <w:color w:val="000000"/>
          <w:sz w:val="32"/>
          <w:szCs w:val="32"/>
        </w:rPr>
        <w:t>支出决算数20.05万元，预算数20.05万元相等，</w:t>
      </w:r>
      <w:r>
        <w:rPr>
          <w:rFonts w:hint="eastAsia" w:ascii="仿宋" w:hAnsi="仿宋" w:eastAsia="仿宋"/>
          <w:bCs/>
          <w:color w:val="000000"/>
          <w:sz w:val="32"/>
          <w:szCs w:val="32"/>
        </w:rPr>
        <w:t>完成预算100.00%，决算数与预算数持平。</w:t>
      </w:r>
    </w:p>
    <w:p w14:paraId="6277E56F">
      <w:pPr>
        <w:spacing w:line="560" w:lineRule="exact"/>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年末结转和结余14.13万元，其中2019年第二批自然灾害救灾资金12万元，利息2.13万元结转下年支出。</w:t>
      </w:r>
    </w:p>
    <w:p w14:paraId="1BFDCFAD">
      <w:pPr>
        <w:spacing w:line="580" w:lineRule="exact"/>
        <w:ind w:firstLine="482" w:firstLineChars="150"/>
        <w:rPr>
          <w:rFonts w:ascii="仿宋" w:hAnsi="仿宋" w:eastAsia="仿宋" w:cs="仿宋_GB2312"/>
          <w:b/>
          <w:bCs/>
          <w:sz w:val="32"/>
          <w:szCs w:val="32"/>
        </w:rPr>
      </w:pPr>
      <w:r>
        <w:rPr>
          <w:rFonts w:ascii="仿宋" w:hAnsi="仿宋" w:eastAsia="仿宋" w:cs="仿宋_GB2312"/>
          <w:b/>
          <w:bCs/>
          <w:sz w:val="32"/>
          <w:szCs w:val="32"/>
        </w:rPr>
        <w:t>（二）专项预算管理。</w:t>
      </w:r>
    </w:p>
    <w:p w14:paraId="3AF949F3">
      <w:pPr>
        <w:spacing w:line="560" w:lineRule="exact"/>
        <w:rPr>
          <w:rFonts w:ascii="仿宋" w:hAnsi="仿宋" w:eastAsia="仿宋" w:cs="仿宋_GB2312"/>
          <w:b/>
          <w:bCs/>
          <w:color w:val="000000"/>
          <w:kern w:val="0"/>
          <w:sz w:val="32"/>
          <w:szCs w:val="32"/>
          <w:shd w:val="clear" w:color="auto" w:fill="FFFFFF"/>
        </w:rPr>
      </w:pPr>
      <w:r>
        <w:rPr>
          <w:rFonts w:hint="eastAsia" w:ascii="仿宋" w:hAnsi="仿宋" w:eastAsia="仿宋" w:cs="仿宋_GB2312"/>
          <w:b/>
          <w:bCs/>
          <w:color w:val="000000"/>
          <w:kern w:val="0"/>
          <w:sz w:val="32"/>
          <w:szCs w:val="32"/>
          <w:shd w:val="clear" w:color="auto" w:fill="FFFFFF"/>
        </w:rPr>
        <w:t>1、财政拨款“三公”经费支出情况</w:t>
      </w:r>
    </w:p>
    <w:p w14:paraId="24C68783">
      <w:pPr>
        <w:spacing w:line="560" w:lineRule="exact"/>
        <w:ind w:firstLine="480" w:firstLineChars="150"/>
        <w:rPr>
          <w:rFonts w:ascii="仿宋" w:hAnsi="仿宋" w:eastAsia="仿宋" w:cs="仿宋_GB2312"/>
          <w:b/>
          <w:bCs/>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w:t>
      </w:r>
      <w:r>
        <w:rPr>
          <w:rFonts w:hint="eastAsia" w:ascii="仿宋" w:hAnsi="仿宋" w:eastAsia="仿宋" w:cs="仿宋_GB2312"/>
          <w:b/>
          <w:bCs/>
          <w:color w:val="000000"/>
          <w:kern w:val="0"/>
          <w:sz w:val="32"/>
          <w:szCs w:val="32"/>
          <w:shd w:val="clear" w:color="auto" w:fill="FFFFFF"/>
        </w:rPr>
        <w:t>1）、因公出国（境）经费。</w:t>
      </w:r>
    </w:p>
    <w:p w14:paraId="179D20EF">
      <w:pPr>
        <w:spacing w:line="560" w:lineRule="exact"/>
        <w:ind w:firstLine="640" w:firstLineChars="20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2020年无因公出国（境）费，较2019年决算数持平。</w:t>
      </w:r>
    </w:p>
    <w:p w14:paraId="66CBA181">
      <w:pPr>
        <w:spacing w:line="560" w:lineRule="exact"/>
        <w:ind w:firstLine="482" w:firstLineChars="150"/>
        <w:rPr>
          <w:rFonts w:ascii="仿宋" w:hAnsi="仿宋" w:eastAsia="仿宋" w:cs="仿宋_GB2312"/>
          <w:b/>
          <w:bCs/>
          <w:color w:val="000000"/>
          <w:kern w:val="0"/>
          <w:sz w:val="32"/>
          <w:szCs w:val="32"/>
          <w:shd w:val="clear" w:color="auto" w:fill="FFFFFF"/>
        </w:rPr>
      </w:pPr>
      <w:r>
        <w:rPr>
          <w:rFonts w:hint="eastAsia" w:ascii="仿宋" w:hAnsi="仿宋" w:eastAsia="仿宋" w:cs="仿宋_GB2312"/>
          <w:b/>
          <w:bCs/>
          <w:color w:val="000000"/>
          <w:kern w:val="0"/>
          <w:sz w:val="32"/>
          <w:szCs w:val="32"/>
          <w:shd w:val="clear" w:color="auto" w:fill="FFFFFF"/>
        </w:rPr>
        <w:t>（2）、公务接待费。</w:t>
      </w:r>
    </w:p>
    <w:p w14:paraId="24748245">
      <w:pPr>
        <w:spacing w:line="560" w:lineRule="exact"/>
        <w:ind w:firstLine="640" w:firstLineChars="20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2019年公务接待费0.53万元。完成预算5.58%。公务接待费支出决算比2019年下降0.61万元，减少53.51%，主要原因是2020年压减公用经费支出压减接待费。</w:t>
      </w:r>
    </w:p>
    <w:p w14:paraId="26E81D79">
      <w:pPr>
        <w:spacing w:line="560" w:lineRule="exact"/>
        <w:ind w:firstLine="640" w:firstLineChars="20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公务接待费主要用于执行公务、开展业务活动开支的交通费、住宿费、用餐费等。国内公务接待3批次，90人次，共计支出0.53万元，具体内容包括：省市县等上级机关部门对我镇考核，调研、检查，指导工作，其他单位及部门经验交流，座谈，规划设计单位对我镇扶贫、环保等项目规划设计人员接待等。</w:t>
      </w:r>
    </w:p>
    <w:p w14:paraId="327E7539">
      <w:pPr>
        <w:spacing w:line="560" w:lineRule="exact"/>
        <w:ind w:firstLine="643" w:firstLineChars="200"/>
        <w:rPr>
          <w:rFonts w:ascii="仿宋" w:hAnsi="仿宋" w:eastAsia="仿宋" w:cs="仿宋_GB2312"/>
          <w:b/>
          <w:bCs/>
          <w:color w:val="000000"/>
          <w:kern w:val="0"/>
          <w:sz w:val="32"/>
          <w:szCs w:val="32"/>
          <w:shd w:val="clear" w:color="auto" w:fill="FFFFFF"/>
        </w:rPr>
      </w:pPr>
      <w:r>
        <w:rPr>
          <w:rFonts w:hint="eastAsia" w:ascii="仿宋" w:hAnsi="仿宋" w:eastAsia="仿宋" w:cs="仿宋_GB2312"/>
          <w:b/>
          <w:bCs/>
          <w:color w:val="000000"/>
          <w:kern w:val="0"/>
          <w:sz w:val="32"/>
          <w:szCs w:val="32"/>
          <w:shd w:val="clear" w:color="auto" w:fill="FFFFFF"/>
        </w:rPr>
        <w:t>（3）、公务用车购置及运行维护费。</w:t>
      </w:r>
    </w:p>
    <w:p w14:paraId="47385247">
      <w:pPr>
        <w:spacing w:line="560" w:lineRule="exact"/>
        <w:ind w:firstLine="640" w:firstLineChars="20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2020年公务用车购置及运行维护费8.93万元, 完成预算77.65 %。公务用车购置及运行维护费支出决算比2019年增加1.14万元，增加14.63%，主要原因是2020年疫情防控、脱贫攻坚、</w:t>
      </w:r>
      <w:r>
        <w:rPr>
          <w:rFonts w:hint="eastAsia" w:ascii="仿宋" w:hAnsi="仿宋" w:eastAsia="仿宋" w:cs="仿宋_GB2312"/>
          <w:color w:val="000000"/>
          <w:kern w:val="0"/>
          <w:sz w:val="32"/>
          <w:szCs w:val="32"/>
          <w:shd w:val="clear" w:color="auto" w:fill="FFFFFF"/>
          <w:lang w:eastAsia="zh-CN"/>
        </w:rPr>
        <w:t>环保督察</w:t>
      </w:r>
      <w:r>
        <w:rPr>
          <w:rFonts w:hint="eastAsia" w:ascii="仿宋" w:hAnsi="仿宋" w:eastAsia="仿宋" w:cs="仿宋_GB2312"/>
          <w:color w:val="000000"/>
          <w:kern w:val="0"/>
          <w:sz w:val="32"/>
          <w:szCs w:val="32"/>
          <w:shd w:val="clear" w:color="auto" w:fill="FFFFFF"/>
        </w:rPr>
        <w:t>任务重公务车使用增加相关费用增加。</w:t>
      </w:r>
    </w:p>
    <w:p w14:paraId="78220CB7">
      <w:pPr>
        <w:spacing w:line="560" w:lineRule="exact"/>
        <w:ind w:firstLine="640" w:firstLineChars="20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截至2020年12月底，单位共有公务用车4辆，其中：轿车1辆、越野车1辆，农技宣传服务用车2辆。</w:t>
      </w:r>
    </w:p>
    <w:p w14:paraId="7C60621A">
      <w:pPr>
        <w:spacing w:line="560" w:lineRule="exact"/>
        <w:ind w:firstLine="640" w:firstLineChars="20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2020年车辆运行维护费支出8.93万元，用于疫情防控、外出参加调研，扶贫攻坚，到市县开会学习、汇报工作等工作所需的公务用车燃料费、维修费、过路过桥费、保险费支出。</w:t>
      </w:r>
    </w:p>
    <w:p w14:paraId="550EE51D">
      <w:pPr>
        <w:spacing w:line="560" w:lineRule="exact"/>
        <w:ind w:firstLine="643" w:firstLineChars="200"/>
        <w:rPr>
          <w:rFonts w:ascii="仿宋" w:hAnsi="仿宋" w:eastAsia="仿宋" w:cs="仿宋_GB2312"/>
          <w:b/>
          <w:bCs/>
          <w:color w:val="000000"/>
          <w:kern w:val="0"/>
          <w:sz w:val="32"/>
          <w:szCs w:val="32"/>
          <w:shd w:val="clear" w:color="auto" w:fill="FFFFFF"/>
        </w:rPr>
      </w:pPr>
      <w:r>
        <w:rPr>
          <w:rFonts w:hint="eastAsia" w:ascii="仿宋" w:hAnsi="仿宋" w:eastAsia="仿宋" w:cs="仿宋_GB2312"/>
          <w:b/>
          <w:bCs/>
          <w:color w:val="000000"/>
          <w:kern w:val="0"/>
          <w:sz w:val="32"/>
          <w:szCs w:val="32"/>
          <w:shd w:val="clear" w:color="auto" w:fill="FFFFFF"/>
        </w:rPr>
        <w:t>2 、政府性基金预算财政拨款支出决算情况</w:t>
      </w:r>
    </w:p>
    <w:p w14:paraId="7B66F51F">
      <w:pPr>
        <w:spacing w:line="560" w:lineRule="exact"/>
        <w:ind w:firstLine="640" w:firstLineChars="20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2020年无政府性基金收入，无政府性基金支出。</w:t>
      </w:r>
    </w:p>
    <w:p w14:paraId="2CBD7CF0">
      <w:pPr>
        <w:spacing w:line="560" w:lineRule="exact"/>
        <w:ind w:firstLine="643" w:firstLineChars="200"/>
        <w:rPr>
          <w:rFonts w:ascii="仿宋" w:hAnsi="仿宋" w:eastAsia="仿宋" w:cs="仿宋_GB2312"/>
          <w:b/>
          <w:bCs/>
          <w:color w:val="000000"/>
          <w:kern w:val="0"/>
          <w:sz w:val="32"/>
          <w:szCs w:val="32"/>
          <w:shd w:val="clear" w:color="auto" w:fill="FFFFFF"/>
        </w:rPr>
      </w:pPr>
      <w:r>
        <w:rPr>
          <w:rFonts w:hint="eastAsia" w:ascii="仿宋" w:hAnsi="仿宋" w:eastAsia="仿宋" w:cs="仿宋_GB2312"/>
          <w:b/>
          <w:bCs/>
          <w:color w:val="000000"/>
          <w:kern w:val="0"/>
          <w:sz w:val="32"/>
          <w:szCs w:val="32"/>
          <w:shd w:val="clear" w:color="auto" w:fill="FFFFFF"/>
        </w:rPr>
        <w:t>3、政府采购支出情况</w:t>
      </w:r>
    </w:p>
    <w:p w14:paraId="6825A0DA">
      <w:pPr>
        <w:spacing w:line="560" w:lineRule="exact"/>
        <w:ind w:firstLine="640" w:firstLineChars="20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2020我单位无政府采购支出。</w:t>
      </w:r>
    </w:p>
    <w:p w14:paraId="20592355">
      <w:pPr>
        <w:ind w:firstLine="482" w:firstLineChars="150"/>
        <w:rPr>
          <w:rFonts w:ascii="仿宋" w:hAnsi="仿宋" w:eastAsia="仿宋" w:cs="仿宋_GB2312"/>
          <w:b/>
          <w:bCs/>
          <w:color w:val="000000"/>
          <w:kern w:val="0"/>
          <w:sz w:val="32"/>
          <w:szCs w:val="32"/>
          <w:shd w:val="clear" w:color="auto" w:fill="FFFFFF"/>
        </w:rPr>
      </w:pPr>
      <w:r>
        <w:rPr>
          <w:rFonts w:hint="eastAsia" w:ascii="仿宋" w:hAnsi="仿宋" w:eastAsia="仿宋" w:cs="仿宋_GB2312"/>
          <w:b/>
          <w:bCs/>
          <w:color w:val="000000"/>
          <w:kern w:val="0"/>
          <w:sz w:val="32"/>
          <w:szCs w:val="32"/>
          <w:shd w:val="clear" w:color="auto" w:fill="FFFFFF"/>
        </w:rPr>
        <w:t>（三）、部门整体预算绩效管理情况</w:t>
      </w:r>
    </w:p>
    <w:p w14:paraId="070FFE94">
      <w:pPr>
        <w:ind w:firstLine="643" w:firstLineChars="200"/>
        <w:rPr>
          <w:rFonts w:ascii="仿宋" w:hAnsi="仿宋" w:eastAsia="仿宋" w:cs="仿宋_GB2312"/>
          <w:b/>
          <w:bCs/>
          <w:color w:val="000000"/>
          <w:kern w:val="0"/>
          <w:sz w:val="32"/>
          <w:szCs w:val="32"/>
          <w:shd w:val="clear" w:color="auto" w:fill="FFFFFF"/>
        </w:rPr>
      </w:pPr>
      <w:r>
        <w:rPr>
          <w:rFonts w:hint="eastAsia" w:ascii="仿宋" w:hAnsi="仿宋" w:eastAsia="仿宋" w:cs="仿宋_GB2312"/>
          <w:b/>
          <w:bCs/>
          <w:color w:val="000000"/>
          <w:kern w:val="0"/>
          <w:sz w:val="32"/>
          <w:szCs w:val="32"/>
          <w:shd w:val="clear" w:color="auto" w:fill="FFFFFF"/>
        </w:rPr>
        <w:t>1、部门预算管理。</w:t>
      </w:r>
    </w:p>
    <w:p w14:paraId="46021F5F">
      <w:pPr>
        <w:ind w:firstLine="320" w:firstLineChars="10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（1）、保障镇阳镇在职人员53人、职工遗属3人的正常办公、生活秩序</w:t>
      </w:r>
    </w:p>
    <w:p w14:paraId="33BA59B7">
      <w:pPr>
        <w:ind w:firstLine="320" w:firstLineChars="10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（2）、保障全镇12个行政村，2个社区居委会村（社区）干部基本报酬不低于上年度农村居民人均可支配收入的2倍，村级组织办公经费不低于3万元/村的政策要求。</w:t>
      </w:r>
    </w:p>
    <w:p w14:paraId="1D36C68A">
      <w:pPr>
        <w:ind w:firstLine="480" w:firstLineChars="15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（3）、保障全镇12个行政村，2个社区居委会正常办公运转需求。</w:t>
      </w:r>
    </w:p>
    <w:p w14:paraId="1DC47926">
      <w:pPr>
        <w:ind w:firstLine="480" w:firstLineChars="15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4）、主要解决全镇12个行政村，2个社区居委会村（社区）居民最关心、最直接、最现实的利益问题，包括村（社区）各项公益事业建设，改善农村人居环境，保障为村（社区）居民群众办实事、做好事、解难事等支出。</w:t>
      </w:r>
    </w:p>
    <w:p w14:paraId="4C86B66A">
      <w:pPr>
        <w:ind w:firstLine="480" w:firstLineChars="15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目标实现: 干部自觉履职的积极性，确保村(社区)为村、居民群众办实事、做好事、解难事等需要的支出，保障社会和谐稳定，确保资金使用效率，保障各项工作进展顺利。</w:t>
      </w:r>
    </w:p>
    <w:p w14:paraId="7F3232C0">
      <w:pPr>
        <w:ind w:firstLine="640" w:firstLineChars="20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预算编制:准确可行具有操作实用性。</w:t>
      </w:r>
    </w:p>
    <w:p w14:paraId="5B5C86F8">
      <w:pPr>
        <w:ind w:firstLine="640" w:firstLineChars="20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支出控制：严格按照预算执行。</w:t>
      </w:r>
    </w:p>
    <w:p w14:paraId="053353AC">
      <w:pPr>
        <w:ind w:firstLine="640" w:firstLineChars="20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预算动态调整：按照预算的执行情况，根据实际发生的各项工作适时进行预算调整。</w:t>
      </w:r>
    </w:p>
    <w:p w14:paraId="6581E562">
      <w:pPr>
        <w:ind w:firstLine="640" w:firstLineChars="20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执行进度：按照预算严格进行进度执行。</w:t>
      </w:r>
    </w:p>
    <w:p w14:paraId="2748AA77">
      <w:pPr>
        <w:widowControl/>
        <w:adjustRightInd w:val="0"/>
        <w:snapToGrid w:val="0"/>
        <w:spacing w:line="580" w:lineRule="exact"/>
        <w:ind w:firstLine="643" w:firstLineChars="200"/>
        <w:contextualSpacing/>
        <w:jc w:val="left"/>
        <w:rPr>
          <w:rFonts w:ascii="仿宋" w:hAnsi="仿宋" w:eastAsia="仿宋" w:cs="仿宋_GB2312"/>
          <w:b/>
          <w:bCs/>
          <w:color w:val="000000"/>
          <w:kern w:val="0"/>
          <w:sz w:val="32"/>
          <w:szCs w:val="32"/>
          <w:shd w:val="clear" w:color="auto" w:fill="FFFFFF"/>
        </w:rPr>
      </w:pPr>
      <w:r>
        <w:rPr>
          <w:rFonts w:hint="eastAsia" w:ascii="仿宋" w:hAnsi="仿宋" w:eastAsia="仿宋" w:cs="仿宋_GB2312"/>
          <w:b/>
          <w:bCs/>
          <w:color w:val="000000"/>
          <w:kern w:val="0"/>
          <w:sz w:val="32"/>
          <w:szCs w:val="32"/>
          <w:shd w:val="clear" w:color="auto" w:fill="FFFFFF"/>
        </w:rPr>
        <w:t>2、结果应用情况。</w:t>
      </w:r>
    </w:p>
    <w:p w14:paraId="13EE9BEC">
      <w:pPr>
        <w:widowControl/>
        <w:adjustRightInd w:val="0"/>
        <w:snapToGrid w:val="0"/>
        <w:spacing w:line="580" w:lineRule="exact"/>
        <w:ind w:firstLine="640" w:firstLineChars="200"/>
        <w:contextualSpacing/>
        <w:jc w:val="left"/>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按照预算管理的要求，对预算进行绩效自评公开。对评价中存在的问题进行及时整改。</w:t>
      </w:r>
    </w:p>
    <w:p w14:paraId="493C56A3">
      <w:pPr>
        <w:pStyle w:val="30"/>
        <w:widowControl/>
        <w:numPr>
          <w:ilvl w:val="0"/>
          <w:numId w:val="0"/>
        </w:numPr>
        <w:ind w:left="283" w:leftChars="135" w:firstLine="321" w:firstLineChars="100"/>
        <w:jc w:val="left"/>
        <w:rPr>
          <w:rFonts w:ascii="仿宋" w:hAnsi="仿宋" w:eastAsia="仿宋" w:cs="仿宋_GB2312"/>
          <w:b/>
          <w:bCs/>
          <w:color w:val="000000"/>
          <w:kern w:val="0"/>
          <w:shd w:val="clear" w:color="auto" w:fill="FFFFFF"/>
        </w:rPr>
      </w:pPr>
      <w:r>
        <w:rPr>
          <w:rFonts w:hint="eastAsia" w:ascii="仿宋" w:hAnsi="仿宋" w:eastAsia="仿宋" w:cs="仿宋_GB2312"/>
          <w:b/>
          <w:bCs/>
          <w:color w:val="000000"/>
          <w:kern w:val="0"/>
          <w:shd w:val="clear" w:color="auto" w:fill="FFFFFF"/>
        </w:rPr>
        <w:t>（四）、评价结论及建议</w:t>
      </w:r>
    </w:p>
    <w:p w14:paraId="118638F0">
      <w:pPr>
        <w:ind w:firstLine="643" w:firstLineChars="200"/>
        <w:rPr>
          <w:rFonts w:ascii="仿宋" w:hAnsi="仿宋" w:eastAsia="仿宋" w:cs="仿宋_GB2312"/>
          <w:b/>
          <w:bCs/>
          <w:color w:val="000000"/>
          <w:kern w:val="0"/>
          <w:sz w:val="32"/>
          <w:szCs w:val="32"/>
          <w:shd w:val="clear" w:color="auto" w:fill="FFFFFF"/>
        </w:rPr>
      </w:pPr>
      <w:r>
        <w:rPr>
          <w:rFonts w:hint="eastAsia" w:ascii="仿宋" w:hAnsi="仿宋" w:eastAsia="仿宋" w:cs="仿宋_GB2312"/>
          <w:b/>
          <w:bCs/>
          <w:color w:val="000000"/>
          <w:kern w:val="0"/>
          <w:sz w:val="32"/>
          <w:szCs w:val="32"/>
          <w:shd w:val="clear" w:color="auto" w:fill="FFFFFF"/>
        </w:rPr>
        <w:t>1、工作开展情况</w:t>
      </w:r>
    </w:p>
    <w:p w14:paraId="3B6B6AAB">
      <w:pPr>
        <w:ind w:firstLine="640" w:firstLineChars="20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2020年工作符合预算法及各类预算管理要求，一是保障镇阳镇在职人员59人、职工遗属4人的正常办公、生活秩序；二是保障全镇12个行政村，2个社区居委会村（社区）干部基本报酬不低于上年度农村居民人均可支配收入的2倍，村级组织办公经费不低于3万元/村的政策要求。三是保障全镇12个行政村，2个社区居委会正常办公运转需求。四是主要解决全镇12个行政村，2个社区居委会村（社区）居民最关心、最直接、最现实的利益问题，包括村（社区）各项公益事业建设，改善农村人居环境，保障为村（社区）居民群众办实事、做好事、解难事等支出。</w:t>
      </w:r>
    </w:p>
    <w:p w14:paraId="6B85327C">
      <w:pPr>
        <w:ind w:firstLine="643" w:firstLineChars="200"/>
        <w:rPr>
          <w:rFonts w:ascii="仿宋" w:hAnsi="仿宋" w:eastAsia="仿宋" w:cs="仿宋_GB2312"/>
          <w:b/>
          <w:bCs/>
          <w:color w:val="000000"/>
          <w:kern w:val="0"/>
          <w:sz w:val="32"/>
          <w:szCs w:val="32"/>
          <w:shd w:val="clear" w:color="auto" w:fill="FFFFFF"/>
        </w:rPr>
      </w:pPr>
      <w:r>
        <w:rPr>
          <w:rFonts w:hint="eastAsia" w:ascii="仿宋" w:hAnsi="仿宋" w:eastAsia="仿宋" w:cs="仿宋_GB2312"/>
          <w:b/>
          <w:bCs/>
          <w:color w:val="000000"/>
          <w:kern w:val="0"/>
          <w:sz w:val="32"/>
          <w:szCs w:val="32"/>
          <w:shd w:val="clear" w:color="auto" w:fill="FFFFFF"/>
        </w:rPr>
        <w:t>2、存在问题。</w:t>
      </w:r>
    </w:p>
    <w:p w14:paraId="21302F06">
      <w:pPr>
        <w:ind w:firstLine="640" w:firstLineChars="20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各部门及相关人员对预算相关政策的知晓度不够。</w:t>
      </w:r>
    </w:p>
    <w:p w14:paraId="73B1867F">
      <w:pPr>
        <w:ind w:firstLine="643" w:firstLineChars="200"/>
        <w:rPr>
          <w:rFonts w:ascii="仿宋" w:hAnsi="仿宋" w:eastAsia="仿宋" w:cs="仿宋_GB2312"/>
          <w:b/>
          <w:bCs/>
          <w:color w:val="000000"/>
          <w:kern w:val="0"/>
          <w:sz w:val="32"/>
          <w:szCs w:val="32"/>
          <w:shd w:val="clear" w:color="auto" w:fill="FFFFFF"/>
        </w:rPr>
      </w:pPr>
      <w:r>
        <w:rPr>
          <w:rFonts w:hint="eastAsia" w:ascii="仿宋" w:hAnsi="仿宋" w:eastAsia="仿宋" w:cs="仿宋_GB2312"/>
          <w:b/>
          <w:bCs/>
          <w:color w:val="000000"/>
          <w:kern w:val="0"/>
          <w:sz w:val="32"/>
          <w:szCs w:val="32"/>
          <w:shd w:val="clear" w:color="auto" w:fill="FFFFFF"/>
        </w:rPr>
        <w:t>3、改进建议。</w:t>
      </w:r>
    </w:p>
    <w:p w14:paraId="2F2923FF">
      <w:pPr>
        <w:ind w:firstLine="640" w:firstLineChars="20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加强《预算法》及预算相关政策的宣传。</w:t>
      </w:r>
    </w:p>
    <w:p w14:paraId="0E8B09D2">
      <w:pPr>
        <w:rPr>
          <w:rFonts w:ascii="仿宋" w:hAnsi="仿宋" w:eastAsia="仿宋" w:cs="仿宋_GB2312"/>
          <w:color w:val="000000"/>
          <w:kern w:val="0"/>
          <w:sz w:val="32"/>
          <w:szCs w:val="32"/>
          <w:shd w:val="clear" w:color="auto" w:fill="FFFFFF"/>
        </w:rPr>
      </w:pPr>
    </w:p>
    <w:p w14:paraId="7B69E29E">
      <w:pPr>
        <w:rPr>
          <w:rFonts w:ascii="仿宋" w:hAnsi="仿宋" w:eastAsia="仿宋" w:cs="仿宋_GB2312"/>
          <w:color w:val="000000"/>
          <w:kern w:val="0"/>
          <w:sz w:val="32"/>
          <w:szCs w:val="32"/>
          <w:shd w:val="clear" w:color="auto" w:fill="FFFFFF"/>
        </w:rPr>
      </w:pPr>
    </w:p>
    <w:p w14:paraId="1C2C3920">
      <w:pPr>
        <w:rPr>
          <w:rFonts w:ascii="仿宋" w:hAnsi="仿宋" w:eastAsia="仿宋" w:cs="仿宋_GB2312"/>
          <w:color w:val="000000"/>
          <w:kern w:val="0"/>
          <w:sz w:val="32"/>
          <w:szCs w:val="32"/>
          <w:shd w:val="clear" w:color="auto" w:fill="FFFFFF"/>
        </w:rPr>
      </w:pPr>
    </w:p>
    <w:p w14:paraId="7CC9847F">
      <w:pPr>
        <w:rPr>
          <w:rFonts w:ascii="仿宋" w:hAnsi="仿宋" w:eastAsia="仿宋" w:cs="仿宋_GB2312"/>
          <w:color w:val="000000"/>
          <w:kern w:val="0"/>
          <w:sz w:val="32"/>
          <w:szCs w:val="32"/>
          <w:shd w:val="clear" w:color="auto" w:fill="FFFFFF"/>
        </w:rPr>
      </w:pPr>
    </w:p>
    <w:p w14:paraId="5754C12B">
      <w:pPr>
        <w:rPr>
          <w:rFonts w:ascii="仿宋" w:hAnsi="仿宋" w:eastAsia="仿宋" w:cs="仿宋_GB2312"/>
          <w:color w:val="000000"/>
          <w:kern w:val="0"/>
          <w:sz w:val="32"/>
          <w:szCs w:val="32"/>
          <w:shd w:val="clear" w:color="auto" w:fill="FFFFFF"/>
        </w:rPr>
      </w:pPr>
    </w:p>
    <w:p w14:paraId="6111E52A">
      <w:pPr>
        <w:rPr>
          <w:rFonts w:ascii="仿宋" w:hAnsi="仿宋" w:eastAsia="仿宋" w:cs="仿宋_GB2312"/>
          <w:color w:val="000000"/>
          <w:kern w:val="0"/>
          <w:sz w:val="32"/>
          <w:szCs w:val="32"/>
          <w:shd w:val="clear" w:color="auto" w:fill="FFFFFF"/>
        </w:rPr>
      </w:pPr>
    </w:p>
    <w:p w14:paraId="0822E389">
      <w:pPr>
        <w:rPr>
          <w:rFonts w:ascii="仿宋" w:hAnsi="仿宋" w:eastAsia="仿宋" w:cs="仿宋_GB2312"/>
          <w:color w:val="000000"/>
          <w:kern w:val="0"/>
          <w:sz w:val="32"/>
          <w:szCs w:val="32"/>
          <w:shd w:val="clear" w:color="auto" w:fill="FFFFFF"/>
        </w:rPr>
      </w:pPr>
    </w:p>
    <w:p w14:paraId="46C1140F">
      <w:pPr>
        <w:rPr>
          <w:rFonts w:ascii="仿宋" w:hAnsi="仿宋" w:eastAsia="仿宋" w:cs="仿宋_GB2312"/>
          <w:color w:val="000000"/>
          <w:kern w:val="0"/>
          <w:sz w:val="32"/>
          <w:szCs w:val="32"/>
          <w:shd w:val="clear" w:color="auto" w:fill="FFFFFF"/>
        </w:rPr>
      </w:pPr>
    </w:p>
    <w:p w14:paraId="542715F6">
      <w:pPr>
        <w:rPr>
          <w:rFonts w:ascii="仿宋" w:hAnsi="仿宋" w:eastAsia="仿宋" w:cs="仿宋_GB2312"/>
          <w:color w:val="000000"/>
          <w:kern w:val="0"/>
          <w:sz w:val="32"/>
          <w:szCs w:val="32"/>
          <w:shd w:val="clear" w:color="auto" w:fill="FFFFFF"/>
        </w:rPr>
      </w:pPr>
    </w:p>
    <w:p w14:paraId="3E7D0562">
      <w:pPr>
        <w:rPr>
          <w:rFonts w:ascii="仿宋" w:hAnsi="仿宋" w:eastAsia="仿宋" w:cs="仿宋_GB2312"/>
          <w:color w:val="000000"/>
          <w:kern w:val="0"/>
          <w:sz w:val="32"/>
          <w:szCs w:val="32"/>
          <w:shd w:val="clear" w:color="auto" w:fill="FFFFFF"/>
        </w:rPr>
      </w:pPr>
    </w:p>
    <w:p w14:paraId="182970B0"/>
    <w:p w14:paraId="2AC8AE76"/>
    <w:p w14:paraId="0786AB95">
      <w:pPr>
        <w:pStyle w:val="17"/>
        <w:spacing w:line="560" w:lineRule="exact"/>
        <w:rPr>
          <w:rFonts w:ascii="仿宋_GB2312" w:eastAsia="仿宋_GB2312"/>
          <w:b/>
          <w:bCs/>
          <w:sz w:val="32"/>
          <w:szCs w:val="32"/>
        </w:rPr>
      </w:pPr>
      <w:r>
        <w:rPr>
          <w:rFonts w:hint="eastAsia" w:ascii="仿宋_GB2312" w:eastAsia="仿宋_GB2312"/>
          <w:b/>
          <w:bCs/>
          <w:sz w:val="32"/>
          <w:szCs w:val="32"/>
        </w:rPr>
        <w:t>附件2</w:t>
      </w:r>
    </w:p>
    <w:tbl>
      <w:tblPr>
        <w:tblStyle w:val="13"/>
        <w:tblW w:w="8536" w:type="dxa"/>
        <w:tblInd w:w="0" w:type="dxa"/>
        <w:tblLayout w:type="fixed"/>
        <w:tblCellMar>
          <w:top w:w="0" w:type="dxa"/>
          <w:left w:w="108" w:type="dxa"/>
          <w:bottom w:w="0" w:type="dxa"/>
          <w:right w:w="108" w:type="dxa"/>
        </w:tblCellMar>
      </w:tblPr>
      <w:tblGrid>
        <w:gridCol w:w="576"/>
        <w:gridCol w:w="576"/>
        <w:gridCol w:w="538"/>
        <w:gridCol w:w="534"/>
        <w:gridCol w:w="961"/>
        <w:gridCol w:w="3087"/>
        <w:gridCol w:w="536"/>
        <w:gridCol w:w="1492"/>
        <w:gridCol w:w="236"/>
      </w:tblGrid>
      <w:tr w14:paraId="594C3EB8">
        <w:tblPrEx>
          <w:tblCellMar>
            <w:top w:w="0" w:type="dxa"/>
            <w:left w:w="108" w:type="dxa"/>
            <w:bottom w:w="0" w:type="dxa"/>
            <w:right w:w="108" w:type="dxa"/>
          </w:tblCellMar>
        </w:tblPrEx>
        <w:trPr>
          <w:trHeight w:val="1620" w:hRule="atLeast"/>
        </w:trPr>
        <w:tc>
          <w:tcPr>
            <w:tcW w:w="8300" w:type="dxa"/>
            <w:gridSpan w:val="8"/>
            <w:tcBorders>
              <w:top w:val="nil"/>
              <w:left w:val="nil"/>
              <w:bottom w:val="nil"/>
              <w:right w:val="nil"/>
            </w:tcBorders>
            <w:shd w:val="clear" w:color="000000" w:fill="FFFFFF"/>
          </w:tcPr>
          <w:p w14:paraId="6A41728A">
            <w:pPr>
              <w:widowControl/>
              <w:spacing w:after="720"/>
              <w:jc w:val="center"/>
              <w:rPr>
                <w:rFonts w:ascii="方正小标宋简体" w:hAnsi="宋体" w:eastAsia="方正小标宋简体" w:cs="宋体"/>
                <w:b/>
                <w:bCs/>
                <w:color w:val="000000"/>
                <w:kern w:val="0"/>
                <w:sz w:val="44"/>
                <w:szCs w:val="44"/>
              </w:rPr>
            </w:pPr>
            <w:r>
              <w:rPr>
                <w:rFonts w:hint="eastAsia" w:ascii="方正小标宋简体" w:hAnsi="宋体" w:eastAsia="方正小标宋简体" w:cs="宋体"/>
                <w:b/>
                <w:bCs/>
                <w:color w:val="000000"/>
                <w:kern w:val="0"/>
                <w:sz w:val="44"/>
                <w:szCs w:val="44"/>
              </w:rPr>
              <w:t>部门整体支出绩效评价指标体系</w:t>
            </w:r>
          </w:p>
        </w:tc>
        <w:tc>
          <w:tcPr>
            <w:tcW w:w="236" w:type="dxa"/>
            <w:tcBorders>
              <w:top w:val="nil"/>
              <w:left w:val="nil"/>
              <w:bottom w:val="nil"/>
              <w:right w:val="nil"/>
            </w:tcBorders>
            <w:shd w:val="clear" w:color="000000" w:fill="FFFFFF"/>
            <w:noWrap/>
            <w:vAlign w:val="bottom"/>
          </w:tcPr>
          <w:p w14:paraId="1F055A4F">
            <w:pPr>
              <w:widowControl/>
              <w:jc w:val="left"/>
              <w:rPr>
                <w:rFonts w:ascii="宋体" w:hAnsi="宋体" w:cs="宋体"/>
                <w:b/>
                <w:bCs/>
                <w:color w:val="000000"/>
                <w:kern w:val="0"/>
                <w:sz w:val="18"/>
                <w:szCs w:val="18"/>
              </w:rPr>
            </w:pPr>
            <w:r>
              <w:rPr>
                <w:rFonts w:hint="eastAsia" w:ascii="宋体" w:hAnsi="宋体" w:cs="宋体"/>
                <w:b/>
                <w:bCs/>
                <w:color w:val="000000"/>
                <w:kern w:val="0"/>
                <w:sz w:val="18"/>
                <w:szCs w:val="18"/>
              </w:rPr>
              <w:t>　</w:t>
            </w:r>
          </w:p>
        </w:tc>
      </w:tr>
      <w:tr w14:paraId="210A64B0">
        <w:tblPrEx>
          <w:tblCellMar>
            <w:top w:w="0" w:type="dxa"/>
            <w:left w:w="108" w:type="dxa"/>
            <w:bottom w:w="0" w:type="dxa"/>
            <w:right w:w="108" w:type="dxa"/>
          </w:tblCellMar>
        </w:tblPrEx>
        <w:trPr>
          <w:trHeight w:val="1065" w:hRule="atLeast"/>
        </w:trPr>
        <w:tc>
          <w:tcPr>
            <w:tcW w:w="169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775DDA14">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绩效指标</w:t>
            </w:r>
          </w:p>
        </w:tc>
        <w:tc>
          <w:tcPr>
            <w:tcW w:w="53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94A873A">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指标分值</w:t>
            </w:r>
          </w:p>
        </w:tc>
        <w:tc>
          <w:tcPr>
            <w:tcW w:w="96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29A115D">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评价要点及说明</w:t>
            </w:r>
          </w:p>
        </w:tc>
        <w:tc>
          <w:tcPr>
            <w:tcW w:w="308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135D6A6">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计分标准</w:t>
            </w:r>
          </w:p>
        </w:tc>
        <w:tc>
          <w:tcPr>
            <w:tcW w:w="536" w:type="dxa"/>
            <w:vMerge w:val="restart"/>
            <w:tcBorders>
              <w:top w:val="single" w:color="auto" w:sz="4" w:space="0"/>
              <w:left w:val="nil"/>
              <w:bottom w:val="single" w:color="auto" w:sz="4" w:space="0"/>
              <w:right w:val="single" w:color="auto" w:sz="4" w:space="0"/>
            </w:tcBorders>
            <w:shd w:val="clear" w:color="000000" w:fill="FFFFFF"/>
            <w:vAlign w:val="center"/>
          </w:tcPr>
          <w:p w14:paraId="673E73C7">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得分情况</w:t>
            </w:r>
          </w:p>
        </w:tc>
        <w:tc>
          <w:tcPr>
            <w:tcW w:w="149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9FCE60D">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得分说明及佐证材料</w:t>
            </w:r>
          </w:p>
        </w:tc>
        <w:tc>
          <w:tcPr>
            <w:tcW w:w="236" w:type="dxa"/>
            <w:tcBorders>
              <w:top w:val="nil"/>
              <w:left w:val="nil"/>
              <w:bottom w:val="nil"/>
              <w:right w:val="nil"/>
            </w:tcBorders>
            <w:shd w:val="clear" w:color="000000" w:fill="FFFFFF"/>
            <w:noWrap/>
            <w:vAlign w:val="bottom"/>
          </w:tcPr>
          <w:p w14:paraId="279E2DB0">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14:paraId="4C33DDEE">
        <w:tblPrEx>
          <w:tblCellMar>
            <w:top w:w="0" w:type="dxa"/>
            <w:left w:w="108" w:type="dxa"/>
            <w:bottom w:w="0" w:type="dxa"/>
            <w:right w:w="108" w:type="dxa"/>
          </w:tblCellMar>
        </w:tblPrEx>
        <w:trPr>
          <w:trHeight w:val="1185" w:hRule="atLeast"/>
        </w:trPr>
        <w:tc>
          <w:tcPr>
            <w:tcW w:w="576" w:type="dxa"/>
            <w:tcBorders>
              <w:top w:val="nil"/>
              <w:left w:val="single" w:color="auto" w:sz="4" w:space="0"/>
              <w:bottom w:val="single" w:color="auto" w:sz="4" w:space="0"/>
              <w:right w:val="single" w:color="auto" w:sz="4" w:space="0"/>
            </w:tcBorders>
            <w:shd w:val="clear" w:color="000000" w:fill="FFFFFF"/>
            <w:vAlign w:val="center"/>
          </w:tcPr>
          <w:p w14:paraId="496ADF99">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一级指标</w:t>
            </w:r>
          </w:p>
        </w:tc>
        <w:tc>
          <w:tcPr>
            <w:tcW w:w="576" w:type="dxa"/>
            <w:tcBorders>
              <w:top w:val="nil"/>
              <w:left w:val="nil"/>
              <w:bottom w:val="single" w:color="auto" w:sz="4" w:space="0"/>
              <w:right w:val="single" w:color="auto" w:sz="4" w:space="0"/>
            </w:tcBorders>
            <w:shd w:val="clear" w:color="000000" w:fill="FFFFFF"/>
            <w:vAlign w:val="center"/>
          </w:tcPr>
          <w:p w14:paraId="611F7B32">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二级指标</w:t>
            </w:r>
          </w:p>
        </w:tc>
        <w:tc>
          <w:tcPr>
            <w:tcW w:w="538" w:type="dxa"/>
            <w:tcBorders>
              <w:top w:val="nil"/>
              <w:left w:val="nil"/>
              <w:bottom w:val="single" w:color="auto" w:sz="4" w:space="0"/>
              <w:right w:val="single" w:color="auto" w:sz="4" w:space="0"/>
            </w:tcBorders>
            <w:shd w:val="clear" w:color="000000" w:fill="FFFFFF"/>
            <w:vAlign w:val="center"/>
          </w:tcPr>
          <w:p w14:paraId="07C52D33">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三级指标</w:t>
            </w:r>
          </w:p>
        </w:tc>
        <w:tc>
          <w:tcPr>
            <w:tcW w:w="534" w:type="dxa"/>
            <w:vMerge w:val="continue"/>
            <w:tcBorders>
              <w:top w:val="single" w:color="auto" w:sz="4" w:space="0"/>
              <w:left w:val="single" w:color="auto" w:sz="4" w:space="0"/>
              <w:bottom w:val="single" w:color="auto" w:sz="4" w:space="0"/>
              <w:right w:val="single" w:color="auto" w:sz="4" w:space="0"/>
            </w:tcBorders>
            <w:vAlign w:val="center"/>
          </w:tcPr>
          <w:p w14:paraId="7DEE018C">
            <w:pPr>
              <w:widowControl/>
              <w:jc w:val="left"/>
              <w:rPr>
                <w:rFonts w:ascii="宋体" w:hAnsi="宋体" w:cs="宋体"/>
                <w:b/>
                <w:bCs/>
                <w:color w:val="000000"/>
                <w:kern w:val="0"/>
                <w:sz w:val="18"/>
                <w:szCs w:val="18"/>
              </w:rPr>
            </w:pPr>
          </w:p>
        </w:tc>
        <w:tc>
          <w:tcPr>
            <w:tcW w:w="961" w:type="dxa"/>
            <w:vMerge w:val="continue"/>
            <w:tcBorders>
              <w:top w:val="single" w:color="auto" w:sz="4" w:space="0"/>
              <w:left w:val="single" w:color="auto" w:sz="4" w:space="0"/>
              <w:bottom w:val="single" w:color="auto" w:sz="4" w:space="0"/>
              <w:right w:val="single" w:color="auto" w:sz="4" w:space="0"/>
            </w:tcBorders>
            <w:vAlign w:val="center"/>
          </w:tcPr>
          <w:p w14:paraId="50045603">
            <w:pPr>
              <w:widowControl/>
              <w:jc w:val="left"/>
              <w:rPr>
                <w:rFonts w:ascii="宋体" w:hAnsi="宋体" w:cs="宋体"/>
                <w:b/>
                <w:bCs/>
                <w:color w:val="000000"/>
                <w:kern w:val="0"/>
                <w:sz w:val="18"/>
                <w:szCs w:val="18"/>
              </w:rPr>
            </w:pPr>
          </w:p>
        </w:tc>
        <w:tc>
          <w:tcPr>
            <w:tcW w:w="3087" w:type="dxa"/>
            <w:vMerge w:val="continue"/>
            <w:tcBorders>
              <w:top w:val="single" w:color="auto" w:sz="4" w:space="0"/>
              <w:left w:val="single" w:color="auto" w:sz="4" w:space="0"/>
              <w:bottom w:val="single" w:color="auto" w:sz="4" w:space="0"/>
              <w:right w:val="single" w:color="auto" w:sz="4" w:space="0"/>
            </w:tcBorders>
            <w:vAlign w:val="center"/>
          </w:tcPr>
          <w:p w14:paraId="7CB1D970">
            <w:pPr>
              <w:widowControl/>
              <w:jc w:val="left"/>
              <w:rPr>
                <w:rFonts w:ascii="宋体" w:hAnsi="宋体" w:cs="宋体"/>
                <w:b/>
                <w:bCs/>
                <w:color w:val="000000"/>
                <w:kern w:val="0"/>
                <w:sz w:val="18"/>
                <w:szCs w:val="18"/>
              </w:rPr>
            </w:pPr>
          </w:p>
        </w:tc>
        <w:tc>
          <w:tcPr>
            <w:tcW w:w="536" w:type="dxa"/>
            <w:vMerge w:val="continue"/>
            <w:tcBorders>
              <w:top w:val="single" w:color="auto" w:sz="4" w:space="0"/>
              <w:left w:val="nil"/>
              <w:bottom w:val="single" w:color="auto" w:sz="4" w:space="0"/>
              <w:right w:val="single" w:color="auto" w:sz="4" w:space="0"/>
            </w:tcBorders>
            <w:vAlign w:val="center"/>
          </w:tcPr>
          <w:p w14:paraId="7AD18950">
            <w:pPr>
              <w:widowControl/>
              <w:jc w:val="left"/>
              <w:rPr>
                <w:rFonts w:ascii="宋体" w:hAnsi="宋体" w:cs="宋体"/>
                <w:b/>
                <w:bCs/>
                <w:color w:val="000000"/>
                <w:kern w:val="0"/>
                <w:sz w:val="18"/>
                <w:szCs w:val="18"/>
              </w:rPr>
            </w:pPr>
          </w:p>
        </w:tc>
        <w:tc>
          <w:tcPr>
            <w:tcW w:w="1492" w:type="dxa"/>
            <w:vMerge w:val="continue"/>
            <w:tcBorders>
              <w:top w:val="single" w:color="auto" w:sz="4" w:space="0"/>
              <w:left w:val="single" w:color="auto" w:sz="4" w:space="0"/>
              <w:bottom w:val="single" w:color="auto" w:sz="4" w:space="0"/>
              <w:right w:val="single" w:color="auto" w:sz="4" w:space="0"/>
            </w:tcBorders>
            <w:vAlign w:val="center"/>
          </w:tcPr>
          <w:p w14:paraId="638358AA">
            <w:pPr>
              <w:widowControl/>
              <w:jc w:val="left"/>
              <w:rPr>
                <w:rFonts w:ascii="宋体" w:hAnsi="宋体" w:cs="宋体"/>
                <w:b/>
                <w:bCs/>
                <w:color w:val="000000"/>
                <w:kern w:val="0"/>
                <w:sz w:val="18"/>
                <w:szCs w:val="18"/>
              </w:rPr>
            </w:pPr>
          </w:p>
        </w:tc>
        <w:tc>
          <w:tcPr>
            <w:tcW w:w="236" w:type="dxa"/>
            <w:tcBorders>
              <w:top w:val="nil"/>
              <w:left w:val="nil"/>
              <w:bottom w:val="nil"/>
              <w:right w:val="nil"/>
            </w:tcBorders>
            <w:shd w:val="clear" w:color="000000" w:fill="FFFFFF"/>
            <w:noWrap/>
            <w:vAlign w:val="bottom"/>
          </w:tcPr>
          <w:p w14:paraId="36A97D51">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14:paraId="6BBC705E">
        <w:tblPrEx>
          <w:tblCellMar>
            <w:top w:w="0" w:type="dxa"/>
            <w:left w:w="108" w:type="dxa"/>
            <w:bottom w:w="0" w:type="dxa"/>
            <w:right w:w="108" w:type="dxa"/>
          </w:tblCellMar>
        </w:tblPrEx>
        <w:trPr>
          <w:trHeight w:val="1457" w:hRule="atLeast"/>
        </w:trPr>
        <w:tc>
          <w:tcPr>
            <w:tcW w:w="576" w:type="dxa"/>
            <w:vMerge w:val="restart"/>
            <w:tcBorders>
              <w:top w:val="nil"/>
              <w:left w:val="single" w:color="auto" w:sz="4" w:space="0"/>
              <w:bottom w:val="single" w:color="auto" w:sz="4" w:space="0"/>
              <w:right w:val="single" w:color="auto" w:sz="4" w:space="0"/>
            </w:tcBorders>
            <w:shd w:val="clear" w:color="000000" w:fill="FFFFFF"/>
            <w:vAlign w:val="center"/>
          </w:tcPr>
          <w:p w14:paraId="0C729532">
            <w:pPr>
              <w:widowControl/>
              <w:jc w:val="center"/>
              <w:rPr>
                <w:rFonts w:ascii="宋体" w:hAnsi="宋体" w:cs="宋体"/>
                <w:color w:val="000000"/>
                <w:kern w:val="0"/>
                <w:sz w:val="18"/>
                <w:szCs w:val="18"/>
              </w:rPr>
            </w:pPr>
            <w:r>
              <w:rPr>
                <w:rFonts w:hint="eastAsia" w:ascii="宋体" w:hAnsi="宋体" w:cs="宋体"/>
                <w:color w:val="000000"/>
                <w:kern w:val="0"/>
                <w:sz w:val="18"/>
                <w:szCs w:val="18"/>
              </w:rPr>
              <w:t>部门管理（80分）</w:t>
            </w:r>
          </w:p>
        </w:tc>
        <w:tc>
          <w:tcPr>
            <w:tcW w:w="576" w:type="dxa"/>
            <w:vMerge w:val="restart"/>
            <w:tcBorders>
              <w:top w:val="nil"/>
              <w:left w:val="single" w:color="auto" w:sz="4" w:space="0"/>
              <w:bottom w:val="single" w:color="000000" w:sz="4" w:space="0"/>
              <w:right w:val="single" w:color="auto" w:sz="4" w:space="0"/>
            </w:tcBorders>
            <w:shd w:val="clear" w:color="000000" w:fill="FFFFFF"/>
            <w:vAlign w:val="center"/>
          </w:tcPr>
          <w:p w14:paraId="462EBAC9">
            <w:pPr>
              <w:widowControl/>
              <w:jc w:val="center"/>
              <w:rPr>
                <w:rFonts w:ascii="宋体" w:hAnsi="宋体" w:cs="宋体"/>
                <w:color w:val="000000"/>
                <w:kern w:val="0"/>
                <w:sz w:val="18"/>
                <w:szCs w:val="18"/>
              </w:rPr>
            </w:pPr>
            <w:r>
              <w:rPr>
                <w:rFonts w:hint="eastAsia" w:ascii="宋体" w:hAnsi="宋体" w:cs="宋体"/>
                <w:color w:val="000000"/>
                <w:kern w:val="0"/>
                <w:sz w:val="18"/>
                <w:szCs w:val="18"/>
              </w:rPr>
              <w:t>预算管理（50分）</w:t>
            </w:r>
          </w:p>
        </w:tc>
        <w:tc>
          <w:tcPr>
            <w:tcW w:w="538" w:type="dxa"/>
            <w:tcBorders>
              <w:top w:val="nil"/>
              <w:left w:val="nil"/>
              <w:bottom w:val="single" w:color="auto" w:sz="4" w:space="0"/>
              <w:right w:val="single" w:color="auto" w:sz="4" w:space="0"/>
            </w:tcBorders>
            <w:shd w:val="clear" w:color="000000" w:fill="FFFFFF"/>
            <w:vAlign w:val="center"/>
          </w:tcPr>
          <w:p w14:paraId="7A204CC0">
            <w:pPr>
              <w:widowControl/>
              <w:jc w:val="center"/>
              <w:rPr>
                <w:rFonts w:ascii="宋体" w:hAnsi="宋体" w:cs="宋体"/>
                <w:color w:val="000000"/>
                <w:kern w:val="0"/>
                <w:sz w:val="18"/>
                <w:szCs w:val="18"/>
              </w:rPr>
            </w:pPr>
            <w:r>
              <w:rPr>
                <w:rFonts w:hint="eastAsia" w:ascii="宋体" w:hAnsi="宋体" w:cs="宋体"/>
                <w:color w:val="000000"/>
                <w:kern w:val="0"/>
                <w:sz w:val="18"/>
                <w:szCs w:val="18"/>
              </w:rPr>
              <w:t>预算目标制定</w:t>
            </w:r>
          </w:p>
        </w:tc>
        <w:tc>
          <w:tcPr>
            <w:tcW w:w="534" w:type="dxa"/>
            <w:tcBorders>
              <w:top w:val="nil"/>
              <w:left w:val="nil"/>
              <w:bottom w:val="single" w:color="auto" w:sz="4" w:space="0"/>
              <w:right w:val="single" w:color="auto" w:sz="4" w:space="0"/>
            </w:tcBorders>
            <w:shd w:val="clear" w:color="000000" w:fill="FFFFFF"/>
            <w:vAlign w:val="center"/>
          </w:tcPr>
          <w:p w14:paraId="22C5B957">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961" w:type="dxa"/>
            <w:tcBorders>
              <w:top w:val="nil"/>
              <w:left w:val="nil"/>
              <w:bottom w:val="single" w:color="auto" w:sz="4" w:space="0"/>
              <w:right w:val="single" w:color="auto" w:sz="4" w:space="0"/>
            </w:tcBorders>
            <w:shd w:val="clear" w:color="000000" w:fill="FFFFFF"/>
            <w:vAlign w:val="center"/>
          </w:tcPr>
          <w:p w14:paraId="0A00A58A">
            <w:pPr>
              <w:widowControl/>
              <w:jc w:val="left"/>
              <w:rPr>
                <w:rFonts w:ascii="宋体" w:hAnsi="宋体" w:cs="宋体"/>
                <w:color w:val="000000"/>
                <w:kern w:val="0"/>
                <w:sz w:val="18"/>
                <w:szCs w:val="18"/>
              </w:rPr>
            </w:pPr>
            <w:r>
              <w:rPr>
                <w:rFonts w:hint="eastAsia" w:ascii="宋体" w:hAnsi="宋体" w:cs="宋体"/>
                <w:color w:val="000000"/>
                <w:kern w:val="0"/>
                <w:sz w:val="18"/>
                <w:szCs w:val="18"/>
              </w:rPr>
              <w:t>评价部门绩效目标是否要素完整、细化量化。</w:t>
            </w:r>
          </w:p>
        </w:tc>
        <w:tc>
          <w:tcPr>
            <w:tcW w:w="3087" w:type="dxa"/>
            <w:tcBorders>
              <w:top w:val="nil"/>
              <w:left w:val="nil"/>
              <w:bottom w:val="single" w:color="auto" w:sz="4" w:space="0"/>
              <w:right w:val="single" w:color="auto" w:sz="4" w:space="0"/>
            </w:tcBorders>
            <w:shd w:val="clear" w:color="000000" w:fill="FFFFFF"/>
            <w:vAlign w:val="center"/>
          </w:tcPr>
          <w:p w14:paraId="01C55079">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1.绩效目标编制要素完整的，得5分，否则缺少一项扣0.5分。                                                       2.绩效指标细化量化的，得5分，否则缺少一项扣0.5分。   </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 xml:space="preserve">扣分数不超过本项分值。                                                               </w:t>
            </w:r>
          </w:p>
        </w:tc>
        <w:tc>
          <w:tcPr>
            <w:tcW w:w="536" w:type="dxa"/>
            <w:tcBorders>
              <w:top w:val="nil"/>
              <w:left w:val="nil"/>
              <w:bottom w:val="single" w:color="auto" w:sz="4" w:space="0"/>
              <w:right w:val="single" w:color="auto" w:sz="4" w:space="0"/>
            </w:tcBorders>
            <w:shd w:val="clear" w:color="000000" w:fill="FFFFFF"/>
            <w:vAlign w:val="bottom"/>
          </w:tcPr>
          <w:p w14:paraId="3809A910">
            <w:pPr>
              <w:widowControl/>
              <w:jc w:val="right"/>
              <w:rPr>
                <w:rFonts w:ascii="宋体" w:hAnsi="宋体" w:cs="宋体"/>
                <w:color w:val="000000"/>
                <w:kern w:val="0"/>
                <w:sz w:val="18"/>
                <w:szCs w:val="18"/>
              </w:rPr>
            </w:pPr>
            <w:r>
              <w:rPr>
                <w:rFonts w:hint="eastAsia" w:ascii="宋体" w:hAnsi="宋体" w:cs="宋体"/>
                <w:color w:val="000000"/>
                <w:kern w:val="0"/>
                <w:sz w:val="18"/>
                <w:szCs w:val="18"/>
              </w:rPr>
              <w:t>10</w:t>
            </w:r>
          </w:p>
        </w:tc>
        <w:tc>
          <w:tcPr>
            <w:tcW w:w="1492" w:type="dxa"/>
            <w:tcBorders>
              <w:top w:val="nil"/>
              <w:left w:val="nil"/>
              <w:bottom w:val="single" w:color="auto" w:sz="4" w:space="0"/>
              <w:right w:val="single" w:color="auto" w:sz="4" w:space="0"/>
            </w:tcBorders>
            <w:shd w:val="clear" w:color="000000" w:fill="FFFFFF"/>
            <w:vAlign w:val="center"/>
          </w:tcPr>
          <w:p w14:paraId="73908C65">
            <w:pPr>
              <w:widowControl/>
              <w:jc w:val="left"/>
              <w:rPr>
                <w:rFonts w:ascii="宋体" w:hAnsi="宋体" w:cs="宋体"/>
                <w:color w:val="000000"/>
                <w:kern w:val="0"/>
                <w:sz w:val="18"/>
                <w:szCs w:val="18"/>
              </w:rPr>
            </w:pPr>
            <w:r>
              <w:rPr>
                <w:rFonts w:hint="eastAsia" w:ascii="宋体" w:hAnsi="宋体" w:cs="宋体"/>
                <w:color w:val="000000"/>
                <w:kern w:val="0"/>
                <w:sz w:val="18"/>
                <w:szCs w:val="18"/>
              </w:rPr>
              <w:t>1.得分计算过程及得分说明；</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2.佐证材料:绩效目标表等。</w:t>
            </w:r>
          </w:p>
        </w:tc>
        <w:tc>
          <w:tcPr>
            <w:tcW w:w="236" w:type="dxa"/>
            <w:tcBorders>
              <w:top w:val="nil"/>
              <w:left w:val="nil"/>
              <w:bottom w:val="nil"/>
              <w:right w:val="nil"/>
            </w:tcBorders>
            <w:shd w:val="clear" w:color="000000" w:fill="FFFFFF"/>
            <w:noWrap/>
            <w:vAlign w:val="bottom"/>
          </w:tcPr>
          <w:p w14:paraId="77887C96">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14:paraId="7D44C617">
        <w:tblPrEx>
          <w:tblCellMar>
            <w:top w:w="0" w:type="dxa"/>
            <w:left w:w="108" w:type="dxa"/>
            <w:bottom w:w="0" w:type="dxa"/>
            <w:right w:w="108" w:type="dxa"/>
          </w:tblCellMar>
        </w:tblPrEx>
        <w:trPr>
          <w:trHeight w:val="1530" w:hRule="atLeast"/>
        </w:trPr>
        <w:tc>
          <w:tcPr>
            <w:tcW w:w="576" w:type="dxa"/>
            <w:vMerge w:val="continue"/>
            <w:tcBorders>
              <w:top w:val="nil"/>
              <w:left w:val="single" w:color="auto" w:sz="4" w:space="0"/>
              <w:bottom w:val="single" w:color="auto" w:sz="4" w:space="0"/>
              <w:right w:val="single" w:color="auto" w:sz="4" w:space="0"/>
            </w:tcBorders>
            <w:vAlign w:val="center"/>
          </w:tcPr>
          <w:p w14:paraId="51AC80A9">
            <w:pPr>
              <w:widowControl/>
              <w:jc w:val="left"/>
              <w:rPr>
                <w:rFonts w:ascii="宋体" w:hAnsi="宋体" w:cs="宋体"/>
                <w:color w:val="000000"/>
                <w:kern w:val="0"/>
                <w:sz w:val="18"/>
                <w:szCs w:val="18"/>
              </w:rPr>
            </w:pPr>
          </w:p>
        </w:tc>
        <w:tc>
          <w:tcPr>
            <w:tcW w:w="576" w:type="dxa"/>
            <w:vMerge w:val="continue"/>
            <w:tcBorders>
              <w:top w:val="nil"/>
              <w:left w:val="single" w:color="auto" w:sz="4" w:space="0"/>
              <w:bottom w:val="single" w:color="000000" w:sz="4" w:space="0"/>
              <w:right w:val="single" w:color="auto" w:sz="4" w:space="0"/>
            </w:tcBorders>
            <w:vAlign w:val="center"/>
          </w:tcPr>
          <w:p w14:paraId="5B515BBA">
            <w:pPr>
              <w:widowControl/>
              <w:jc w:val="left"/>
              <w:rPr>
                <w:rFonts w:ascii="宋体" w:hAnsi="宋体" w:cs="宋体"/>
                <w:color w:val="000000"/>
                <w:kern w:val="0"/>
                <w:sz w:val="18"/>
                <w:szCs w:val="18"/>
              </w:rPr>
            </w:pPr>
          </w:p>
        </w:tc>
        <w:tc>
          <w:tcPr>
            <w:tcW w:w="538" w:type="dxa"/>
            <w:tcBorders>
              <w:top w:val="nil"/>
              <w:left w:val="nil"/>
              <w:bottom w:val="single" w:color="auto" w:sz="4" w:space="0"/>
              <w:right w:val="single" w:color="auto" w:sz="4" w:space="0"/>
            </w:tcBorders>
            <w:shd w:val="clear" w:color="000000" w:fill="FFFFFF"/>
            <w:vAlign w:val="center"/>
          </w:tcPr>
          <w:p w14:paraId="1260D3FC">
            <w:pPr>
              <w:widowControl/>
              <w:jc w:val="center"/>
              <w:rPr>
                <w:rFonts w:ascii="宋体" w:hAnsi="宋体" w:cs="宋体"/>
                <w:color w:val="000000"/>
                <w:kern w:val="0"/>
                <w:sz w:val="18"/>
                <w:szCs w:val="18"/>
              </w:rPr>
            </w:pPr>
            <w:r>
              <w:rPr>
                <w:rFonts w:hint="eastAsia" w:ascii="宋体" w:hAnsi="宋体" w:cs="宋体"/>
                <w:color w:val="000000"/>
                <w:kern w:val="0"/>
                <w:sz w:val="18"/>
                <w:szCs w:val="18"/>
              </w:rPr>
              <w:t>预算目标完成</w:t>
            </w:r>
          </w:p>
        </w:tc>
        <w:tc>
          <w:tcPr>
            <w:tcW w:w="534" w:type="dxa"/>
            <w:tcBorders>
              <w:top w:val="nil"/>
              <w:left w:val="nil"/>
              <w:bottom w:val="single" w:color="auto" w:sz="4" w:space="0"/>
              <w:right w:val="single" w:color="auto" w:sz="4" w:space="0"/>
            </w:tcBorders>
            <w:shd w:val="clear" w:color="000000" w:fill="FFFFFF"/>
            <w:vAlign w:val="center"/>
          </w:tcPr>
          <w:p w14:paraId="4946E3B9">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961" w:type="dxa"/>
            <w:tcBorders>
              <w:top w:val="nil"/>
              <w:left w:val="nil"/>
              <w:bottom w:val="single" w:color="auto" w:sz="4" w:space="0"/>
              <w:right w:val="single" w:color="auto" w:sz="4" w:space="0"/>
            </w:tcBorders>
            <w:shd w:val="clear" w:color="000000" w:fill="FFFFFF"/>
            <w:vAlign w:val="center"/>
          </w:tcPr>
          <w:p w14:paraId="08CF62DC">
            <w:pPr>
              <w:widowControl/>
              <w:jc w:val="left"/>
              <w:rPr>
                <w:rFonts w:ascii="宋体" w:hAnsi="宋体" w:cs="宋体"/>
                <w:color w:val="000000"/>
                <w:kern w:val="0"/>
                <w:sz w:val="18"/>
                <w:szCs w:val="18"/>
              </w:rPr>
            </w:pPr>
            <w:r>
              <w:rPr>
                <w:rFonts w:hint="eastAsia" w:ascii="宋体" w:hAnsi="宋体" w:cs="宋体"/>
                <w:color w:val="000000"/>
                <w:kern w:val="0"/>
                <w:sz w:val="18"/>
                <w:szCs w:val="18"/>
              </w:rPr>
              <w:t>评价部门绩效目标实际实现程度与预期目标的偏离度。</w:t>
            </w:r>
          </w:p>
        </w:tc>
        <w:tc>
          <w:tcPr>
            <w:tcW w:w="3087" w:type="dxa"/>
            <w:tcBorders>
              <w:top w:val="nil"/>
              <w:left w:val="nil"/>
              <w:bottom w:val="single" w:color="auto" w:sz="4" w:space="0"/>
              <w:right w:val="single" w:color="auto" w:sz="4" w:space="0"/>
            </w:tcBorders>
            <w:shd w:val="clear" w:color="000000" w:fill="FFFFFF"/>
            <w:vAlign w:val="center"/>
          </w:tcPr>
          <w:p w14:paraId="024A71CE">
            <w:pPr>
              <w:widowControl/>
              <w:jc w:val="left"/>
              <w:rPr>
                <w:rFonts w:ascii="宋体" w:hAnsi="宋体" w:cs="宋体"/>
                <w:color w:val="000000"/>
                <w:kern w:val="0"/>
                <w:sz w:val="18"/>
                <w:szCs w:val="18"/>
              </w:rPr>
            </w:pPr>
            <w:r>
              <w:rPr>
                <w:rFonts w:hint="eastAsia" w:ascii="宋体" w:hAnsi="宋体" w:cs="宋体"/>
                <w:color w:val="000000"/>
                <w:kern w:val="0"/>
                <w:sz w:val="18"/>
                <w:szCs w:val="18"/>
              </w:rPr>
              <w:t>以绩效指标数量为核心，评价绩效目标实际完成情况是否达到预期目标。绩效目标完成情况未达预期的扣0.5分，扣分数不超过本项分值。</w:t>
            </w:r>
          </w:p>
        </w:tc>
        <w:tc>
          <w:tcPr>
            <w:tcW w:w="536" w:type="dxa"/>
            <w:tcBorders>
              <w:top w:val="nil"/>
              <w:left w:val="nil"/>
              <w:bottom w:val="single" w:color="auto" w:sz="4" w:space="0"/>
              <w:right w:val="single" w:color="auto" w:sz="4" w:space="0"/>
            </w:tcBorders>
            <w:shd w:val="clear" w:color="000000" w:fill="FFFFFF"/>
            <w:vAlign w:val="bottom"/>
          </w:tcPr>
          <w:p w14:paraId="50058DF7">
            <w:pPr>
              <w:widowControl/>
              <w:jc w:val="right"/>
              <w:rPr>
                <w:rFonts w:ascii="宋体" w:hAnsi="宋体" w:cs="宋体"/>
                <w:color w:val="000000"/>
                <w:kern w:val="0"/>
                <w:sz w:val="18"/>
                <w:szCs w:val="18"/>
              </w:rPr>
            </w:pPr>
            <w:r>
              <w:rPr>
                <w:rFonts w:hint="eastAsia" w:ascii="宋体" w:hAnsi="宋体" w:cs="宋体"/>
                <w:color w:val="000000"/>
                <w:kern w:val="0"/>
                <w:sz w:val="18"/>
                <w:szCs w:val="18"/>
              </w:rPr>
              <w:t>10</w:t>
            </w:r>
          </w:p>
        </w:tc>
        <w:tc>
          <w:tcPr>
            <w:tcW w:w="1492" w:type="dxa"/>
            <w:tcBorders>
              <w:top w:val="nil"/>
              <w:left w:val="nil"/>
              <w:bottom w:val="single" w:color="auto" w:sz="4" w:space="0"/>
              <w:right w:val="single" w:color="auto" w:sz="4" w:space="0"/>
            </w:tcBorders>
            <w:shd w:val="clear" w:color="000000" w:fill="FFFFFF"/>
            <w:vAlign w:val="center"/>
          </w:tcPr>
          <w:p w14:paraId="31370D0B">
            <w:pPr>
              <w:widowControl/>
              <w:jc w:val="left"/>
              <w:rPr>
                <w:rFonts w:ascii="宋体" w:hAnsi="宋体" w:cs="宋体"/>
                <w:color w:val="000000"/>
                <w:kern w:val="0"/>
                <w:sz w:val="18"/>
                <w:szCs w:val="18"/>
              </w:rPr>
            </w:pPr>
            <w:r>
              <w:rPr>
                <w:rFonts w:hint="eastAsia" w:ascii="宋体" w:hAnsi="宋体" w:cs="宋体"/>
                <w:color w:val="000000"/>
                <w:kern w:val="0"/>
                <w:sz w:val="18"/>
                <w:szCs w:val="18"/>
              </w:rPr>
              <w:t>1.得分计算过程及得分说明；</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2.佐证材料:绩效目标完成情况资料、绩效目标表。</w:t>
            </w:r>
          </w:p>
        </w:tc>
        <w:tc>
          <w:tcPr>
            <w:tcW w:w="236" w:type="dxa"/>
            <w:tcBorders>
              <w:top w:val="nil"/>
              <w:left w:val="nil"/>
              <w:bottom w:val="nil"/>
              <w:right w:val="nil"/>
            </w:tcBorders>
            <w:shd w:val="clear" w:color="000000" w:fill="FFFFFF"/>
            <w:noWrap/>
            <w:vAlign w:val="bottom"/>
          </w:tcPr>
          <w:p w14:paraId="394F5FFB">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14:paraId="616E482C">
        <w:tblPrEx>
          <w:tblCellMar>
            <w:top w:w="0" w:type="dxa"/>
            <w:left w:w="108" w:type="dxa"/>
            <w:bottom w:w="0" w:type="dxa"/>
            <w:right w:w="108" w:type="dxa"/>
          </w:tblCellMar>
        </w:tblPrEx>
        <w:trPr>
          <w:trHeight w:val="2865" w:hRule="atLeast"/>
        </w:trPr>
        <w:tc>
          <w:tcPr>
            <w:tcW w:w="576" w:type="dxa"/>
            <w:vMerge w:val="continue"/>
            <w:tcBorders>
              <w:top w:val="nil"/>
              <w:left w:val="single" w:color="auto" w:sz="4" w:space="0"/>
              <w:bottom w:val="single" w:color="auto" w:sz="4" w:space="0"/>
              <w:right w:val="single" w:color="auto" w:sz="4" w:space="0"/>
            </w:tcBorders>
            <w:vAlign w:val="center"/>
          </w:tcPr>
          <w:p w14:paraId="1FA6B558">
            <w:pPr>
              <w:widowControl/>
              <w:jc w:val="left"/>
              <w:rPr>
                <w:rFonts w:ascii="宋体" w:hAnsi="宋体" w:cs="宋体"/>
                <w:color w:val="000000"/>
                <w:kern w:val="0"/>
                <w:sz w:val="18"/>
                <w:szCs w:val="18"/>
              </w:rPr>
            </w:pPr>
          </w:p>
        </w:tc>
        <w:tc>
          <w:tcPr>
            <w:tcW w:w="576" w:type="dxa"/>
            <w:vMerge w:val="continue"/>
            <w:tcBorders>
              <w:top w:val="nil"/>
              <w:left w:val="single" w:color="auto" w:sz="4" w:space="0"/>
              <w:bottom w:val="single" w:color="000000" w:sz="4" w:space="0"/>
              <w:right w:val="single" w:color="auto" w:sz="4" w:space="0"/>
            </w:tcBorders>
            <w:vAlign w:val="center"/>
          </w:tcPr>
          <w:p w14:paraId="78DF89D0">
            <w:pPr>
              <w:widowControl/>
              <w:jc w:val="left"/>
              <w:rPr>
                <w:rFonts w:ascii="宋体" w:hAnsi="宋体" w:cs="宋体"/>
                <w:color w:val="000000"/>
                <w:kern w:val="0"/>
                <w:sz w:val="18"/>
                <w:szCs w:val="18"/>
              </w:rPr>
            </w:pPr>
          </w:p>
        </w:tc>
        <w:tc>
          <w:tcPr>
            <w:tcW w:w="538" w:type="dxa"/>
            <w:tcBorders>
              <w:top w:val="nil"/>
              <w:left w:val="nil"/>
              <w:bottom w:val="single" w:color="auto" w:sz="4" w:space="0"/>
              <w:right w:val="single" w:color="auto" w:sz="4" w:space="0"/>
            </w:tcBorders>
            <w:shd w:val="clear" w:color="000000" w:fill="FFFFFF"/>
            <w:vAlign w:val="center"/>
          </w:tcPr>
          <w:p w14:paraId="10EF7317">
            <w:pPr>
              <w:widowControl/>
              <w:jc w:val="center"/>
              <w:rPr>
                <w:rFonts w:ascii="宋体" w:hAnsi="宋体" w:cs="宋体"/>
                <w:color w:val="000000"/>
                <w:kern w:val="0"/>
                <w:sz w:val="18"/>
                <w:szCs w:val="18"/>
              </w:rPr>
            </w:pPr>
            <w:r>
              <w:rPr>
                <w:rFonts w:hint="eastAsia" w:ascii="宋体" w:hAnsi="宋体" w:cs="宋体"/>
                <w:color w:val="000000"/>
                <w:kern w:val="0"/>
                <w:sz w:val="18"/>
                <w:szCs w:val="18"/>
              </w:rPr>
              <w:t>预算编制准确</w:t>
            </w:r>
          </w:p>
        </w:tc>
        <w:tc>
          <w:tcPr>
            <w:tcW w:w="534" w:type="dxa"/>
            <w:tcBorders>
              <w:top w:val="nil"/>
              <w:left w:val="nil"/>
              <w:bottom w:val="single" w:color="auto" w:sz="4" w:space="0"/>
              <w:right w:val="single" w:color="auto" w:sz="4" w:space="0"/>
            </w:tcBorders>
            <w:shd w:val="clear" w:color="000000" w:fill="FFFFFF"/>
            <w:vAlign w:val="center"/>
          </w:tcPr>
          <w:p w14:paraId="57BAA9DC">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961" w:type="dxa"/>
            <w:tcBorders>
              <w:top w:val="nil"/>
              <w:left w:val="nil"/>
              <w:bottom w:val="single" w:color="auto" w:sz="4" w:space="0"/>
              <w:right w:val="single" w:color="auto" w:sz="4" w:space="0"/>
            </w:tcBorders>
            <w:shd w:val="clear" w:color="000000" w:fill="FFFFFF"/>
            <w:vAlign w:val="center"/>
          </w:tcPr>
          <w:p w14:paraId="65245E0F">
            <w:pPr>
              <w:widowControl/>
              <w:jc w:val="left"/>
              <w:rPr>
                <w:rFonts w:ascii="宋体" w:hAnsi="宋体" w:cs="宋体"/>
                <w:color w:val="000000"/>
                <w:kern w:val="0"/>
                <w:sz w:val="18"/>
                <w:szCs w:val="18"/>
              </w:rPr>
            </w:pPr>
            <w:r>
              <w:rPr>
                <w:rFonts w:hint="eastAsia" w:ascii="宋体" w:hAnsi="宋体" w:cs="宋体"/>
                <w:color w:val="000000"/>
                <w:kern w:val="0"/>
                <w:sz w:val="18"/>
                <w:szCs w:val="18"/>
              </w:rPr>
              <w:t>评价部门年初预算编制是否科学准确。</w:t>
            </w:r>
          </w:p>
        </w:tc>
        <w:tc>
          <w:tcPr>
            <w:tcW w:w="3087" w:type="dxa"/>
            <w:tcBorders>
              <w:top w:val="nil"/>
              <w:left w:val="nil"/>
              <w:bottom w:val="single" w:color="auto" w:sz="4" w:space="0"/>
              <w:right w:val="single" w:color="auto" w:sz="4" w:space="0"/>
            </w:tcBorders>
            <w:shd w:val="clear" w:color="000000" w:fill="FFFFFF"/>
            <w:vAlign w:val="center"/>
          </w:tcPr>
          <w:p w14:paraId="55F40BDF">
            <w:pPr>
              <w:widowControl/>
              <w:jc w:val="left"/>
              <w:rPr>
                <w:rFonts w:ascii="宋体" w:hAnsi="宋体" w:cs="宋体"/>
                <w:color w:val="000000"/>
                <w:kern w:val="0"/>
                <w:sz w:val="18"/>
                <w:szCs w:val="18"/>
              </w:rPr>
            </w:pPr>
            <w:r>
              <w:rPr>
                <w:rFonts w:hint="eastAsia" w:ascii="宋体" w:hAnsi="宋体" w:cs="宋体"/>
                <w:color w:val="000000"/>
                <w:kern w:val="0"/>
                <w:sz w:val="18"/>
                <w:szCs w:val="18"/>
              </w:rPr>
              <w:t>本项考核部门年初预算编制偏离的情况。偏离度10%以内的得满分；偏离度超过10%的，每超过1%扣0.1分，扣分超过本项指标分值。</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其中：偏离度=（绩效目标调整额+财政收回额度）÷年度预算总额;年度预算总额是指县级年初预算与执行中追加预算（不含当年上级专款）总和。</w:t>
            </w:r>
          </w:p>
        </w:tc>
        <w:tc>
          <w:tcPr>
            <w:tcW w:w="536" w:type="dxa"/>
            <w:tcBorders>
              <w:top w:val="nil"/>
              <w:left w:val="nil"/>
              <w:bottom w:val="single" w:color="auto" w:sz="4" w:space="0"/>
              <w:right w:val="single" w:color="auto" w:sz="4" w:space="0"/>
            </w:tcBorders>
            <w:shd w:val="clear" w:color="000000" w:fill="FFFFFF"/>
            <w:vAlign w:val="bottom"/>
          </w:tcPr>
          <w:p w14:paraId="0EBEB4A3">
            <w:pPr>
              <w:widowControl/>
              <w:jc w:val="right"/>
              <w:rPr>
                <w:rFonts w:ascii="宋体" w:hAnsi="宋体" w:cs="宋体"/>
                <w:color w:val="000000"/>
                <w:kern w:val="0"/>
                <w:sz w:val="18"/>
                <w:szCs w:val="18"/>
              </w:rPr>
            </w:pPr>
            <w:r>
              <w:rPr>
                <w:rFonts w:hint="eastAsia" w:ascii="宋体" w:hAnsi="宋体" w:cs="宋体"/>
                <w:color w:val="000000"/>
                <w:kern w:val="0"/>
                <w:sz w:val="18"/>
                <w:szCs w:val="18"/>
              </w:rPr>
              <w:t>10</w:t>
            </w:r>
          </w:p>
        </w:tc>
        <w:tc>
          <w:tcPr>
            <w:tcW w:w="1492" w:type="dxa"/>
            <w:tcBorders>
              <w:top w:val="nil"/>
              <w:left w:val="nil"/>
              <w:bottom w:val="single" w:color="auto" w:sz="4" w:space="0"/>
              <w:right w:val="single" w:color="auto" w:sz="4" w:space="0"/>
            </w:tcBorders>
            <w:shd w:val="clear" w:color="000000" w:fill="FFFFFF"/>
            <w:vAlign w:val="center"/>
          </w:tcPr>
          <w:p w14:paraId="6E429B30">
            <w:pPr>
              <w:widowControl/>
              <w:jc w:val="left"/>
              <w:rPr>
                <w:rFonts w:ascii="宋体" w:hAnsi="宋体" w:cs="宋体"/>
                <w:color w:val="000000"/>
                <w:kern w:val="0"/>
                <w:sz w:val="18"/>
                <w:szCs w:val="18"/>
              </w:rPr>
            </w:pPr>
            <w:r>
              <w:rPr>
                <w:rFonts w:hint="eastAsia" w:ascii="宋体" w:hAnsi="宋体" w:cs="宋体"/>
                <w:color w:val="000000"/>
                <w:kern w:val="0"/>
                <w:sz w:val="18"/>
                <w:szCs w:val="18"/>
              </w:rPr>
              <w:t>1.得分计算过程及得分说明；</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2.佐证材料:绩效目标完成情况资料、绩效目标表、预决算数据等。</w:t>
            </w:r>
          </w:p>
        </w:tc>
        <w:tc>
          <w:tcPr>
            <w:tcW w:w="236" w:type="dxa"/>
            <w:tcBorders>
              <w:top w:val="nil"/>
              <w:left w:val="nil"/>
              <w:bottom w:val="nil"/>
              <w:right w:val="nil"/>
            </w:tcBorders>
            <w:shd w:val="clear" w:color="000000" w:fill="FFFFFF"/>
            <w:noWrap/>
            <w:vAlign w:val="bottom"/>
          </w:tcPr>
          <w:p w14:paraId="44E91246">
            <w:pPr>
              <w:widowControl/>
              <w:jc w:val="left"/>
              <w:rPr>
                <w:rFonts w:ascii="宋体" w:hAnsi="宋体" w:cs="宋体"/>
                <w:color w:val="000000"/>
                <w:kern w:val="0"/>
                <w:sz w:val="18"/>
                <w:szCs w:val="18"/>
              </w:rPr>
            </w:pPr>
          </w:p>
        </w:tc>
      </w:tr>
      <w:tr w14:paraId="62B22568">
        <w:tblPrEx>
          <w:tblCellMar>
            <w:top w:w="0" w:type="dxa"/>
            <w:left w:w="108" w:type="dxa"/>
            <w:bottom w:w="0" w:type="dxa"/>
            <w:right w:w="108" w:type="dxa"/>
          </w:tblCellMar>
        </w:tblPrEx>
        <w:trPr>
          <w:trHeight w:val="3555" w:hRule="atLeast"/>
        </w:trPr>
        <w:tc>
          <w:tcPr>
            <w:tcW w:w="576" w:type="dxa"/>
            <w:vMerge w:val="continue"/>
            <w:tcBorders>
              <w:top w:val="nil"/>
              <w:left w:val="single" w:color="auto" w:sz="4" w:space="0"/>
              <w:bottom w:val="single" w:color="auto" w:sz="4" w:space="0"/>
              <w:right w:val="single" w:color="auto" w:sz="4" w:space="0"/>
            </w:tcBorders>
            <w:vAlign w:val="center"/>
          </w:tcPr>
          <w:p w14:paraId="0D42E8AE">
            <w:pPr>
              <w:widowControl/>
              <w:jc w:val="left"/>
              <w:rPr>
                <w:rFonts w:ascii="宋体" w:hAnsi="宋体" w:cs="宋体"/>
                <w:color w:val="000000"/>
                <w:kern w:val="0"/>
                <w:sz w:val="18"/>
                <w:szCs w:val="18"/>
              </w:rPr>
            </w:pPr>
          </w:p>
        </w:tc>
        <w:tc>
          <w:tcPr>
            <w:tcW w:w="576" w:type="dxa"/>
            <w:vMerge w:val="continue"/>
            <w:tcBorders>
              <w:top w:val="nil"/>
              <w:left w:val="single" w:color="auto" w:sz="4" w:space="0"/>
              <w:bottom w:val="single" w:color="000000" w:sz="4" w:space="0"/>
              <w:right w:val="single" w:color="auto" w:sz="4" w:space="0"/>
            </w:tcBorders>
            <w:vAlign w:val="center"/>
          </w:tcPr>
          <w:p w14:paraId="440F3767">
            <w:pPr>
              <w:widowControl/>
              <w:jc w:val="left"/>
              <w:rPr>
                <w:rFonts w:ascii="宋体" w:hAnsi="宋体" w:cs="宋体"/>
                <w:color w:val="000000"/>
                <w:kern w:val="0"/>
                <w:sz w:val="18"/>
                <w:szCs w:val="18"/>
              </w:rPr>
            </w:pPr>
          </w:p>
        </w:tc>
        <w:tc>
          <w:tcPr>
            <w:tcW w:w="538" w:type="dxa"/>
            <w:tcBorders>
              <w:top w:val="nil"/>
              <w:left w:val="nil"/>
              <w:bottom w:val="single" w:color="auto" w:sz="4" w:space="0"/>
              <w:right w:val="single" w:color="auto" w:sz="4" w:space="0"/>
            </w:tcBorders>
            <w:shd w:val="clear" w:color="000000" w:fill="FFFFFF"/>
            <w:vAlign w:val="center"/>
          </w:tcPr>
          <w:p w14:paraId="4D2F5B09">
            <w:pPr>
              <w:widowControl/>
              <w:jc w:val="center"/>
              <w:rPr>
                <w:rFonts w:ascii="宋体" w:hAnsi="宋体" w:cs="宋体"/>
                <w:color w:val="000000"/>
                <w:kern w:val="0"/>
                <w:sz w:val="18"/>
                <w:szCs w:val="18"/>
              </w:rPr>
            </w:pPr>
            <w:r>
              <w:rPr>
                <w:rFonts w:hint="eastAsia" w:ascii="宋体" w:hAnsi="宋体" w:cs="宋体"/>
                <w:color w:val="000000"/>
                <w:kern w:val="0"/>
                <w:sz w:val="18"/>
                <w:szCs w:val="18"/>
              </w:rPr>
              <w:t>预算支出规范</w:t>
            </w:r>
          </w:p>
        </w:tc>
        <w:tc>
          <w:tcPr>
            <w:tcW w:w="534" w:type="dxa"/>
            <w:tcBorders>
              <w:top w:val="nil"/>
              <w:left w:val="nil"/>
              <w:bottom w:val="single" w:color="auto" w:sz="4" w:space="0"/>
              <w:right w:val="single" w:color="auto" w:sz="4" w:space="0"/>
            </w:tcBorders>
            <w:shd w:val="clear" w:color="000000" w:fill="FFFFFF"/>
            <w:vAlign w:val="center"/>
          </w:tcPr>
          <w:p w14:paraId="1B1A8076">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961" w:type="dxa"/>
            <w:tcBorders>
              <w:top w:val="nil"/>
              <w:left w:val="nil"/>
              <w:bottom w:val="single" w:color="auto" w:sz="4" w:space="0"/>
              <w:right w:val="single" w:color="auto" w:sz="4" w:space="0"/>
            </w:tcBorders>
            <w:shd w:val="clear" w:color="000000" w:fill="FFFFFF"/>
            <w:vAlign w:val="center"/>
          </w:tcPr>
          <w:p w14:paraId="4B4EE966">
            <w:pPr>
              <w:widowControl/>
              <w:jc w:val="left"/>
              <w:rPr>
                <w:rFonts w:ascii="宋体" w:hAnsi="宋体" w:cs="宋体"/>
                <w:color w:val="000000"/>
                <w:kern w:val="0"/>
                <w:sz w:val="18"/>
                <w:szCs w:val="18"/>
              </w:rPr>
            </w:pPr>
            <w:r>
              <w:rPr>
                <w:rFonts w:hint="eastAsia" w:ascii="宋体" w:hAnsi="宋体" w:cs="宋体"/>
                <w:color w:val="000000"/>
                <w:kern w:val="0"/>
                <w:sz w:val="18"/>
                <w:szCs w:val="18"/>
              </w:rPr>
              <w:t>评价部门支出执行财经纪律情况。</w:t>
            </w:r>
          </w:p>
        </w:tc>
        <w:tc>
          <w:tcPr>
            <w:tcW w:w="3087" w:type="dxa"/>
            <w:tcBorders>
              <w:top w:val="nil"/>
              <w:left w:val="nil"/>
              <w:bottom w:val="single" w:color="auto" w:sz="4" w:space="0"/>
              <w:right w:val="single" w:color="auto" w:sz="4" w:space="0"/>
            </w:tcBorders>
            <w:shd w:val="clear" w:color="000000" w:fill="FFFFFF"/>
            <w:vAlign w:val="center"/>
          </w:tcPr>
          <w:p w14:paraId="00166703">
            <w:pPr>
              <w:widowControl/>
              <w:jc w:val="left"/>
              <w:rPr>
                <w:rFonts w:ascii="宋体" w:hAnsi="宋体" w:cs="宋体"/>
                <w:color w:val="000000"/>
                <w:kern w:val="0"/>
                <w:sz w:val="18"/>
                <w:szCs w:val="18"/>
              </w:rPr>
            </w:pPr>
            <w:r>
              <w:rPr>
                <w:rFonts w:hint="eastAsia" w:ascii="宋体" w:hAnsi="宋体" w:cs="宋体"/>
                <w:color w:val="000000"/>
                <w:kern w:val="0"/>
                <w:sz w:val="18"/>
                <w:szCs w:val="18"/>
              </w:rPr>
              <w:t>考核内容为单位财务核算做账是否及时；科目使用是否准确；支出方向是否与预算吻合；严格执行八项规定情况，三公经费使用，差旅费报销、津补贴发放是否符合规定等。</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本项以财务监管平台核查为基础，建立问题台账，按月反馈问题，及时进行整改销号，按季进行对问题进行通报。通报一个问题扣0.5分，扣分值不超过本项分值。</w:t>
            </w:r>
          </w:p>
        </w:tc>
        <w:tc>
          <w:tcPr>
            <w:tcW w:w="536" w:type="dxa"/>
            <w:tcBorders>
              <w:top w:val="nil"/>
              <w:left w:val="nil"/>
              <w:bottom w:val="single" w:color="auto" w:sz="4" w:space="0"/>
              <w:right w:val="single" w:color="auto" w:sz="4" w:space="0"/>
            </w:tcBorders>
            <w:shd w:val="clear" w:color="000000" w:fill="FFFFFF"/>
            <w:vAlign w:val="bottom"/>
          </w:tcPr>
          <w:p w14:paraId="284AD726">
            <w:pPr>
              <w:widowControl/>
              <w:jc w:val="right"/>
              <w:rPr>
                <w:rFonts w:ascii="宋体" w:hAnsi="宋体" w:cs="宋体"/>
                <w:color w:val="000000"/>
                <w:kern w:val="0"/>
                <w:sz w:val="18"/>
                <w:szCs w:val="18"/>
              </w:rPr>
            </w:pPr>
            <w:r>
              <w:rPr>
                <w:rFonts w:hint="eastAsia" w:ascii="宋体" w:hAnsi="宋体" w:cs="宋体"/>
                <w:color w:val="000000"/>
                <w:kern w:val="0"/>
                <w:sz w:val="18"/>
                <w:szCs w:val="18"/>
              </w:rPr>
              <w:t>10</w:t>
            </w:r>
          </w:p>
        </w:tc>
        <w:tc>
          <w:tcPr>
            <w:tcW w:w="1492" w:type="dxa"/>
            <w:tcBorders>
              <w:top w:val="nil"/>
              <w:left w:val="nil"/>
              <w:bottom w:val="single" w:color="auto" w:sz="4" w:space="0"/>
              <w:right w:val="single" w:color="auto" w:sz="4" w:space="0"/>
            </w:tcBorders>
            <w:shd w:val="clear" w:color="000000" w:fill="FFFFFF"/>
            <w:vAlign w:val="center"/>
          </w:tcPr>
          <w:p w14:paraId="4933C824">
            <w:pPr>
              <w:widowControl/>
              <w:jc w:val="left"/>
              <w:rPr>
                <w:rFonts w:ascii="宋体" w:hAnsi="宋体" w:cs="宋体"/>
                <w:color w:val="000000"/>
                <w:kern w:val="0"/>
                <w:sz w:val="18"/>
                <w:szCs w:val="18"/>
              </w:rPr>
            </w:pPr>
            <w:r>
              <w:rPr>
                <w:rFonts w:hint="eastAsia" w:ascii="宋体" w:hAnsi="宋体" w:cs="宋体"/>
                <w:color w:val="000000"/>
                <w:kern w:val="0"/>
                <w:sz w:val="18"/>
                <w:szCs w:val="18"/>
              </w:rPr>
              <w:t>1.得分计算过程及得分说明；</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2.佐证材料:财务核算平台通报、单位整改资料。</w:t>
            </w:r>
          </w:p>
        </w:tc>
        <w:tc>
          <w:tcPr>
            <w:tcW w:w="236" w:type="dxa"/>
            <w:tcBorders>
              <w:top w:val="nil"/>
              <w:left w:val="nil"/>
              <w:bottom w:val="nil"/>
              <w:right w:val="nil"/>
            </w:tcBorders>
            <w:shd w:val="clear" w:color="000000" w:fill="FFFFFF"/>
            <w:noWrap/>
            <w:vAlign w:val="bottom"/>
          </w:tcPr>
          <w:p w14:paraId="6FB25F0F">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14:paraId="4EF4E256">
        <w:tblPrEx>
          <w:tblCellMar>
            <w:top w:w="0" w:type="dxa"/>
            <w:left w:w="108" w:type="dxa"/>
            <w:bottom w:w="0" w:type="dxa"/>
            <w:right w:w="108" w:type="dxa"/>
          </w:tblCellMar>
        </w:tblPrEx>
        <w:trPr>
          <w:trHeight w:val="1830" w:hRule="atLeast"/>
        </w:trPr>
        <w:tc>
          <w:tcPr>
            <w:tcW w:w="576" w:type="dxa"/>
            <w:vMerge w:val="continue"/>
            <w:tcBorders>
              <w:top w:val="nil"/>
              <w:left w:val="single" w:color="auto" w:sz="4" w:space="0"/>
              <w:bottom w:val="single" w:color="auto" w:sz="4" w:space="0"/>
              <w:right w:val="single" w:color="auto" w:sz="4" w:space="0"/>
            </w:tcBorders>
            <w:vAlign w:val="center"/>
          </w:tcPr>
          <w:p w14:paraId="5AB39E43">
            <w:pPr>
              <w:widowControl/>
              <w:jc w:val="left"/>
              <w:rPr>
                <w:rFonts w:ascii="宋体" w:hAnsi="宋体" w:cs="宋体"/>
                <w:color w:val="000000"/>
                <w:kern w:val="0"/>
                <w:sz w:val="18"/>
                <w:szCs w:val="18"/>
              </w:rPr>
            </w:pPr>
          </w:p>
        </w:tc>
        <w:tc>
          <w:tcPr>
            <w:tcW w:w="576" w:type="dxa"/>
            <w:vMerge w:val="continue"/>
            <w:tcBorders>
              <w:top w:val="nil"/>
              <w:left w:val="single" w:color="auto" w:sz="4" w:space="0"/>
              <w:bottom w:val="single" w:color="000000" w:sz="4" w:space="0"/>
              <w:right w:val="single" w:color="auto" w:sz="4" w:space="0"/>
            </w:tcBorders>
            <w:vAlign w:val="center"/>
          </w:tcPr>
          <w:p w14:paraId="64BE9F42">
            <w:pPr>
              <w:widowControl/>
              <w:jc w:val="left"/>
              <w:rPr>
                <w:rFonts w:ascii="宋体" w:hAnsi="宋体" w:cs="宋体"/>
                <w:color w:val="000000"/>
                <w:kern w:val="0"/>
                <w:sz w:val="18"/>
                <w:szCs w:val="18"/>
              </w:rPr>
            </w:pPr>
          </w:p>
        </w:tc>
        <w:tc>
          <w:tcPr>
            <w:tcW w:w="538" w:type="dxa"/>
            <w:tcBorders>
              <w:top w:val="nil"/>
              <w:left w:val="nil"/>
              <w:bottom w:val="single" w:color="auto" w:sz="4" w:space="0"/>
              <w:right w:val="single" w:color="auto" w:sz="4" w:space="0"/>
            </w:tcBorders>
            <w:shd w:val="clear" w:color="000000" w:fill="FFFFFF"/>
            <w:vAlign w:val="center"/>
          </w:tcPr>
          <w:p w14:paraId="061F1DED">
            <w:pPr>
              <w:widowControl/>
              <w:jc w:val="center"/>
              <w:rPr>
                <w:rFonts w:ascii="宋体" w:hAnsi="宋体" w:cs="宋体"/>
                <w:color w:val="000000"/>
                <w:kern w:val="0"/>
                <w:sz w:val="18"/>
                <w:szCs w:val="18"/>
              </w:rPr>
            </w:pPr>
            <w:r>
              <w:rPr>
                <w:rFonts w:hint="eastAsia" w:ascii="宋体" w:hAnsi="宋体" w:cs="宋体"/>
                <w:color w:val="000000"/>
                <w:kern w:val="0"/>
                <w:sz w:val="18"/>
                <w:szCs w:val="18"/>
              </w:rPr>
              <w:t>预算动态调整</w:t>
            </w:r>
          </w:p>
        </w:tc>
        <w:tc>
          <w:tcPr>
            <w:tcW w:w="534" w:type="dxa"/>
            <w:tcBorders>
              <w:top w:val="nil"/>
              <w:left w:val="nil"/>
              <w:bottom w:val="single" w:color="auto" w:sz="4" w:space="0"/>
              <w:right w:val="single" w:color="auto" w:sz="4" w:space="0"/>
            </w:tcBorders>
            <w:shd w:val="clear" w:color="000000" w:fill="FFFFFF"/>
            <w:vAlign w:val="center"/>
          </w:tcPr>
          <w:p w14:paraId="565FB0FB">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961" w:type="dxa"/>
            <w:tcBorders>
              <w:top w:val="nil"/>
              <w:left w:val="nil"/>
              <w:bottom w:val="single" w:color="auto" w:sz="4" w:space="0"/>
              <w:right w:val="single" w:color="auto" w:sz="4" w:space="0"/>
            </w:tcBorders>
            <w:shd w:val="clear" w:color="000000" w:fill="FFFFFF"/>
            <w:vAlign w:val="center"/>
          </w:tcPr>
          <w:p w14:paraId="288C56A3">
            <w:pPr>
              <w:widowControl/>
              <w:jc w:val="left"/>
              <w:rPr>
                <w:rFonts w:ascii="宋体" w:hAnsi="宋体" w:cs="宋体"/>
                <w:color w:val="000000"/>
                <w:kern w:val="0"/>
                <w:sz w:val="18"/>
                <w:szCs w:val="18"/>
              </w:rPr>
            </w:pPr>
            <w:r>
              <w:rPr>
                <w:rFonts w:hint="eastAsia" w:ascii="宋体" w:hAnsi="宋体" w:cs="宋体"/>
                <w:color w:val="000000"/>
                <w:kern w:val="0"/>
                <w:sz w:val="18"/>
                <w:szCs w:val="18"/>
              </w:rPr>
              <w:t>评价部门开展绩效运行监控后，将绩效监控结果应用到预算调整的情况。</w:t>
            </w:r>
          </w:p>
        </w:tc>
        <w:tc>
          <w:tcPr>
            <w:tcW w:w="3087" w:type="dxa"/>
            <w:tcBorders>
              <w:top w:val="nil"/>
              <w:left w:val="nil"/>
              <w:bottom w:val="single" w:color="auto" w:sz="4" w:space="0"/>
              <w:right w:val="single" w:color="auto" w:sz="4" w:space="0"/>
            </w:tcBorders>
            <w:shd w:val="clear" w:color="000000" w:fill="FFFFFF"/>
            <w:vAlign w:val="center"/>
          </w:tcPr>
          <w:p w14:paraId="171F056B">
            <w:pPr>
              <w:widowControl/>
              <w:jc w:val="left"/>
              <w:rPr>
                <w:rFonts w:ascii="宋体" w:hAnsi="宋体" w:cs="宋体"/>
                <w:color w:val="000000"/>
                <w:kern w:val="0"/>
                <w:sz w:val="18"/>
                <w:szCs w:val="18"/>
              </w:rPr>
            </w:pPr>
            <w:r>
              <w:rPr>
                <w:rFonts w:hint="eastAsia" w:ascii="宋体" w:hAnsi="宋体" w:cs="宋体"/>
                <w:color w:val="000000"/>
                <w:kern w:val="0"/>
                <w:sz w:val="18"/>
                <w:szCs w:val="18"/>
              </w:rPr>
              <w:t>指标得分=部门绩效监控调整取消额÷(部门绩效监控调整取消额+财政收回额度）*10                                                                          当部门绩效监控调整取消额与财政收回额之和为零时，得满分。</w:t>
            </w:r>
          </w:p>
        </w:tc>
        <w:tc>
          <w:tcPr>
            <w:tcW w:w="536" w:type="dxa"/>
            <w:tcBorders>
              <w:top w:val="nil"/>
              <w:left w:val="nil"/>
              <w:bottom w:val="single" w:color="auto" w:sz="4" w:space="0"/>
              <w:right w:val="single" w:color="auto" w:sz="4" w:space="0"/>
            </w:tcBorders>
            <w:shd w:val="clear" w:color="000000" w:fill="FFFFFF"/>
            <w:vAlign w:val="bottom"/>
          </w:tcPr>
          <w:p w14:paraId="698C1B68">
            <w:pPr>
              <w:widowControl/>
              <w:jc w:val="right"/>
              <w:rPr>
                <w:rFonts w:ascii="宋体" w:hAnsi="宋体" w:cs="宋体"/>
                <w:color w:val="000000"/>
                <w:kern w:val="0"/>
                <w:sz w:val="18"/>
                <w:szCs w:val="18"/>
              </w:rPr>
            </w:pPr>
            <w:r>
              <w:rPr>
                <w:rFonts w:hint="eastAsia" w:ascii="宋体" w:hAnsi="宋体" w:cs="宋体"/>
                <w:color w:val="000000"/>
                <w:kern w:val="0"/>
                <w:sz w:val="18"/>
                <w:szCs w:val="18"/>
              </w:rPr>
              <w:t>10</w:t>
            </w:r>
          </w:p>
        </w:tc>
        <w:tc>
          <w:tcPr>
            <w:tcW w:w="1492" w:type="dxa"/>
            <w:tcBorders>
              <w:top w:val="nil"/>
              <w:left w:val="nil"/>
              <w:bottom w:val="single" w:color="auto" w:sz="4" w:space="0"/>
              <w:right w:val="single" w:color="auto" w:sz="4" w:space="0"/>
            </w:tcBorders>
            <w:shd w:val="clear" w:color="000000" w:fill="FFFFFF"/>
            <w:vAlign w:val="center"/>
          </w:tcPr>
          <w:p w14:paraId="0E003E2E">
            <w:pPr>
              <w:widowControl/>
              <w:jc w:val="left"/>
              <w:rPr>
                <w:rFonts w:ascii="宋体" w:hAnsi="宋体" w:cs="宋体"/>
                <w:color w:val="000000"/>
                <w:kern w:val="0"/>
                <w:sz w:val="18"/>
                <w:szCs w:val="18"/>
              </w:rPr>
            </w:pPr>
            <w:r>
              <w:rPr>
                <w:rFonts w:hint="eastAsia" w:ascii="宋体" w:hAnsi="宋体" w:cs="宋体"/>
                <w:color w:val="000000"/>
                <w:kern w:val="0"/>
                <w:sz w:val="18"/>
                <w:szCs w:val="18"/>
              </w:rPr>
              <w:t>1.得分计算过程及得分说明；</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2.佐证材料:绩效目标完成情况资料、绩效目标表、决算数据等。</w:t>
            </w:r>
          </w:p>
        </w:tc>
        <w:tc>
          <w:tcPr>
            <w:tcW w:w="236" w:type="dxa"/>
            <w:tcBorders>
              <w:top w:val="nil"/>
              <w:left w:val="nil"/>
              <w:bottom w:val="nil"/>
              <w:right w:val="nil"/>
            </w:tcBorders>
            <w:shd w:val="clear" w:color="000000" w:fill="FFFFFF"/>
            <w:noWrap/>
            <w:vAlign w:val="bottom"/>
          </w:tcPr>
          <w:p w14:paraId="520B5212">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14:paraId="111EBDB7">
        <w:tblPrEx>
          <w:tblCellMar>
            <w:top w:w="0" w:type="dxa"/>
            <w:left w:w="108" w:type="dxa"/>
            <w:bottom w:w="0" w:type="dxa"/>
            <w:right w:w="108" w:type="dxa"/>
          </w:tblCellMar>
        </w:tblPrEx>
        <w:trPr>
          <w:trHeight w:val="1680" w:hRule="atLeast"/>
        </w:trPr>
        <w:tc>
          <w:tcPr>
            <w:tcW w:w="576" w:type="dxa"/>
            <w:vMerge w:val="continue"/>
            <w:tcBorders>
              <w:top w:val="nil"/>
              <w:left w:val="single" w:color="auto" w:sz="4" w:space="0"/>
              <w:bottom w:val="single" w:color="auto" w:sz="4" w:space="0"/>
              <w:right w:val="single" w:color="auto" w:sz="4" w:space="0"/>
            </w:tcBorders>
            <w:vAlign w:val="center"/>
          </w:tcPr>
          <w:p w14:paraId="6B4E9AB7">
            <w:pPr>
              <w:widowControl/>
              <w:jc w:val="left"/>
              <w:rPr>
                <w:rFonts w:ascii="宋体" w:hAnsi="宋体" w:cs="宋体"/>
                <w:color w:val="000000"/>
                <w:kern w:val="0"/>
                <w:sz w:val="18"/>
                <w:szCs w:val="18"/>
              </w:rPr>
            </w:pPr>
          </w:p>
        </w:tc>
        <w:tc>
          <w:tcPr>
            <w:tcW w:w="576" w:type="dxa"/>
            <w:vMerge w:val="restart"/>
            <w:tcBorders>
              <w:top w:val="nil"/>
              <w:left w:val="single" w:color="auto" w:sz="4" w:space="0"/>
              <w:bottom w:val="single" w:color="000000" w:sz="4" w:space="0"/>
              <w:right w:val="single" w:color="auto" w:sz="4" w:space="0"/>
            </w:tcBorders>
            <w:shd w:val="clear" w:color="000000" w:fill="FFFFFF"/>
            <w:vAlign w:val="center"/>
          </w:tcPr>
          <w:p w14:paraId="46F084E3">
            <w:pPr>
              <w:widowControl/>
              <w:jc w:val="center"/>
              <w:rPr>
                <w:rFonts w:ascii="宋体" w:hAnsi="宋体" w:cs="宋体"/>
                <w:color w:val="000000"/>
                <w:kern w:val="0"/>
                <w:sz w:val="18"/>
                <w:szCs w:val="18"/>
              </w:rPr>
            </w:pPr>
            <w:r>
              <w:rPr>
                <w:rFonts w:hint="eastAsia" w:ascii="宋体" w:hAnsi="宋体" w:cs="宋体"/>
                <w:color w:val="000000"/>
                <w:kern w:val="0"/>
                <w:sz w:val="18"/>
                <w:szCs w:val="18"/>
              </w:rPr>
              <w:t>内部控制管理（10分）</w:t>
            </w:r>
          </w:p>
        </w:tc>
        <w:tc>
          <w:tcPr>
            <w:tcW w:w="538" w:type="dxa"/>
            <w:tcBorders>
              <w:top w:val="nil"/>
              <w:left w:val="nil"/>
              <w:bottom w:val="single" w:color="auto" w:sz="4" w:space="0"/>
              <w:right w:val="single" w:color="auto" w:sz="4" w:space="0"/>
            </w:tcBorders>
            <w:shd w:val="clear" w:color="000000" w:fill="FFFFFF"/>
            <w:vAlign w:val="center"/>
          </w:tcPr>
          <w:p w14:paraId="360CACBD">
            <w:pPr>
              <w:widowControl/>
              <w:jc w:val="center"/>
              <w:rPr>
                <w:rFonts w:ascii="宋体" w:hAnsi="宋体" w:cs="宋体"/>
                <w:color w:val="000000"/>
                <w:kern w:val="0"/>
                <w:sz w:val="18"/>
                <w:szCs w:val="18"/>
              </w:rPr>
            </w:pPr>
            <w:r>
              <w:rPr>
                <w:rFonts w:hint="eastAsia" w:ascii="宋体" w:hAnsi="宋体" w:cs="宋体"/>
                <w:color w:val="000000"/>
                <w:kern w:val="0"/>
                <w:sz w:val="18"/>
                <w:szCs w:val="18"/>
              </w:rPr>
              <w:t>制度建设</w:t>
            </w:r>
          </w:p>
        </w:tc>
        <w:tc>
          <w:tcPr>
            <w:tcW w:w="534" w:type="dxa"/>
            <w:tcBorders>
              <w:top w:val="nil"/>
              <w:left w:val="nil"/>
              <w:bottom w:val="single" w:color="auto" w:sz="4" w:space="0"/>
              <w:right w:val="single" w:color="auto" w:sz="4" w:space="0"/>
            </w:tcBorders>
            <w:shd w:val="clear" w:color="000000" w:fill="FFFFFF"/>
            <w:vAlign w:val="center"/>
          </w:tcPr>
          <w:p w14:paraId="55F69B3A">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961" w:type="dxa"/>
            <w:tcBorders>
              <w:top w:val="nil"/>
              <w:left w:val="nil"/>
              <w:bottom w:val="single" w:color="auto" w:sz="4" w:space="0"/>
              <w:right w:val="single" w:color="auto" w:sz="4" w:space="0"/>
            </w:tcBorders>
            <w:shd w:val="clear" w:color="000000" w:fill="FFFFFF"/>
            <w:vAlign w:val="center"/>
          </w:tcPr>
          <w:p w14:paraId="3D401C31">
            <w:pPr>
              <w:widowControl/>
              <w:jc w:val="left"/>
              <w:rPr>
                <w:rFonts w:ascii="宋体" w:hAnsi="宋体" w:cs="宋体"/>
                <w:color w:val="000000"/>
                <w:kern w:val="0"/>
                <w:sz w:val="18"/>
                <w:szCs w:val="18"/>
              </w:rPr>
            </w:pPr>
            <w:r>
              <w:rPr>
                <w:rFonts w:hint="eastAsia" w:ascii="宋体" w:hAnsi="宋体" w:cs="宋体"/>
                <w:color w:val="000000"/>
                <w:kern w:val="0"/>
                <w:sz w:val="18"/>
                <w:szCs w:val="18"/>
              </w:rPr>
              <w:t>内控制度建设完整性</w:t>
            </w:r>
          </w:p>
        </w:tc>
        <w:tc>
          <w:tcPr>
            <w:tcW w:w="3087" w:type="dxa"/>
            <w:tcBorders>
              <w:top w:val="nil"/>
              <w:left w:val="nil"/>
              <w:bottom w:val="single" w:color="auto" w:sz="4" w:space="0"/>
              <w:right w:val="single" w:color="auto" w:sz="4" w:space="0"/>
            </w:tcBorders>
            <w:shd w:val="clear" w:color="000000" w:fill="FFFFFF"/>
            <w:vAlign w:val="center"/>
          </w:tcPr>
          <w:p w14:paraId="6A3A26F7">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按照内控制度建设规定，单位内控制度缺失一个方面的扣0.5分。                                             </w:t>
            </w:r>
          </w:p>
        </w:tc>
        <w:tc>
          <w:tcPr>
            <w:tcW w:w="536" w:type="dxa"/>
            <w:tcBorders>
              <w:top w:val="nil"/>
              <w:left w:val="nil"/>
              <w:bottom w:val="single" w:color="auto" w:sz="4" w:space="0"/>
              <w:right w:val="single" w:color="auto" w:sz="4" w:space="0"/>
            </w:tcBorders>
            <w:shd w:val="clear" w:color="000000" w:fill="FFFFFF"/>
            <w:vAlign w:val="bottom"/>
          </w:tcPr>
          <w:p w14:paraId="473AC1B8">
            <w:pPr>
              <w:widowControl/>
              <w:jc w:val="right"/>
              <w:rPr>
                <w:rFonts w:ascii="宋体" w:hAnsi="宋体" w:cs="宋体"/>
                <w:color w:val="000000"/>
                <w:kern w:val="0"/>
                <w:sz w:val="18"/>
                <w:szCs w:val="18"/>
              </w:rPr>
            </w:pPr>
            <w:r>
              <w:rPr>
                <w:rFonts w:hint="eastAsia" w:ascii="宋体" w:hAnsi="宋体" w:cs="宋体"/>
                <w:color w:val="000000"/>
                <w:kern w:val="0"/>
                <w:sz w:val="18"/>
                <w:szCs w:val="18"/>
              </w:rPr>
              <w:t>5</w:t>
            </w:r>
          </w:p>
        </w:tc>
        <w:tc>
          <w:tcPr>
            <w:tcW w:w="1492" w:type="dxa"/>
            <w:tcBorders>
              <w:top w:val="nil"/>
              <w:left w:val="nil"/>
              <w:bottom w:val="single" w:color="auto" w:sz="4" w:space="0"/>
              <w:right w:val="single" w:color="auto" w:sz="4" w:space="0"/>
            </w:tcBorders>
            <w:shd w:val="clear" w:color="000000" w:fill="FFFFFF"/>
            <w:vAlign w:val="center"/>
          </w:tcPr>
          <w:p w14:paraId="06555937">
            <w:pPr>
              <w:widowControl/>
              <w:jc w:val="left"/>
              <w:rPr>
                <w:rFonts w:ascii="宋体" w:hAnsi="宋体" w:cs="宋体"/>
                <w:color w:val="000000"/>
                <w:kern w:val="0"/>
                <w:sz w:val="18"/>
                <w:szCs w:val="18"/>
              </w:rPr>
            </w:pPr>
            <w:r>
              <w:rPr>
                <w:rFonts w:hint="eastAsia" w:ascii="宋体" w:hAnsi="宋体" w:cs="宋体"/>
                <w:color w:val="000000"/>
                <w:kern w:val="0"/>
                <w:sz w:val="18"/>
                <w:szCs w:val="18"/>
              </w:rPr>
              <w:t>1.得分计算过程及得分说明；</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2.佐证材料:内控制度办法。</w:t>
            </w:r>
          </w:p>
        </w:tc>
        <w:tc>
          <w:tcPr>
            <w:tcW w:w="236" w:type="dxa"/>
            <w:tcBorders>
              <w:top w:val="nil"/>
              <w:left w:val="nil"/>
              <w:bottom w:val="nil"/>
              <w:right w:val="nil"/>
            </w:tcBorders>
            <w:shd w:val="clear" w:color="000000" w:fill="FFFFFF"/>
            <w:noWrap/>
            <w:vAlign w:val="bottom"/>
          </w:tcPr>
          <w:p w14:paraId="111B76C7">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14:paraId="700A0704">
        <w:tblPrEx>
          <w:tblCellMar>
            <w:top w:w="0" w:type="dxa"/>
            <w:left w:w="108" w:type="dxa"/>
            <w:bottom w:w="0" w:type="dxa"/>
            <w:right w:w="108" w:type="dxa"/>
          </w:tblCellMar>
        </w:tblPrEx>
        <w:trPr>
          <w:trHeight w:val="1950" w:hRule="atLeast"/>
        </w:trPr>
        <w:tc>
          <w:tcPr>
            <w:tcW w:w="576" w:type="dxa"/>
            <w:vMerge w:val="continue"/>
            <w:tcBorders>
              <w:top w:val="nil"/>
              <w:left w:val="single" w:color="auto" w:sz="4" w:space="0"/>
              <w:bottom w:val="single" w:color="auto" w:sz="4" w:space="0"/>
              <w:right w:val="single" w:color="auto" w:sz="4" w:space="0"/>
            </w:tcBorders>
            <w:vAlign w:val="center"/>
          </w:tcPr>
          <w:p w14:paraId="74F38256">
            <w:pPr>
              <w:widowControl/>
              <w:jc w:val="left"/>
              <w:rPr>
                <w:rFonts w:ascii="宋体" w:hAnsi="宋体" w:cs="宋体"/>
                <w:color w:val="000000"/>
                <w:kern w:val="0"/>
                <w:sz w:val="18"/>
                <w:szCs w:val="18"/>
              </w:rPr>
            </w:pPr>
          </w:p>
        </w:tc>
        <w:tc>
          <w:tcPr>
            <w:tcW w:w="576" w:type="dxa"/>
            <w:vMerge w:val="continue"/>
            <w:tcBorders>
              <w:top w:val="nil"/>
              <w:left w:val="single" w:color="auto" w:sz="4" w:space="0"/>
              <w:bottom w:val="single" w:color="000000" w:sz="4" w:space="0"/>
              <w:right w:val="single" w:color="auto" w:sz="4" w:space="0"/>
            </w:tcBorders>
            <w:vAlign w:val="center"/>
          </w:tcPr>
          <w:p w14:paraId="0E95F543">
            <w:pPr>
              <w:widowControl/>
              <w:jc w:val="left"/>
              <w:rPr>
                <w:rFonts w:ascii="宋体" w:hAnsi="宋体" w:cs="宋体"/>
                <w:color w:val="000000"/>
                <w:kern w:val="0"/>
                <w:sz w:val="18"/>
                <w:szCs w:val="18"/>
              </w:rPr>
            </w:pPr>
          </w:p>
        </w:tc>
        <w:tc>
          <w:tcPr>
            <w:tcW w:w="538" w:type="dxa"/>
            <w:tcBorders>
              <w:top w:val="nil"/>
              <w:left w:val="nil"/>
              <w:bottom w:val="single" w:color="auto" w:sz="4" w:space="0"/>
              <w:right w:val="single" w:color="auto" w:sz="4" w:space="0"/>
            </w:tcBorders>
            <w:shd w:val="clear" w:color="000000" w:fill="FFFFFF"/>
            <w:vAlign w:val="center"/>
          </w:tcPr>
          <w:p w14:paraId="111F4F81">
            <w:pPr>
              <w:widowControl/>
              <w:jc w:val="center"/>
              <w:rPr>
                <w:rFonts w:ascii="宋体" w:hAnsi="宋体" w:cs="宋体"/>
                <w:color w:val="000000"/>
                <w:kern w:val="0"/>
                <w:sz w:val="18"/>
                <w:szCs w:val="18"/>
              </w:rPr>
            </w:pPr>
            <w:r>
              <w:rPr>
                <w:rFonts w:hint="eastAsia" w:ascii="宋体" w:hAnsi="宋体" w:cs="宋体"/>
                <w:color w:val="000000"/>
                <w:kern w:val="0"/>
                <w:sz w:val="18"/>
                <w:szCs w:val="18"/>
              </w:rPr>
              <w:t>制度执行</w:t>
            </w:r>
          </w:p>
        </w:tc>
        <w:tc>
          <w:tcPr>
            <w:tcW w:w="534" w:type="dxa"/>
            <w:tcBorders>
              <w:top w:val="nil"/>
              <w:left w:val="nil"/>
              <w:bottom w:val="single" w:color="auto" w:sz="4" w:space="0"/>
              <w:right w:val="single" w:color="auto" w:sz="4" w:space="0"/>
            </w:tcBorders>
            <w:shd w:val="clear" w:color="000000" w:fill="FFFFFF"/>
            <w:vAlign w:val="center"/>
          </w:tcPr>
          <w:p w14:paraId="5D76AA28">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961" w:type="dxa"/>
            <w:tcBorders>
              <w:top w:val="nil"/>
              <w:left w:val="nil"/>
              <w:bottom w:val="single" w:color="auto" w:sz="4" w:space="0"/>
              <w:right w:val="single" w:color="auto" w:sz="4" w:space="0"/>
            </w:tcBorders>
            <w:shd w:val="clear" w:color="000000" w:fill="FFFFFF"/>
            <w:vAlign w:val="center"/>
          </w:tcPr>
          <w:p w14:paraId="7BD9E6C5">
            <w:pPr>
              <w:widowControl/>
              <w:jc w:val="left"/>
              <w:rPr>
                <w:rFonts w:ascii="宋体" w:hAnsi="宋体" w:cs="宋体"/>
                <w:color w:val="000000"/>
                <w:kern w:val="0"/>
                <w:sz w:val="18"/>
                <w:szCs w:val="18"/>
              </w:rPr>
            </w:pPr>
            <w:r>
              <w:rPr>
                <w:rFonts w:hint="eastAsia" w:ascii="宋体" w:hAnsi="宋体" w:cs="宋体"/>
                <w:color w:val="000000"/>
                <w:kern w:val="0"/>
                <w:sz w:val="18"/>
                <w:szCs w:val="18"/>
              </w:rPr>
              <w:t>内控制度执行规范性</w:t>
            </w:r>
          </w:p>
        </w:tc>
        <w:tc>
          <w:tcPr>
            <w:tcW w:w="3087" w:type="dxa"/>
            <w:tcBorders>
              <w:top w:val="nil"/>
              <w:left w:val="nil"/>
              <w:bottom w:val="single" w:color="auto" w:sz="4" w:space="0"/>
              <w:right w:val="single" w:color="auto" w:sz="4" w:space="0"/>
            </w:tcBorders>
            <w:shd w:val="clear" w:color="000000" w:fill="FFFFFF"/>
            <w:vAlign w:val="center"/>
          </w:tcPr>
          <w:p w14:paraId="756F38F0">
            <w:pPr>
              <w:widowControl/>
              <w:jc w:val="left"/>
              <w:rPr>
                <w:rFonts w:ascii="宋体" w:hAnsi="宋体" w:cs="宋体"/>
                <w:color w:val="000000"/>
                <w:kern w:val="0"/>
                <w:sz w:val="18"/>
                <w:szCs w:val="18"/>
              </w:rPr>
            </w:pPr>
            <w:r>
              <w:rPr>
                <w:rFonts w:hint="eastAsia" w:ascii="宋体" w:hAnsi="宋体" w:cs="宋体"/>
                <w:color w:val="000000"/>
                <w:kern w:val="0"/>
                <w:sz w:val="18"/>
                <w:szCs w:val="18"/>
              </w:rPr>
              <w:t>未按内控制度执行的，发现一个问题扣0.5分，扣分值不超过本项分值</w:t>
            </w:r>
          </w:p>
        </w:tc>
        <w:tc>
          <w:tcPr>
            <w:tcW w:w="536" w:type="dxa"/>
            <w:tcBorders>
              <w:top w:val="nil"/>
              <w:left w:val="nil"/>
              <w:bottom w:val="single" w:color="auto" w:sz="4" w:space="0"/>
              <w:right w:val="single" w:color="auto" w:sz="4" w:space="0"/>
            </w:tcBorders>
            <w:shd w:val="clear" w:color="000000" w:fill="FFFFFF"/>
            <w:vAlign w:val="bottom"/>
          </w:tcPr>
          <w:p w14:paraId="03D6F83C">
            <w:pPr>
              <w:widowControl/>
              <w:jc w:val="right"/>
              <w:rPr>
                <w:rFonts w:ascii="宋体" w:hAnsi="宋体" w:cs="宋体"/>
                <w:color w:val="000000"/>
                <w:kern w:val="0"/>
                <w:sz w:val="18"/>
                <w:szCs w:val="18"/>
              </w:rPr>
            </w:pPr>
            <w:r>
              <w:rPr>
                <w:rFonts w:hint="eastAsia" w:ascii="宋体" w:hAnsi="宋体" w:cs="宋体"/>
                <w:color w:val="000000"/>
                <w:kern w:val="0"/>
                <w:sz w:val="18"/>
                <w:szCs w:val="18"/>
              </w:rPr>
              <w:t>5</w:t>
            </w:r>
          </w:p>
        </w:tc>
        <w:tc>
          <w:tcPr>
            <w:tcW w:w="1492" w:type="dxa"/>
            <w:tcBorders>
              <w:top w:val="nil"/>
              <w:left w:val="nil"/>
              <w:bottom w:val="single" w:color="auto" w:sz="4" w:space="0"/>
              <w:right w:val="single" w:color="auto" w:sz="4" w:space="0"/>
            </w:tcBorders>
            <w:shd w:val="clear" w:color="000000" w:fill="FFFFFF"/>
            <w:vAlign w:val="center"/>
          </w:tcPr>
          <w:p w14:paraId="1585D770">
            <w:pPr>
              <w:widowControl/>
              <w:jc w:val="left"/>
              <w:rPr>
                <w:rFonts w:ascii="宋体" w:hAnsi="宋体" w:cs="宋体"/>
                <w:color w:val="000000"/>
                <w:kern w:val="0"/>
                <w:sz w:val="18"/>
                <w:szCs w:val="18"/>
              </w:rPr>
            </w:pPr>
            <w:r>
              <w:rPr>
                <w:rFonts w:hint="eastAsia" w:ascii="宋体" w:hAnsi="宋体" w:cs="宋体"/>
                <w:color w:val="000000"/>
                <w:kern w:val="0"/>
                <w:sz w:val="18"/>
                <w:szCs w:val="18"/>
              </w:rPr>
              <w:t>1.得分计算过程及得分说明；</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2.佐证材料:内控制度自查报告及检查报告。</w:t>
            </w:r>
          </w:p>
        </w:tc>
        <w:tc>
          <w:tcPr>
            <w:tcW w:w="236" w:type="dxa"/>
            <w:tcBorders>
              <w:top w:val="nil"/>
              <w:left w:val="nil"/>
              <w:bottom w:val="nil"/>
              <w:right w:val="nil"/>
            </w:tcBorders>
            <w:shd w:val="clear" w:color="000000" w:fill="FFFFFF"/>
            <w:noWrap/>
            <w:vAlign w:val="bottom"/>
          </w:tcPr>
          <w:p w14:paraId="04954C4A">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14:paraId="5A87453A">
        <w:tblPrEx>
          <w:tblCellMar>
            <w:top w:w="0" w:type="dxa"/>
            <w:left w:w="108" w:type="dxa"/>
            <w:bottom w:w="0" w:type="dxa"/>
            <w:right w:w="108" w:type="dxa"/>
          </w:tblCellMar>
        </w:tblPrEx>
        <w:trPr>
          <w:trHeight w:val="1980" w:hRule="atLeast"/>
        </w:trPr>
        <w:tc>
          <w:tcPr>
            <w:tcW w:w="576" w:type="dxa"/>
            <w:vMerge w:val="continue"/>
            <w:tcBorders>
              <w:top w:val="nil"/>
              <w:left w:val="single" w:color="auto" w:sz="4" w:space="0"/>
              <w:bottom w:val="single" w:color="auto" w:sz="4" w:space="0"/>
              <w:right w:val="single" w:color="auto" w:sz="4" w:space="0"/>
            </w:tcBorders>
            <w:vAlign w:val="center"/>
          </w:tcPr>
          <w:p w14:paraId="42526ECD">
            <w:pPr>
              <w:widowControl/>
              <w:jc w:val="left"/>
              <w:rPr>
                <w:rFonts w:ascii="宋体" w:hAnsi="宋体" w:cs="宋体"/>
                <w:color w:val="000000"/>
                <w:kern w:val="0"/>
                <w:sz w:val="18"/>
                <w:szCs w:val="18"/>
              </w:rPr>
            </w:pPr>
          </w:p>
        </w:tc>
        <w:tc>
          <w:tcPr>
            <w:tcW w:w="576" w:type="dxa"/>
            <w:vMerge w:val="restart"/>
            <w:tcBorders>
              <w:top w:val="nil"/>
              <w:left w:val="single" w:color="auto" w:sz="4" w:space="0"/>
              <w:bottom w:val="single" w:color="auto" w:sz="4" w:space="0"/>
              <w:right w:val="single" w:color="auto" w:sz="4" w:space="0"/>
            </w:tcBorders>
            <w:shd w:val="clear" w:color="000000" w:fill="FFFFFF"/>
            <w:vAlign w:val="center"/>
          </w:tcPr>
          <w:p w14:paraId="3D25D629">
            <w:pPr>
              <w:widowControl/>
              <w:jc w:val="center"/>
              <w:rPr>
                <w:rFonts w:ascii="宋体" w:hAnsi="宋体" w:cs="宋体"/>
                <w:color w:val="000000"/>
                <w:kern w:val="0"/>
                <w:sz w:val="18"/>
                <w:szCs w:val="18"/>
              </w:rPr>
            </w:pPr>
            <w:r>
              <w:rPr>
                <w:rFonts w:hint="eastAsia" w:ascii="宋体" w:hAnsi="宋体" w:cs="宋体"/>
                <w:color w:val="000000"/>
                <w:kern w:val="0"/>
                <w:sz w:val="18"/>
                <w:szCs w:val="18"/>
              </w:rPr>
              <w:t>完成结果（20分）</w:t>
            </w:r>
          </w:p>
        </w:tc>
        <w:tc>
          <w:tcPr>
            <w:tcW w:w="538" w:type="dxa"/>
            <w:tcBorders>
              <w:top w:val="nil"/>
              <w:left w:val="nil"/>
              <w:bottom w:val="single" w:color="auto" w:sz="4" w:space="0"/>
              <w:right w:val="single" w:color="auto" w:sz="4" w:space="0"/>
            </w:tcBorders>
            <w:shd w:val="clear" w:color="000000" w:fill="FFFFFF"/>
            <w:vAlign w:val="center"/>
          </w:tcPr>
          <w:p w14:paraId="5351CEE1">
            <w:pPr>
              <w:widowControl/>
              <w:jc w:val="center"/>
              <w:rPr>
                <w:rFonts w:ascii="宋体" w:hAnsi="宋体" w:cs="宋体"/>
                <w:color w:val="000000"/>
                <w:kern w:val="0"/>
                <w:sz w:val="18"/>
                <w:szCs w:val="18"/>
              </w:rPr>
            </w:pPr>
            <w:r>
              <w:rPr>
                <w:rFonts w:hint="eastAsia" w:ascii="宋体" w:hAnsi="宋体" w:cs="宋体"/>
                <w:color w:val="000000"/>
                <w:kern w:val="0"/>
                <w:sz w:val="18"/>
                <w:szCs w:val="18"/>
              </w:rPr>
              <w:t>预算完成</w:t>
            </w:r>
          </w:p>
        </w:tc>
        <w:tc>
          <w:tcPr>
            <w:tcW w:w="534" w:type="dxa"/>
            <w:tcBorders>
              <w:top w:val="nil"/>
              <w:left w:val="nil"/>
              <w:bottom w:val="single" w:color="auto" w:sz="4" w:space="0"/>
              <w:right w:val="single" w:color="auto" w:sz="4" w:space="0"/>
            </w:tcBorders>
            <w:shd w:val="clear" w:color="000000" w:fill="FFFFFF"/>
            <w:vAlign w:val="center"/>
          </w:tcPr>
          <w:p w14:paraId="0FE42D9B">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961" w:type="dxa"/>
            <w:tcBorders>
              <w:top w:val="nil"/>
              <w:left w:val="nil"/>
              <w:bottom w:val="single" w:color="auto" w:sz="4" w:space="0"/>
              <w:right w:val="single" w:color="auto" w:sz="4" w:space="0"/>
            </w:tcBorders>
            <w:shd w:val="clear" w:color="000000" w:fill="FFFFFF"/>
            <w:vAlign w:val="center"/>
          </w:tcPr>
          <w:p w14:paraId="7F792351">
            <w:pPr>
              <w:widowControl/>
              <w:jc w:val="left"/>
              <w:rPr>
                <w:rFonts w:ascii="宋体" w:hAnsi="宋体" w:cs="宋体"/>
                <w:color w:val="000000"/>
                <w:kern w:val="0"/>
                <w:sz w:val="18"/>
                <w:szCs w:val="18"/>
              </w:rPr>
            </w:pPr>
            <w:r>
              <w:rPr>
                <w:rFonts w:hint="eastAsia" w:ascii="宋体" w:hAnsi="宋体" w:cs="宋体"/>
                <w:color w:val="000000"/>
                <w:kern w:val="0"/>
                <w:sz w:val="18"/>
                <w:szCs w:val="18"/>
              </w:rPr>
              <w:t>评价部门预算年终预算执行情况。</w:t>
            </w:r>
          </w:p>
        </w:tc>
        <w:tc>
          <w:tcPr>
            <w:tcW w:w="3087" w:type="dxa"/>
            <w:tcBorders>
              <w:top w:val="nil"/>
              <w:left w:val="nil"/>
              <w:bottom w:val="single" w:color="auto" w:sz="4" w:space="0"/>
              <w:right w:val="single" w:color="auto" w:sz="4" w:space="0"/>
            </w:tcBorders>
            <w:shd w:val="clear" w:color="000000" w:fill="FFFFFF"/>
            <w:vAlign w:val="center"/>
          </w:tcPr>
          <w:p w14:paraId="12B6F06A">
            <w:pPr>
              <w:widowControl/>
              <w:jc w:val="left"/>
              <w:rPr>
                <w:rFonts w:ascii="宋体" w:hAnsi="宋体" w:cs="宋体"/>
                <w:color w:val="000000"/>
                <w:kern w:val="0"/>
                <w:sz w:val="18"/>
                <w:szCs w:val="18"/>
              </w:rPr>
            </w:pPr>
            <w:r>
              <w:rPr>
                <w:rFonts w:hint="eastAsia" w:ascii="宋体" w:hAnsi="宋体" w:cs="宋体"/>
                <w:color w:val="000000"/>
                <w:kern w:val="0"/>
                <w:sz w:val="18"/>
                <w:szCs w:val="18"/>
              </w:rPr>
              <w:t>部门预算全年执行进度达到100%的，得10分，未达100%的，按照实际进度量化计算得分。</w:t>
            </w:r>
          </w:p>
        </w:tc>
        <w:tc>
          <w:tcPr>
            <w:tcW w:w="536" w:type="dxa"/>
            <w:tcBorders>
              <w:top w:val="nil"/>
              <w:left w:val="nil"/>
              <w:bottom w:val="single" w:color="auto" w:sz="4" w:space="0"/>
              <w:right w:val="single" w:color="auto" w:sz="4" w:space="0"/>
            </w:tcBorders>
            <w:shd w:val="clear" w:color="000000" w:fill="FFFFFF"/>
            <w:vAlign w:val="bottom"/>
          </w:tcPr>
          <w:p w14:paraId="09B02E3A">
            <w:pPr>
              <w:widowControl/>
              <w:jc w:val="right"/>
              <w:rPr>
                <w:rFonts w:ascii="宋体" w:hAnsi="宋体" w:cs="宋体"/>
                <w:color w:val="000000"/>
                <w:kern w:val="0"/>
                <w:sz w:val="18"/>
                <w:szCs w:val="18"/>
              </w:rPr>
            </w:pPr>
            <w:r>
              <w:rPr>
                <w:rFonts w:hint="eastAsia" w:ascii="宋体" w:hAnsi="宋体" w:cs="宋体"/>
                <w:color w:val="000000"/>
                <w:kern w:val="0"/>
                <w:sz w:val="18"/>
                <w:szCs w:val="18"/>
              </w:rPr>
              <w:t>10</w:t>
            </w:r>
          </w:p>
        </w:tc>
        <w:tc>
          <w:tcPr>
            <w:tcW w:w="1492" w:type="dxa"/>
            <w:tcBorders>
              <w:top w:val="nil"/>
              <w:left w:val="nil"/>
              <w:bottom w:val="single" w:color="auto" w:sz="4" w:space="0"/>
              <w:right w:val="single" w:color="auto" w:sz="4" w:space="0"/>
            </w:tcBorders>
            <w:shd w:val="clear" w:color="000000" w:fill="FFFFFF"/>
            <w:vAlign w:val="center"/>
          </w:tcPr>
          <w:p w14:paraId="335193D5">
            <w:pPr>
              <w:widowControl/>
              <w:jc w:val="left"/>
              <w:rPr>
                <w:rFonts w:ascii="宋体" w:hAnsi="宋体" w:cs="宋体"/>
                <w:color w:val="000000"/>
                <w:kern w:val="0"/>
                <w:sz w:val="18"/>
                <w:szCs w:val="18"/>
              </w:rPr>
            </w:pPr>
            <w:r>
              <w:rPr>
                <w:rFonts w:hint="eastAsia" w:ascii="宋体" w:hAnsi="宋体" w:cs="宋体"/>
                <w:color w:val="000000"/>
                <w:kern w:val="0"/>
                <w:sz w:val="18"/>
                <w:szCs w:val="18"/>
              </w:rPr>
              <w:t>1.得分计算过程及得分说明；</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2.佐证材料:年终预算执行数据等。</w:t>
            </w:r>
          </w:p>
        </w:tc>
        <w:tc>
          <w:tcPr>
            <w:tcW w:w="236" w:type="dxa"/>
            <w:tcBorders>
              <w:top w:val="nil"/>
              <w:left w:val="nil"/>
              <w:bottom w:val="nil"/>
              <w:right w:val="nil"/>
            </w:tcBorders>
            <w:shd w:val="clear" w:color="000000" w:fill="FFFFFF"/>
            <w:noWrap/>
            <w:vAlign w:val="bottom"/>
          </w:tcPr>
          <w:p w14:paraId="26634FF4">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14:paraId="50029F60">
        <w:tblPrEx>
          <w:tblCellMar>
            <w:top w:w="0" w:type="dxa"/>
            <w:left w:w="108" w:type="dxa"/>
            <w:bottom w:w="0" w:type="dxa"/>
            <w:right w:w="108" w:type="dxa"/>
          </w:tblCellMar>
        </w:tblPrEx>
        <w:trPr>
          <w:trHeight w:val="1905" w:hRule="atLeast"/>
        </w:trPr>
        <w:tc>
          <w:tcPr>
            <w:tcW w:w="576" w:type="dxa"/>
            <w:vMerge w:val="continue"/>
            <w:tcBorders>
              <w:top w:val="nil"/>
              <w:left w:val="single" w:color="auto" w:sz="4" w:space="0"/>
              <w:bottom w:val="single" w:color="auto" w:sz="4" w:space="0"/>
              <w:right w:val="single" w:color="auto" w:sz="4" w:space="0"/>
            </w:tcBorders>
            <w:vAlign w:val="center"/>
          </w:tcPr>
          <w:p w14:paraId="0EB4D9EF">
            <w:pPr>
              <w:widowControl/>
              <w:jc w:val="left"/>
              <w:rPr>
                <w:rFonts w:ascii="宋体" w:hAnsi="宋体" w:cs="宋体"/>
                <w:color w:val="000000"/>
                <w:kern w:val="0"/>
                <w:sz w:val="18"/>
                <w:szCs w:val="18"/>
              </w:rPr>
            </w:pPr>
          </w:p>
        </w:tc>
        <w:tc>
          <w:tcPr>
            <w:tcW w:w="576" w:type="dxa"/>
            <w:vMerge w:val="continue"/>
            <w:tcBorders>
              <w:top w:val="nil"/>
              <w:left w:val="single" w:color="auto" w:sz="4" w:space="0"/>
              <w:bottom w:val="single" w:color="auto" w:sz="4" w:space="0"/>
              <w:right w:val="single" w:color="auto" w:sz="4" w:space="0"/>
            </w:tcBorders>
            <w:vAlign w:val="center"/>
          </w:tcPr>
          <w:p w14:paraId="371A220C">
            <w:pPr>
              <w:widowControl/>
              <w:jc w:val="left"/>
              <w:rPr>
                <w:rFonts w:ascii="宋体" w:hAnsi="宋体" w:cs="宋体"/>
                <w:color w:val="000000"/>
                <w:kern w:val="0"/>
                <w:sz w:val="18"/>
                <w:szCs w:val="18"/>
              </w:rPr>
            </w:pPr>
          </w:p>
        </w:tc>
        <w:tc>
          <w:tcPr>
            <w:tcW w:w="538" w:type="dxa"/>
            <w:tcBorders>
              <w:top w:val="nil"/>
              <w:left w:val="nil"/>
              <w:bottom w:val="single" w:color="auto" w:sz="4" w:space="0"/>
              <w:right w:val="single" w:color="auto" w:sz="4" w:space="0"/>
            </w:tcBorders>
            <w:shd w:val="clear" w:color="000000" w:fill="FFFFFF"/>
            <w:vAlign w:val="center"/>
          </w:tcPr>
          <w:p w14:paraId="62C1D0FD">
            <w:pPr>
              <w:widowControl/>
              <w:jc w:val="center"/>
              <w:rPr>
                <w:rFonts w:ascii="宋体" w:hAnsi="宋体" w:cs="宋体"/>
                <w:color w:val="000000"/>
                <w:kern w:val="0"/>
                <w:sz w:val="18"/>
                <w:szCs w:val="18"/>
              </w:rPr>
            </w:pPr>
            <w:r>
              <w:rPr>
                <w:rFonts w:hint="eastAsia" w:ascii="宋体" w:hAnsi="宋体" w:cs="宋体"/>
                <w:color w:val="000000"/>
                <w:kern w:val="0"/>
                <w:sz w:val="18"/>
                <w:szCs w:val="18"/>
              </w:rPr>
              <w:t>违规记录</w:t>
            </w:r>
          </w:p>
        </w:tc>
        <w:tc>
          <w:tcPr>
            <w:tcW w:w="534" w:type="dxa"/>
            <w:tcBorders>
              <w:top w:val="nil"/>
              <w:left w:val="nil"/>
              <w:bottom w:val="single" w:color="auto" w:sz="4" w:space="0"/>
              <w:right w:val="single" w:color="auto" w:sz="4" w:space="0"/>
            </w:tcBorders>
            <w:shd w:val="clear" w:color="000000" w:fill="FFFFFF"/>
            <w:vAlign w:val="center"/>
          </w:tcPr>
          <w:p w14:paraId="13D122BA">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961" w:type="dxa"/>
            <w:tcBorders>
              <w:top w:val="nil"/>
              <w:left w:val="nil"/>
              <w:bottom w:val="single" w:color="auto" w:sz="4" w:space="0"/>
              <w:right w:val="single" w:color="auto" w:sz="4" w:space="0"/>
            </w:tcBorders>
            <w:shd w:val="clear" w:color="000000" w:fill="FFFFFF"/>
            <w:vAlign w:val="center"/>
          </w:tcPr>
          <w:p w14:paraId="41409935">
            <w:pPr>
              <w:widowControl/>
              <w:jc w:val="left"/>
              <w:rPr>
                <w:rFonts w:ascii="宋体" w:hAnsi="宋体" w:cs="宋体"/>
                <w:color w:val="000000"/>
                <w:kern w:val="0"/>
                <w:sz w:val="18"/>
                <w:szCs w:val="18"/>
              </w:rPr>
            </w:pPr>
            <w:r>
              <w:rPr>
                <w:rFonts w:hint="eastAsia" w:ascii="宋体" w:hAnsi="宋体" w:cs="宋体"/>
                <w:color w:val="000000"/>
                <w:kern w:val="0"/>
                <w:sz w:val="18"/>
                <w:szCs w:val="18"/>
              </w:rPr>
              <w:t>根据巡视巡察、人大联网监督、审计、财政检查反映问题。</w:t>
            </w:r>
          </w:p>
        </w:tc>
        <w:tc>
          <w:tcPr>
            <w:tcW w:w="3087" w:type="dxa"/>
            <w:tcBorders>
              <w:top w:val="nil"/>
              <w:left w:val="nil"/>
              <w:bottom w:val="single" w:color="auto" w:sz="4" w:space="0"/>
              <w:right w:val="single" w:color="auto" w:sz="4" w:space="0"/>
            </w:tcBorders>
            <w:shd w:val="clear" w:color="000000" w:fill="FFFFFF"/>
            <w:vAlign w:val="center"/>
          </w:tcPr>
          <w:p w14:paraId="52ED5B2B">
            <w:pPr>
              <w:widowControl/>
              <w:jc w:val="left"/>
              <w:rPr>
                <w:rFonts w:ascii="宋体" w:hAnsi="宋体" w:cs="宋体"/>
                <w:color w:val="000000"/>
                <w:kern w:val="0"/>
                <w:sz w:val="18"/>
                <w:szCs w:val="18"/>
              </w:rPr>
            </w:pPr>
            <w:r>
              <w:rPr>
                <w:rFonts w:hint="eastAsia" w:ascii="宋体" w:hAnsi="宋体" w:cs="宋体"/>
                <w:color w:val="000000"/>
                <w:kern w:val="0"/>
                <w:sz w:val="18"/>
                <w:szCs w:val="18"/>
              </w:rPr>
              <w:t>依据反映的问题，每个问题扣0.5分，扣分值不超过本项分值。</w:t>
            </w:r>
          </w:p>
        </w:tc>
        <w:tc>
          <w:tcPr>
            <w:tcW w:w="536" w:type="dxa"/>
            <w:tcBorders>
              <w:top w:val="nil"/>
              <w:left w:val="nil"/>
              <w:bottom w:val="single" w:color="auto" w:sz="4" w:space="0"/>
              <w:right w:val="single" w:color="auto" w:sz="4" w:space="0"/>
            </w:tcBorders>
            <w:shd w:val="clear" w:color="000000" w:fill="FFFFFF"/>
            <w:vAlign w:val="bottom"/>
          </w:tcPr>
          <w:p w14:paraId="7347497F">
            <w:pPr>
              <w:widowControl/>
              <w:jc w:val="right"/>
              <w:rPr>
                <w:rFonts w:ascii="宋体" w:hAnsi="宋体" w:cs="宋体"/>
                <w:color w:val="000000"/>
                <w:kern w:val="0"/>
                <w:sz w:val="18"/>
                <w:szCs w:val="18"/>
              </w:rPr>
            </w:pPr>
            <w:r>
              <w:rPr>
                <w:rFonts w:hint="eastAsia" w:ascii="宋体" w:hAnsi="宋体" w:cs="宋体"/>
                <w:color w:val="000000"/>
                <w:kern w:val="0"/>
                <w:sz w:val="18"/>
                <w:szCs w:val="18"/>
              </w:rPr>
              <w:t>10</w:t>
            </w:r>
          </w:p>
        </w:tc>
        <w:tc>
          <w:tcPr>
            <w:tcW w:w="1492" w:type="dxa"/>
            <w:tcBorders>
              <w:top w:val="nil"/>
              <w:left w:val="nil"/>
              <w:bottom w:val="single" w:color="auto" w:sz="4" w:space="0"/>
              <w:right w:val="single" w:color="auto" w:sz="4" w:space="0"/>
            </w:tcBorders>
            <w:shd w:val="clear" w:color="000000" w:fill="FFFFFF"/>
            <w:vAlign w:val="center"/>
          </w:tcPr>
          <w:p w14:paraId="7BA7625F">
            <w:pPr>
              <w:widowControl/>
              <w:jc w:val="left"/>
              <w:rPr>
                <w:rFonts w:ascii="宋体" w:hAnsi="宋体" w:cs="宋体"/>
                <w:color w:val="000000"/>
                <w:kern w:val="0"/>
                <w:sz w:val="18"/>
                <w:szCs w:val="18"/>
              </w:rPr>
            </w:pPr>
            <w:r>
              <w:rPr>
                <w:rFonts w:hint="eastAsia" w:ascii="宋体" w:hAnsi="宋体" w:cs="宋体"/>
                <w:color w:val="000000"/>
                <w:kern w:val="0"/>
                <w:sz w:val="18"/>
                <w:szCs w:val="18"/>
              </w:rPr>
              <w:t>1.得分计算过程及得分说明；</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2.佐证材料:当年年度审计报告、财政监督检查报告等。</w:t>
            </w:r>
          </w:p>
        </w:tc>
        <w:tc>
          <w:tcPr>
            <w:tcW w:w="236" w:type="dxa"/>
            <w:tcBorders>
              <w:top w:val="nil"/>
              <w:left w:val="nil"/>
              <w:bottom w:val="nil"/>
              <w:right w:val="nil"/>
            </w:tcBorders>
            <w:shd w:val="clear" w:color="000000" w:fill="FFFFFF"/>
            <w:noWrap/>
            <w:vAlign w:val="bottom"/>
          </w:tcPr>
          <w:p w14:paraId="37A57646">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14:paraId="46FE6598">
        <w:tblPrEx>
          <w:tblCellMar>
            <w:top w:w="0" w:type="dxa"/>
            <w:left w:w="108" w:type="dxa"/>
            <w:bottom w:w="0" w:type="dxa"/>
            <w:right w:w="108" w:type="dxa"/>
          </w:tblCellMar>
        </w:tblPrEx>
        <w:trPr>
          <w:trHeight w:val="1470" w:hRule="atLeast"/>
        </w:trPr>
        <w:tc>
          <w:tcPr>
            <w:tcW w:w="576" w:type="dxa"/>
            <w:vMerge w:val="restart"/>
            <w:tcBorders>
              <w:top w:val="nil"/>
              <w:left w:val="single" w:color="auto" w:sz="4" w:space="0"/>
              <w:bottom w:val="single" w:color="000000" w:sz="4" w:space="0"/>
              <w:right w:val="single" w:color="auto" w:sz="4" w:space="0"/>
            </w:tcBorders>
            <w:shd w:val="clear" w:color="000000" w:fill="FFFFFF"/>
            <w:vAlign w:val="center"/>
          </w:tcPr>
          <w:p w14:paraId="3702CC1A">
            <w:pPr>
              <w:widowControl/>
              <w:jc w:val="center"/>
              <w:rPr>
                <w:rFonts w:ascii="宋体" w:hAnsi="宋体" w:cs="宋体"/>
                <w:color w:val="000000"/>
                <w:kern w:val="0"/>
                <w:sz w:val="18"/>
                <w:szCs w:val="18"/>
              </w:rPr>
            </w:pPr>
            <w:r>
              <w:rPr>
                <w:rFonts w:hint="eastAsia" w:ascii="宋体" w:hAnsi="宋体" w:cs="宋体"/>
                <w:color w:val="000000"/>
                <w:kern w:val="0"/>
                <w:sz w:val="18"/>
                <w:szCs w:val="18"/>
              </w:rPr>
              <w:t>绩效结果应用（20分）</w:t>
            </w:r>
          </w:p>
        </w:tc>
        <w:tc>
          <w:tcPr>
            <w:tcW w:w="576" w:type="dxa"/>
            <w:vMerge w:val="restart"/>
            <w:tcBorders>
              <w:top w:val="nil"/>
              <w:left w:val="single" w:color="auto" w:sz="4" w:space="0"/>
              <w:bottom w:val="single" w:color="auto" w:sz="4" w:space="0"/>
              <w:right w:val="single" w:color="auto" w:sz="4" w:space="0"/>
            </w:tcBorders>
            <w:shd w:val="clear" w:color="000000" w:fill="FFFFFF"/>
            <w:vAlign w:val="center"/>
          </w:tcPr>
          <w:p w14:paraId="76E6DE61">
            <w:pPr>
              <w:widowControl/>
              <w:jc w:val="center"/>
              <w:rPr>
                <w:rFonts w:ascii="宋体" w:hAnsi="宋体" w:cs="宋体"/>
                <w:color w:val="000000"/>
                <w:kern w:val="0"/>
                <w:sz w:val="18"/>
                <w:szCs w:val="18"/>
              </w:rPr>
            </w:pPr>
            <w:r>
              <w:rPr>
                <w:rFonts w:hint="eastAsia" w:ascii="宋体" w:hAnsi="宋体" w:cs="宋体"/>
                <w:color w:val="000000"/>
                <w:kern w:val="0"/>
                <w:sz w:val="18"/>
                <w:szCs w:val="18"/>
              </w:rPr>
              <w:t>信息公开（8分）</w:t>
            </w:r>
          </w:p>
        </w:tc>
        <w:tc>
          <w:tcPr>
            <w:tcW w:w="538" w:type="dxa"/>
            <w:tcBorders>
              <w:top w:val="nil"/>
              <w:left w:val="nil"/>
              <w:bottom w:val="single" w:color="auto" w:sz="4" w:space="0"/>
              <w:right w:val="single" w:color="auto" w:sz="4" w:space="0"/>
            </w:tcBorders>
            <w:shd w:val="clear" w:color="000000" w:fill="FFFFFF"/>
            <w:vAlign w:val="center"/>
          </w:tcPr>
          <w:p w14:paraId="4A2AC117">
            <w:pPr>
              <w:widowControl/>
              <w:jc w:val="center"/>
              <w:rPr>
                <w:rFonts w:ascii="宋体" w:hAnsi="宋体" w:cs="宋体"/>
                <w:color w:val="000000"/>
                <w:kern w:val="0"/>
                <w:sz w:val="18"/>
                <w:szCs w:val="18"/>
              </w:rPr>
            </w:pPr>
            <w:r>
              <w:rPr>
                <w:rFonts w:hint="eastAsia" w:ascii="宋体" w:hAnsi="宋体" w:cs="宋体"/>
                <w:color w:val="000000"/>
                <w:kern w:val="0"/>
                <w:sz w:val="18"/>
                <w:szCs w:val="18"/>
              </w:rPr>
              <w:t>目标公开</w:t>
            </w:r>
          </w:p>
        </w:tc>
        <w:tc>
          <w:tcPr>
            <w:tcW w:w="534" w:type="dxa"/>
            <w:tcBorders>
              <w:top w:val="nil"/>
              <w:left w:val="nil"/>
              <w:bottom w:val="single" w:color="auto" w:sz="4" w:space="0"/>
              <w:right w:val="single" w:color="auto" w:sz="4" w:space="0"/>
            </w:tcBorders>
            <w:shd w:val="clear" w:color="000000" w:fill="FFFFFF"/>
            <w:vAlign w:val="center"/>
          </w:tcPr>
          <w:p w14:paraId="6C24343C">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961" w:type="dxa"/>
            <w:tcBorders>
              <w:top w:val="nil"/>
              <w:left w:val="nil"/>
              <w:bottom w:val="single" w:color="auto" w:sz="4" w:space="0"/>
              <w:right w:val="single" w:color="auto" w:sz="4" w:space="0"/>
            </w:tcBorders>
            <w:shd w:val="clear" w:color="000000" w:fill="FFFFFF"/>
            <w:vAlign w:val="center"/>
          </w:tcPr>
          <w:p w14:paraId="7F9BFC50">
            <w:pPr>
              <w:widowControl/>
              <w:jc w:val="left"/>
              <w:rPr>
                <w:rFonts w:ascii="宋体" w:hAnsi="宋体" w:cs="宋体"/>
                <w:color w:val="000000"/>
                <w:kern w:val="0"/>
                <w:sz w:val="18"/>
                <w:szCs w:val="18"/>
              </w:rPr>
            </w:pPr>
            <w:r>
              <w:rPr>
                <w:rFonts w:hint="eastAsia" w:ascii="宋体" w:hAnsi="宋体" w:cs="宋体"/>
                <w:color w:val="000000"/>
                <w:kern w:val="0"/>
                <w:sz w:val="18"/>
                <w:szCs w:val="18"/>
              </w:rPr>
              <w:t>评价部门绩效目标是否按要求向社会公开。</w:t>
            </w:r>
          </w:p>
        </w:tc>
        <w:tc>
          <w:tcPr>
            <w:tcW w:w="3087" w:type="dxa"/>
            <w:tcBorders>
              <w:top w:val="nil"/>
              <w:left w:val="nil"/>
              <w:bottom w:val="single" w:color="auto" w:sz="4" w:space="0"/>
              <w:right w:val="single" w:color="auto" w:sz="4" w:space="0"/>
            </w:tcBorders>
            <w:shd w:val="clear" w:color="000000" w:fill="FFFFFF"/>
            <w:vAlign w:val="center"/>
          </w:tcPr>
          <w:p w14:paraId="078ED132">
            <w:pPr>
              <w:widowControl/>
              <w:jc w:val="left"/>
              <w:rPr>
                <w:rFonts w:ascii="宋体" w:hAnsi="宋体" w:cs="宋体"/>
                <w:color w:val="000000"/>
                <w:kern w:val="0"/>
                <w:sz w:val="18"/>
                <w:szCs w:val="18"/>
              </w:rPr>
            </w:pPr>
            <w:r>
              <w:rPr>
                <w:rFonts w:hint="eastAsia" w:ascii="宋体" w:hAnsi="宋体" w:cs="宋体"/>
                <w:color w:val="000000"/>
                <w:kern w:val="0"/>
                <w:sz w:val="18"/>
                <w:szCs w:val="18"/>
              </w:rPr>
              <w:t>按要求随同预算公开的，得4分。未公开的不得分。</w:t>
            </w:r>
          </w:p>
        </w:tc>
        <w:tc>
          <w:tcPr>
            <w:tcW w:w="536" w:type="dxa"/>
            <w:tcBorders>
              <w:top w:val="nil"/>
              <w:left w:val="nil"/>
              <w:bottom w:val="single" w:color="auto" w:sz="4" w:space="0"/>
              <w:right w:val="single" w:color="auto" w:sz="4" w:space="0"/>
            </w:tcBorders>
            <w:shd w:val="clear" w:color="000000" w:fill="FFFFFF"/>
            <w:vAlign w:val="bottom"/>
          </w:tcPr>
          <w:p w14:paraId="28206D38">
            <w:pPr>
              <w:widowControl/>
              <w:jc w:val="right"/>
              <w:rPr>
                <w:rFonts w:ascii="宋体" w:hAnsi="宋体" w:cs="宋体"/>
                <w:color w:val="000000"/>
                <w:kern w:val="0"/>
                <w:sz w:val="18"/>
                <w:szCs w:val="18"/>
              </w:rPr>
            </w:pPr>
            <w:r>
              <w:rPr>
                <w:rFonts w:hint="eastAsia" w:ascii="宋体" w:hAnsi="宋体" w:cs="宋体"/>
                <w:color w:val="000000"/>
                <w:kern w:val="0"/>
                <w:sz w:val="18"/>
                <w:szCs w:val="18"/>
              </w:rPr>
              <w:t>4</w:t>
            </w:r>
          </w:p>
        </w:tc>
        <w:tc>
          <w:tcPr>
            <w:tcW w:w="1492" w:type="dxa"/>
            <w:tcBorders>
              <w:top w:val="nil"/>
              <w:left w:val="nil"/>
              <w:bottom w:val="single" w:color="auto" w:sz="4" w:space="0"/>
              <w:right w:val="single" w:color="auto" w:sz="4" w:space="0"/>
            </w:tcBorders>
            <w:shd w:val="clear" w:color="000000" w:fill="FFFFFF"/>
            <w:vAlign w:val="center"/>
          </w:tcPr>
          <w:p w14:paraId="230ABDC7">
            <w:pPr>
              <w:widowControl/>
              <w:jc w:val="left"/>
              <w:rPr>
                <w:rFonts w:ascii="宋体" w:hAnsi="宋体" w:cs="宋体"/>
                <w:color w:val="000000"/>
                <w:kern w:val="0"/>
                <w:sz w:val="18"/>
                <w:szCs w:val="18"/>
              </w:rPr>
            </w:pPr>
            <w:r>
              <w:rPr>
                <w:rFonts w:hint="eastAsia" w:ascii="宋体" w:hAnsi="宋体" w:cs="宋体"/>
                <w:color w:val="000000"/>
                <w:kern w:val="0"/>
                <w:sz w:val="18"/>
                <w:szCs w:val="18"/>
              </w:rPr>
              <w:t>1.得分计算过程及得分说明；</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2.佐证材料:绩效目标公开截图等。</w:t>
            </w:r>
          </w:p>
        </w:tc>
        <w:tc>
          <w:tcPr>
            <w:tcW w:w="236" w:type="dxa"/>
            <w:tcBorders>
              <w:top w:val="nil"/>
              <w:left w:val="nil"/>
              <w:bottom w:val="nil"/>
              <w:right w:val="nil"/>
            </w:tcBorders>
            <w:shd w:val="clear" w:color="000000" w:fill="FFFFFF"/>
            <w:noWrap/>
            <w:vAlign w:val="bottom"/>
          </w:tcPr>
          <w:p w14:paraId="28636756">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14:paraId="4714C1E7">
        <w:tblPrEx>
          <w:tblCellMar>
            <w:top w:w="0" w:type="dxa"/>
            <w:left w:w="108" w:type="dxa"/>
            <w:bottom w:w="0" w:type="dxa"/>
            <w:right w:w="108" w:type="dxa"/>
          </w:tblCellMar>
        </w:tblPrEx>
        <w:trPr>
          <w:trHeight w:val="2070" w:hRule="atLeast"/>
        </w:trPr>
        <w:tc>
          <w:tcPr>
            <w:tcW w:w="576" w:type="dxa"/>
            <w:vMerge w:val="continue"/>
            <w:tcBorders>
              <w:top w:val="nil"/>
              <w:left w:val="single" w:color="auto" w:sz="4" w:space="0"/>
              <w:bottom w:val="single" w:color="000000" w:sz="4" w:space="0"/>
              <w:right w:val="single" w:color="auto" w:sz="4" w:space="0"/>
            </w:tcBorders>
            <w:vAlign w:val="center"/>
          </w:tcPr>
          <w:p w14:paraId="119E794C">
            <w:pPr>
              <w:widowControl/>
              <w:jc w:val="left"/>
              <w:rPr>
                <w:rFonts w:ascii="宋体" w:hAnsi="宋体" w:cs="宋体"/>
                <w:color w:val="000000"/>
                <w:kern w:val="0"/>
                <w:sz w:val="18"/>
                <w:szCs w:val="18"/>
              </w:rPr>
            </w:pPr>
          </w:p>
        </w:tc>
        <w:tc>
          <w:tcPr>
            <w:tcW w:w="576" w:type="dxa"/>
            <w:vMerge w:val="continue"/>
            <w:tcBorders>
              <w:top w:val="nil"/>
              <w:left w:val="single" w:color="auto" w:sz="4" w:space="0"/>
              <w:bottom w:val="single" w:color="auto" w:sz="4" w:space="0"/>
              <w:right w:val="single" w:color="auto" w:sz="4" w:space="0"/>
            </w:tcBorders>
            <w:vAlign w:val="center"/>
          </w:tcPr>
          <w:p w14:paraId="69E5A7AF">
            <w:pPr>
              <w:widowControl/>
              <w:jc w:val="left"/>
              <w:rPr>
                <w:rFonts w:ascii="宋体" w:hAnsi="宋体" w:cs="宋体"/>
                <w:color w:val="000000"/>
                <w:kern w:val="0"/>
                <w:sz w:val="18"/>
                <w:szCs w:val="18"/>
              </w:rPr>
            </w:pPr>
          </w:p>
        </w:tc>
        <w:tc>
          <w:tcPr>
            <w:tcW w:w="538" w:type="dxa"/>
            <w:tcBorders>
              <w:top w:val="nil"/>
              <w:left w:val="nil"/>
              <w:bottom w:val="single" w:color="auto" w:sz="4" w:space="0"/>
              <w:right w:val="single" w:color="auto" w:sz="4" w:space="0"/>
            </w:tcBorders>
            <w:shd w:val="clear" w:color="000000" w:fill="FFFFFF"/>
            <w:vAlign w:val="center"/>
          </w:tcPr>
          <w:p w14:paraId="2CD7604A">
            <w:pPr>
              <w:widowControl/>
              <w:jc w:val="center"/>
              <w:rPr>
                <w:rFonts w:ascii="宋体" w:hAnsi="宋体" w:cs="宋体"/>
                <w:color w:val="000000"/>
                <w:kern w:val="0"/>
                <w:sz w:val="18"/>
                <w:szCs w:val="18"/>
              </w:rPr>
            </w:pPr>
            <w:r>
              <w:rPr>
                <w:rFonts w:hint="eastAsia" w:ascii="宋体" w:hAnsi="宋体" w:cs="宋体"/>
                <w:color w:val="000000"/>
                <w:kern w:val="0"/>
                <w:sz w:val="18"/>
                <w:szCs w:val="18"/>
              </w:rPr>
              <w:t>自评公开</w:t>
            </w:r>
          </w:p>
        </w:tc>
        <w:tc>
          <w:tcPr>
            <w:tcW w:w="534" w:type="dxa"/>
            <w:tcBorders>
              <w:top w:val="nil"/>
              <w:left w:val="nil"/>
              <w:bottom w:val="single" w:color="auto" w:sz="4" w:space="0"/>
              <w:right w:val="single" w:color="auto" w:sz="4" w:space="0"/>
            </w:tcBorders>
            <w:shd w:val="clear" w:color="000000" w:fill="FFFFFF"/>
            <w:vAlign w:val="center"/>
          </w:tcPr>
          <w:p w14:paraId="7BBCE3C7">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961" w:type="dxa"/>
            <w:tcBorders>
              <w:top w:val="nil"/>
              <w:left w:val="nil"/>
              <w:bottom w:val="single" w:color="auto" w:sz="4" w:space="0"/>
              <w:right w:val="single" w:color="auto" w:sz="4" w:space="0"/>
            </w:tcBorders>
            <w:shd w:val="clear" w:color="000000" w:fill="FFFFFF"/>
            <w:vAlign w:val="center"/>
          </w:tcPr>
          <w:p w14:paraId="190C70E7">
            <w:pPr>
              <w:widowControl/>
              <w:jc w:val="left"/>
              <w:rPr>
                <w:rFonts w:ascii="宋体" w:hAnsi="宋体" w:cs="宋体"/>
                <w:color w:val="000000"/>
                <w:kern w:val="0"/>
                <w:sz w:val="18"/>
                <w:szCs w:val="18"/>
              </w:rPr>
            </w:pPr>
            <w:r>
              <w:rPr>
                <w:rFonts w:hint="eastAsia" w:ascii="宋体" w:hAnsi="宋体" w:cs="宋体"/>
                <w:color w:val="000000"/>
                <w:kern w:val="0"/>
                <w:sz w:val="18"/>
                <w:szCs w:val="18"/>
              </w:rPr>
              <w:t>评价部门是否按要求将部门整体绩效自评情况和自行组织的评价情况向社会公开。</w:t>
            </w:r>
          </w:p>
        </w:tc>
        <w:tc>
          <w:tcPr>
            <w:tcW w:w="3087" w:type="dxa"/>
            <w:tcBorders>
              <w:top w:val="nil"/>
              <w:left w:val="nil"/>
              <w:bottom w:val="single" w:color="auto" w:sz="4" w:space="0"/>
              <w:right w:val="single" w:color="auto" w:sz="4" w:space="0"/>
            </w:tcBorders>
            <w:shd w:val="clear" w:color="000000" w:fill="FFFFFF"/>
            <w:vAlign w:val="center"/>
          </w:tcPr>
          <w:p w14:paraId="35F806EF">
            <w:pPr>
              <w:widowControl/>
              <w:jc w:val="left"/>
              <w:rPr>
                <w:rFonts w:ascii="宋体" w:hAnsi="宋体" w:cs="宋体"/>
                <w:color w:val="000000"/>
                <w:kern w:val="0"/>
                <w:sz w:val="18"/>
                <w:szCs w:val="18"/>
              </w:rPr>
            </w:pPr>
            <w:r>
              <w:rPr>
                <w:rFonts w:hint="eastAsia" w:ascii="宋体" w:hAnsi="宋体" w:cs="宋体"/>
                <w:color w:val="000000"/>
                <w:kern w:val="0"/>
                <w:sz w:val="18"/>
                <w:szCs w:val="18"/>
              </w:rPr>
              <w:t>按要求随同决算公开的，得4分。未公开的不得分。</w:t>
            </w:r>
          </w:p>
        </w:tc>
        <w:tc>
          <w:tcPr>
            <w:tcW w:w="536" w:type="dxa"/>
            <w:tcBorders>
              <w:top w:val="nil"/>
              <w:left w:val="nil"/>
              <w:bottom w:val="single" w:color="auto" w:sz="4" w:space="0"/>
              <w:right w:val="single" w:color="auto" w:sz="4" w:space="0"/>
            </w:tcBorders>
            <w:shd w:val="clear" w:color="000000" w:fill="FFFFFF"/>
            <w:vAlign w:val="bottom"/>
          </w:tcPr>
          <w:p w14:paraId="5D045F71">
            <w:pPr>
              <w:widowControl/>
              <w:jc w:val="right"/>
              <w:rPr>
                <w:rFonts w:ascii="宋体" w:hAnsi="宋体" w:cs="宋体"/>
                <w:color w:val="000000"/>
                <w:kern w:val="0"/>
                <w:sz w:val="18"/>
                <w:szCs w:val="18"/>
              </w:rPr>
            </w:pPr>
            <w:r>
              <w:rPr>
                <w:rFonts w:hint="eastAsia" w:ascii="宋体" w:hAnsi="宋体" w:cs="宋体"/>
                <w:color w:val="000000"/>
                <w:kern w:val="0"/>
                <w:sz w:val="18"/>
                <w:szCs w:val="18"/>
              </w:rPr>
              <w:t>4</w:t>
            </w:r>
          </w:p>
        </w:tc>
        <w:tc>
          <w:tcPr>
            <w:tcW w:w="1492" w:type="dxa"/>
            <w:tcBorders>
              <w:top w:val="nil"/>
              <w:left w:val="nil"/>
              <w:bottom w:val="single" w:color="auto" w:sz="4" w:space="0"/>
              <w:right w:val="single" w:color="auto" w:sz="4" w:space="0"/>
            </w:tcBorders>
            <w:shd w:val="clear" w:color="000000" w:fill="FFFFFF"/>
            <w:vAlign w:val="center"/>
          </w:tcPr>
          <w:p w14:paraId="5886EE08">
            <w:pPr>
              <w:widowControl/>
              <w:jc w:val="left"/>
              <w:rPr>
                <w:rFonts w:ascii="宋体" w:hAnsi="宋体" w:cs="宋体"/>
                <w:color w:val="000000"/>
                <w:kern w:val="0"/>
                <w:sz w:val="18"/>
                <w:szCs w:val="18"/>
              </w:rPr>
            </w:pPr>
            <w:r>
              <w:rPr>
                <w:rFonts w:hint="eastAsia" w:ascii="宋体" w:hAnsi="宋体" w:cs="宋体"/>
                <w:color w:val="000000"/>
                <w:kern w:val="0"/>
                <w:sz w:val="18"/>
                <w:szCs w:val="18"/>
              </w:rPr>
              <w:t>1.得分计算过程及得分说明；</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2.佐证材料:绩效评价报告公开情况。</w:t>
            </w:r>
          </w:p>
        </w:tc>
        <w:tc>
          <w:tcPr>
            <w:tcW w:w="236" w:type="dxa"/>
            <w:tcBorders>
              <w:top w:val="nil"/>
              <w:left w:val="nil"/>
              <w:bottom w:val="nil"/>
              <w:right w:val="nil"/>
            </w:tcBorders>
            <w:shd w:val="clear" w:color="000000" w:fill="FFFFFF"/>
            <w:noWrap/>
            <w:vAlign w:val="bottom"/>
          </w:tcPr>
          <w:p w14:paraId="355B51DD">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14:paraId="02B15AE4">
        <w:tblPrEx>
          <w:tblCellMar>
            <w:top w:w="0" w:type="dxa"/>
            <w:left w:w="108" w:type="dxa"/>
            <w:bottom w:w="0" w:type="dxa"/>
            <w:right w:w="108" w:type="dxa"/>
          </w:tblCellMar>
        </w:tblPrEx>
        <w:trPr>
          <w:trHeight w:val="1830" w:hRule="atLeast"/>
        </w:trPr>
        <w:tc>
          <w:tcPr>
            <w:tcW w:w="576" w:type="dxa"/>
            <w:vMerge w:val="continue"/>
            <w:tcBorders>
              <w:top w:val="nil"/>
              <w:left w:val="single" w:color="auto" w:sz="4" w:space="0"/>
              <w:bottom w:val="single" w:color="000000" w:sz="4" w:space="0"/>
              <w:right w:val="single" w:color="auto" w:sz="4" w:space="0"/>
            </w:tcBorders>
            <w:vAlign w:val="center"/>
          </w:tcPr>
          <w:p w14:paraId="27AD0B30">
            <w:pPr>
              <w:widowControl/>
              <w:jc w:val="left"/>
              <w:rPr>
                <w:rFonts w:ascii="宋体" w:hAnsi="宋体" w:cs="宋体"/>
                <w:color w:val="000000"/>
                <w:kern w:val="0"/>
                <w:sz w:val="18"/>
                <w:szCs w:val="18"/>
              </w:rPr>
            </w:pPr>
          </w:p>
        </w:tc>
        <w:tc>
          <w:tcPr>
            <w:tcW w:w="576" w:type="dxa"/>
            <w:tcBorders>
              <w:top w:val="nil"/>
              <w:left w:val="nil"/>
              <w:bottom w:val="single" w:color="auto" w:sz="4" w:space="0"/>
              <w:right w:val="single" w:color="auto" w:sz="4" w:space="0"/>
            </w:tcBorders>
            <w:shd w:val="clear" w:color="000000" w:fill="FFFFFF"/>
            <w:vAlign w:val="center"/>
          </w:tcPr>
          <w:p w14:paraId="1748776F">
            <w:pPr>
              <w:widowControl/>
              <w:jc w:val="center"/>
              <w:rPr>
                <w:rFonts w:ascii="宋体" w:hAnsi="宋体" w:cs="宋体"/>
                <w:color w:val="000000"/>
                <w:kern w:val="0"/>
                <w:sz w:val="18"/>
                <w:szCs w:val="18"/>
              </w:rPr>
            </w:pPr>
            <w:r>
              <w:rPr>
                <w:rFonts w:hint="eastAsia" w:ascii="宋体" w:hAnsi="宋体" w:cs="宋体"/>
                <w:color w:val="000000"/>
                <w:kern w:val="0"/>
                <w:sz w:val="18"/>
                <w:szCs w:val="18"/>
              </w:rPr>
              <w:t>自评质量（4分）</w:t>
            </w:r>
          </w:p>
        </w:tc>
        <w:tc>
          <w:tcPr>
            <w:tcW w:w="538" w:type="dxa"/>
            <w:tcBorders>
              <w:top w:val="nil"/>
              <w:left w:val="nil"/>
              <w:bottom w:val="single" w:color="auto" w:sz="4" w:space="0"/>
              <w:right w:val="single" w:color="auto" w:sz="4" w:space="0"/>
            </w:tcBorders>
            <w:shd w:val="clear" w:color="000000" w:fill="FFFFFF"/>
            <w:vAlign w:val="center"/>
          </w:tcPr>
          <w:p w14:paraId="4DE1B3E6">
            <w:pPr>
              <w:widowControl/>
              <w:jc w:val="center"/>
              <w:rPr>
                <w:rFonts w:ascii="宋体" w:hAnsi="宋体" w:cs="宋体"/>
                <w:color w:val="000000"/>
                <w:kern w:val="0"/>
                <w:sz w:val="18"/>
                <w:szCs w:val="18"/>
              </w:rPr>
            </w:pPr>
            <w:r>
              <w:rPr>
                <w:rFonts w:hint="eastAsia" w:ascii="宋体" w:hAnsi="宋体" w:cs="宋体"/>
                <w:color w:val="000000"/>
                <w:kern w:val="0"/>
                <w:sz w:val="18"/>
                <w:szCs w:val="18"/>
              </w:rPr>
              <w:t>自评准确</w:t>
            </w:r>
          </w:p>
        </w:tc>
        <w:tc>
          <w:tcPr>
            <w:tcW w:w="534" w:type="dxa"/>
            <w:tcBorders>
              <w:top w:val="nil"/>
              <w:left w:val="nil"/>
              <w:bottom w:val="single" w:color="auto" w:sz="4" w:space="0"/>
              <w:right w:val="single" w:color="auto" w:sz="4" w:space="0"/>
            </w:tcBorders>
            <w:shd w:val="clear" w:color="000000" w:fill="FFFFFF"/>
            <w:vAlign w:val="center"/>
          </w:tcPr>
          <w:p w14:paraId="45E81852">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961" w:type="dxa"/>
            <w:tcBorders>
              <w:top w:val="nil"/>
              <w:left w:val="nil"/>
              <w:bottom w:val="single" w:color="auto" w:sz="4" w:space="0"/>
              <w:right w:val="single" w:color="auto" w:sz="4" w:space="0"/>
            </w:tcBorders>
            <w:shd w:val="clear" w:color="000000" w:fill="FFFFFF"/>
            <w:vAlign w:val="center"/>
          </w:tcPr>
          <w:p w14:paraId="20A6384A">
            <w:pPr>
              <w:widowControl/>
              <w:jc w:val="left"/>
              <w:rPr>
                <w:rFonts w:ascii="宋体" w:hAnsi="宋体" w:cs="宋体"/>
                <w:color w:val="000000"/>
                <w:kern w:val="0"/>
                <w:sz w:val="18"/>
                <w:szCs w:val="18"/>
              </w:rPr>
            </w:pPr>
            <w:r>
              <w:rPr>
                <w:rFonts w:hint="eastAsia" w:ascii="宋体" w:hAnsi="宋体" w:cs="宋体"/>
                <w:color w:val="000000"/>
                <w:kern w:val="0"/>
                <w:sz w:val="18"/>
                <w:szCs w:val="18"/>
              </w:rPr>
              <w:t>评价部门整体支出自评准确率。</w:t>
            </w:r>
          </w:p>
        </w:tc>
        <w:tc>
          <w:tcPr>
            <w:tcW w:w="3087" w:type="dxa"/>
            <w:tcBorders>
              <w:top w:val="nil"/>
              <w:left w:val="nil"/>
              <w:bottom w:val="single" w:color="auto" w:sz="4" w:space="0"/>
              <w:right w:val="single" w:color="auto" w:sz="4" w:space="0"/>
            </w:tcBorders>
            <w:shd w:val="clear" w:color="000000" w:fill="FFFFFF"/>
            <w:vAlign w:val="center"/>
          </w:tcPr>
          <w:p w14:paraId="294D96FF">
            <w:pPr>
              <w:widowControl/>
              <w:jc w:val="left"/>
              <w:rPr>
                <w:rFonts w:ascii="宋体" w:hAnsi="宋体" w:cs="宋体"/>
                <w:color w:val="000000"/>
                <w:kern w:val="0"/>
                <w:sz w:val="18"/>
                <w:szCs w:val="18"/>
              </w:rPr>
            </w:pPr>
            <w:r>
              <w:rPr>
                <w:rFonts w:hint="eastAsia" w:ascii="宋体" w:hAnsi="宋体" w:cs="宋体"/>
                <w:color w:val="000000"/>
                <w:kern w:val="0"/>
                <w:sz w:val="18"/>
                <w:szCs w:val="18"/>
              </w:rPr>
              <w:t>部门整体支出自评得分与评价组抽查得分差异在5%以内的，不扣分；在5%-10%之间的，扣1分，在10%-20%的，扣2分，在20%以上的，扣4分。</w:t>
            </w:r>
          </w:p>
        </w:tc>
        <w:tc>
          <w:tcPr>
            <w:tcW w:w="536" w:type="dxa"/>
            <w:tcBorders>
              <w:top w:val="nil"/>
              <w:left w:val="nil"/>
              <w:bottom w:val="single" w:color="auto" w:sz="4" w:space="0"/>
              <w:right w:val="single" w:color="auto" w:sz="4" w:space="0"/>
            </w:tcBorders>
            <w:shd w:val="clear" w:color="000000" w:fill="FFFFFF"/>
            <w:vAlign w:val="bottom"/>
          </w:tcPr>
          <w:p w14:paraId="48B27702">
            <w:pPr>
              <w:widowControl/>
              <w:jc w:val="right"/>
              <w:rPr>
                <w:rFonts w:ascii="宋体" w:hAnsi="宋体" w:cs="宋体"/>
                <w:color w:val="000000"/>
                <w:kern w:val="0"/>
                <w:sz w:val="18"/>
                <w:szCs w:val="18"/>
              </w:rPr>
            </w:pPr>
            <w:r>
              <w:rPr>
                <w:rFonts w:hint="eastAsia" w:ascii="宋体" w:hAnsi="宋体" w:cs="宋体"/>
                <w:color w:val="000000"/>
                <w:kern w:val="0"/>
                <w:sz w:val="18"/>
                <w:szCs w:val="18"/>
              </w:rPr>
              <w:t>4</w:t>
            </w:r>
          </w:p>
        </w:tc>
        <w:tc>
          <w:tcPr>
            <w:tcW w:w="1492" w:type="dxa"/>
            <w:tcBorders>
              <w:top w:val="nil"/>
              <w:left w:val="nil"/>
              <w:bottom w:val="single" w:color="auto" w:sz="4" w:space="0"/>
              <w:right w:val="single" w:color="auto" w:sz="4" w:space="0"/>
            </w:tcBorders>
            <w:shd w:val="clear" w:color="000000" w:fill="FFFFFF"/>
            <w:vAlign w:val="center"/>
          </w:tcPr>
          <w:p w14:paraId="378F065D">
            <w:pPr>
              <w:widowControl/>
              <w:jc w:val="left"/>
              <w:rPr>
                <w:rFonts w:ascii="宋体" w:hAnsi="宋体" w:cs="宋体"/>
                <w:color w:val="000000"/>
                <w:kern w:val="0"/>
                <w:sz w:val="18"/>
                <w:szCs w:val="18"/>
              </w:rPr>
            </w:pPr>
            <w:r>
              <w:rPr>
                <w:rFonts w:hint="eastAsia" w:ascii="宋体" w:hAnsi="宋体" w:cs="宋体"/>
                <w:color w:val="000000"/>
                <w:kern w:val="0"/>
                <w:sz w:val="18"/>
                <w:szCs w:val="18"/>
              </w:rPr>
              <w:t>1.得分计算过程及得分说明；</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2.备注：此项为复评得分项，部门自评按照满分计算，财政复评过程中扣除本项分值后比对计算。</w:t>
            </w:r>
          </w:p>
        </w:tc>
        <w:tc>
          <w:tcPr>
            <w:tcW w:w="236" w:type="dxa"/>
            <w:tcBorders>
              <w:top w:val="nil"/>
              <w:left w:val="nil"/>
              <w:bottom w:val="nil"/>
              <w:right w:val="nil"/>
            </w:tcBorders>
            <w:shd w:val="clear" w:color="000000" w:fill="FFFFFF"/>
            <w:noWrap/>
            <w:vAlign w:val="bottom"/>
          </w:tcPr>
          <w:p w14:paraId="44D92E75">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14:paraId="0B938566">
        <w:tblPrEx>
          <w:tblCellMar>
            <w:top w:w="0" w:type="dxa"/>
            <w:left w:w="108" w:type="dxa"/>
            <w:bottom w:w="0" w:type="dxa"/>
            <w:right w:w="108" w:type="dxa"/>
          </w:tblCellMar>
        </w:tblPrEx>
        <w:trPr>
          <w:trHeight w:val="2010" w:hRule="atLeast"/>
        </w:trPr>
        <w:tc>
          <w:tcPr>
            <w:tcW w:w="576" w:type="dxa"/>
            <w:vMerge w:val="continue"/>
            <w:tcBorders>
              <w:top w:val="nil"/>
              <w:left w:val="single" w:color="auto" w:sz="4" w:space="0"/>
              <w:bottom w:val="single" w:color="000000" w:sz="4" w:space="0"/>
              <w:right w:val="single" w:color="auto" w:sz="4" w:space="0"/>
            </w:tcBorders>
            <w:vAlign w:val="center"/>
          </w:tcPr>
          <w:p w14:paraId="513C5384">
            <w:pPr>
              <w:widowControl/>
              <w:jc w:val="left"/>
              <w:rPr>
                <w:rFonts w:ascii="宋体" w:hAnsi="宋体" w:cs="宋体"/>
                <w:color w:val="000000"/>
                <w:kern w:val="0"/>
                <w:sz w:val="18"/>
                <w:szCs w:val="18"/>
              </w:rPr>
            </w:pPr>
          </w:p>
        </w:tc>
        <w:tc>
          <w:tcPr>
            <w:tcW w:w="576" w:type="dxa"/>
            <w:vMerge w:val="restart"/>
            <w:tcBorders>
              <w:top w:val="nil"/>
              <w:left w:val="single" w:color="auto" w:sz="4" w:space="0"/>
              <w:bottom w:val="single" w:color="auto" w:sz="4" w:space="0"/>
              <w:right w:val="single" w:color="auto" w:sz="4" w:space="0"/>
            </w:tcBorders>
            <w:shd w:val="clear" w:color="000000" w:fill="FFFFFF"/>
            <w:vAlign w:val="center"/>
          </w:tcPr>
          <w:p w14:paraId="2CC13C3A">
            <w:pPr>
              <w:widowControl/>
              <w:jc w:val="center"/>
              <w:rPr>
                <w:rFonts w:ascii="宋体" w:hAnsi="宋体" w:cs="宋体"/>
                <w:color w:val="000000"/>
                <w:kern w:val="0"/>
                <w:sz w:val="18"/>
                <w:szCs w:val="18"/>
              </w:rPr>
            </w:pPr>
            <w:r>
              <w:rPr>
                <w:rFonts w:hint="eastAsia" w:ascii="宋体" w:hAnsi="宋体" w:cs="宋体"/>
                <w:color w:val="000000"/>
                <w:kern w:val="0"/>
                <w:sz w:val="18"/>
                <w:szCs w:val="18"/>
              </w:rPr>
              <w:t>整改反馈（8分）</w:t>
            </w:r>
          </w:p>
        </w:tc>
        <w:tc>
          <w:tcPr>
            <w:tcW w:w="538" w:type="dxa"/>
            <w:tcBorders>
              <w:top w:val="nil"/>
              <w:left w:val="nil"/>
              <w:bottom w:val="single" w:color="auto" w:sz="4" w:space="0"/>
              <w:right w:val="single" w:color="auto" w:sz="4" w:space="0"/>
            </w:tcBorders>
            <w:shd w:val="clear" w:color="000000" w:fill="FFFFFF"/>
            <w:vAlign w:val="center"/>
          </w:tcPr>
          <w:p w14:paraId="2B0BAB05">
            <w:pPr>
              <w:widowControl/>
              <w:jc w:val="center"/>
              <w:rPr>
                <w:rFonts w:ascii="宋体" w:hAnsi="宋体" w:cs="宋体"/>
                <w:color w:val="000000"/>
                <w:kern w:val="0"/>
                <w:sz w:val="18"/>
                <w:szCs w:val="18"/>
              </w:rPr>
            </w:pPr>
            <w:r>
              <w:rPr>
                <w:rFonts w:hint="eastAsia" w:ascii="宋体" w:hAnsi="宋体" w:cs="宋体"/>
                <w:color w:val="000000"/>
                <w:kern w:val="0"/>
                <w:sz w:val="18"/>
                <w:szCs w:val="18"/>
              </w:rPr>
              <w:t>结果整改</w:t>
            </w:r>
          </w:p>
        </w:tc>
        <w:tc>
          <w:tcPr>
            <w:tcW w:w="534" w:type="dxa"/>
            <w:tcBorders>
              <w:top w:val="nil"/>
              <w:left w:val="nil"/>
              <w:bottom w:val="single" w:color="auto" w:sz="4" w:space="0"/>
              <w:right w:val="single" w:color="auto" w:sz="4" w:space="0"/>
            </w:tcBorders>
            <w:shd w:val="clear" w:color="000000" w:fill="FFFFFF"/>
            <w:vAlign w:val="center"/>
          </w:tcPr>
          <w:p w14:paraId="5D14782D">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961" w:type="dxa"/>
            <w:tcBorders>
              <w:top w:val="nil"/>
              <w:left w:val="nil"/>
              <w:bottom w:val="single" w:color="auto" w:sz="4" w:space="0"/>
              <w:right w:val="single" w:color="auto" w:sz="4" w:space="0"/>
            </w:tcBorders>
            <w:shd w:val="clear" w:color="000000" w:fill="FFFFFF"/>
            <w:vAlign w:val="center"/>
          </w:tcPr>
          <w:p w14:paraId="2BA59C8C">
            <w:pPr>
              <w:widowControl/>
              <w:jc w:val="left"/>
              <w:rPr>
                <w:rFonts w:ascii="宋体" w:hAnsi="宋体" w:cs="宋体"/>
                <w:color w:val="000000"/>
                <w:kern w:val="0"/>
                <w:sz w:val="18"/>
                <w:szCs w:val="18"/>
              </w:rPr>
            </w:pPr>
            <w:r>
              <w:rPr>
                <w:rFonts w:hint="eastAsia" w:ascii="宋体" w:hAnsi="宋体" w:cs="宋体"/>
                <w:color w:val="000000"/>
                <w:kern w:val="0"/>
                <w:sz w:val="18"/>
                <w:szCs w:val="18"/>
              </w:rPr>
              <w:t>评价部门根据绩效管理结果整改问题、完善政策、改进管理的情况。</w:t>
            </w:r>
          </w:p>
        </w:tc>
        <w:tc>
          <w:tcPr>
            <w:tcW w:w="3087" w:type="dxa"/>
            <w:tcBorders>
              <w:top w:val="nil"/>
              <w:left w:val="nil"/>
              <w:bottom w:val="single" w:color="auto" w:sz="4" w:space="0"/>
              <w:right w:val="single" w:color="auto" w:sz="4" w:space="0"/>
            </w:tcBorders>
            <w:shd w:val="clear" w:color="000000" w:fill="FFFFFF"/>
            <w:vAlign w:val="center"/>
          </w:tcPr>
          <w:p w14:paraId="1328B517">
            <w:pPr>
              <w:widowControl/>
              <w:jc w:val="left"/>
              <w:rPr>
                <w:rFonts w:ascii="宋体" w:hAnsi="宋体" w:cs="宋体"/>
                <w:color w:val="000000"/>
                <w:kern w:val="0"/>
                <w:sz w:val="18"/>
                <w:szCs w:val="18"/>
              </w:rPr>
            </w:pPr>
            <w:r>
              <w:rPr>
                <w:rFonts w:hint="eastAsia" w:ascii="宋体" w:hAnsi="宋体" w:cs="宋体"/>
                <w:color w:val="000000"/>
                <w:kern w:val="0"/>
                <w:sz w:val="18"/>
                <w:szCs w:val="18"/>
              </w:rPr>
              <w:t>针对绩效管理过程中（包括绩效目标核查、绩效监控核查和重点绩效评价）提出的问题，发现一处未整改的，扣0.5分，直至扣完。</w:t>
            </w:r>
          </w:p>
        </w:tc>
        <w:tc>
          <w:tcPr>
            <w:tcW w:w="536" w:type="dxa"/>
            <w:tcBorders>
              <w:top w:val="nil"/>
              <w:left w:val="nil"/>
              <w:bottom w:val="single" w:color="auto" w:sz="4" w:space="0"/>
              <w:right w:val="single" w:color="auto" w:sz="4" w:space="0"/>
            </w:tcBorders>
            <w:shd w:val="clear" w:color="000000" w:fill="FFFFFF"/>
            <w:vAlign w:val="bottom"/>
          </w:tcPr>
          <w:p w14:paraId="5BD2B774">
            <w:pPr>
              <w:widowControl/>
              <w:jc w:val="right"/>
              <w:rPr>
                <w:rFonts w:ascii="宋体" w:hAnsi="宋体" w:cs="宋体"/>
                <w:color w:val="000000"/>
                <w:kern w:val="0"/>
                <w:sz w:val="18"/>
                <w:szCs w:val="18"/>
              </w:rPr>
            </w:pPr>
            <w:r>
              <w:rPr>
                <w:rFonts w:hint="eastAsia" w:ascii="宋体" w:hAnsi="宋体" w:cs="宋体"/>
                <w:color w:val="000000"/>
                <w:kern w:val="0"/>
                <w:sz w:val="18"/>
                <w:szCs w:val="18"/>
              </w:rPr>
              <w:t>4</w:t>
            </w:r>
          </w:p>
        </w:tc>
        <w:tc>
          <w:tcPr>
            <w:tcW w:w="1492" w:type="dxa"/>
            <w:tcBorders>
              <w:top w:val="nil"/>
              <w:left w:val="nil"/>
              <w:bottom w:val="single" w:color="auto" w:sz="4" w:space="0"/>
              <w:right w:val="single" w:color="auto" w:sz="4" w:space="0"/>
            </w:tcBorders>
            <w:shd w:val="clear" w:color="000000" w:fill="FFFFFF"/>
            <w:vAlign w:val="center"/>
          </w:tcPr>
          <w:p w14:paraId="51726B84">
            <w:pPr>
              <w:widowControl/>
              <w:jc w:val="left"/>
              <w:rPr>
                <w:rFonts w:ascii="宋体" w:hAnsi="宋体" w:cs="宋体"/>
                <w:color w:val="000000"/>
                <w:kern w:val="0"/>
                <w:sz w:val="18"/>
                <w:szCs w:val="18"/>
              </w:rPr>
            </w:pPr>
            <w:r>
              <w:rPr>
                <w:rFonts w:hint="eastAsia" w:ascii="宋体" w:hAnsi="宋体" w:cs="宋体"/>
                <w:color w:val="000000"/>
                <w:kern w:val="0"/>
                <w:sz w:val="18"/>
                <w:szCs w:val="18"/>
              </w:rPr>
              <w:t>1.得分计算过程及得分说明；</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2.佐证材料：整改报告、完善政策、管理制度等资料等。</w:t>
            </w:r>
          </w:p>
        </w:tc>
        <w:tc>
          <w:tcPr>
            <w:tcW w:w="236" w:type="dxa"/>
            <w:tcBorders>
              <w:top w:val="nil"/>
              <w:left w:val="nil"/>
              <w:bottom w:val="nil"/>
              <w:right w:val="nil"/>
            </w:tcBorders>
            <w:shd w:val="clear" w:color="000000" w:fill="FFFFFF"/>
            <w:noWrap/>
            <w:vAlign w:val="bottom"/>
          </w:tcPr>
          <w:p w14:paraId="49635C49">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14:paraId="28A52EA9">
        <w:tblPrEx>
          <w:tblCellMar>
            <w:top w:w="0" w:type="dxa"/>
            <w:left w:w="108" w:type="dxa"/>
            <w:bottom w:w="0" w:type="dxa"/>
            <w:right w:w="108" w:type="dxa"/>
          </w:tblCellMar>
        </w:tblPrEx>
        <w:trPr>
          <w:trHeight w:val="2145" w:hRule="atLeast"/>
        </w:trPr>
        <w:tc>
          <w:tcPr>
            <w:tcW w:w="576" w:type="dxa"/>
            <w:vMerge w:val="continue"/>
            <w:tcBorders>
              <w:top w:val="nil"/>
              <w:left w:val="single" w:color="auto" w:sz="4" w:space="0"/>
              <w:bottom w:val="single" w:color="000000" w:sz="4" w:space="0"/>
              <w:right w:val="single" w:color="auto" w:sz="4" w:space="0"/>
            </w:tcBorders>
            <w:vAlign w:val="center"/>
          </w:tcPr>
          <w:p w14:paraId="73CB758D">
            <w:pPr>
              <w:widowControl/>
              <w:jc w:val="left"/>
              <w:rPr>
                <w:rFonts w:ascii="宋体" w:hAnsi="宋体" w:cs="宋体"/>
                <w:color w:val="000000"/>
                <w:kern w:val="0"/>
                <w:sz w:val="18"/>
                <w:szCs w:val="18"/>
              </w:rPr>
            </w:pPr>
          </w:p>
        </w:tc>
        <w:tc>
          <w:tcPr>
            <w:tcW w:w="576" w:type="dxa"/>
            <w:vMerge w:val="continue"/>
            <w:tcBorders>
              <w:top w:val="nil"/>
              <w:left w:val="single" w:color="auto" w:sz="4" w:space="0"/>
              <w:bottom w:val="single" w:color="auto" w:sz="4" w:space="0"/>
              <w:right w:val="single" w:color="auto" w:sz="4" w:space="0"/>
            </w:tcBorders>
            <w:vAlign w:val="center"/>
          </w:tcPr>
          <w:p w14:paraId="484A6E45">
            <w:pPr>
              <w:widowControl/>
              <w:jc w:val="left"/>
              <w:rPr>
                <w:rFonts w:ascii="宋体" w:hAnsi="宋体" w:cs="宋体"/>
                <w:color w:val="000000"/>
                <w:kern w:val="0"/>
                <w:sz w:val="18"/>
                <w:szCs w:val="18"/>
              </w:rPr>
            </w:pPr>
          </w:p>
        </w:tc>
        <w:tc>
          <w:tcPr>
            <w:tcW w:w="538" w:type="dxa"/>
            <w:tcBorders>
              <w:top w:val="nil"/>
              <w:left w:val="nil"/>
              <w:bottom w:val="single" w:color="auto" w:sz="4" w:space="0"/>
              <w:right w:val="single" w:color="auto" w:sz="4" w:space="0"/>
            </w:tcBorders>
            <w:shd w:val="clear" w:color="000000" w:fill="FFFFFF"/>
            <w:vAlign w:val="center"/>
          </w:tcPr>
          <w:p w14:paraId="3BA41234">
            <w:pPr>
              <w:widowControl/>
              <w:jc w:val="center"/>
              <w:rPr>
                <w:rFonts w:ascii="宋体" w:hAnsi="宋体" w:cs="宋体"/>
                <w:color w:val="000000"/>
                <w:kern w:val="0"/>
                <w:sz w:val="18"/>
                <w:szCs w:val="18"/>
              </w:rPr>
            </w:pPr>
            <w:r>
              <w:rPr>
                <w:rFonts w:hint="eastAsia" w:ascii="宋体" w:hAnsi="宋体" w:cs="宋体"/>
                <w:color w:val="000000"/>
                <w:kern w:val="0"/>
                <w:sz w:val="18"/>
                <w:szCs w:val="18"/>
              </w:rPr>
              <w:t>应用反馈</w:t>
            </w:r>
          </w:p>
        </w:tc>
        <w:tc>
          <w:tcPr>
            <w:tcW w:w="534" w:type="dxa"/>
            <w:tcBorders>
              <w:top w:val="nil"/>
              <w:left w:val="nil"/>
              <w:bottom w:val="single" w:color="auto" w:sz="4" w:space="0"/>
              <w:right w:val="single" w:color="auto" w:sz="4" w:space="0"/>
            </w:tcBorders>
            <w:shd w:val="clear" w:color="000000" w:fill="FFFFFF"/>
            <w:vAlign w:val="center"/>
          </w:tcPr>
          <w:p w14:paraId="0A623A74">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961" w:type="dxa"/>
            <w:tcBorders>
              <w:top w:val="nil"/>
              <w:left w:val="nil"/>
              <w:bottom w:val="single" w:color="auto" w:sz="4" w:space="0"/>
              <w:right w:val="single" w:color="auto" w:sz="4" w:space="0"/>
            </w:tcBorders>
            <w:shd w:val="clear" w:color="000000" w:fill="FFFFFF"/>
            <w:vAlign w:val="center"/>
          </w:tcPr>
          <w:p w14:paraId="51A3AEF9">
            <w:pPr>
              <w:widowControl/>
              <w:jc w:val="left"/>
              <w:rPr>
                <w:rFonts w:ascii="宋体" w:hAnsi="宋体" w:cs="宋体"/>
                <w:color w:val="000000"/>
                <w:kern w:val="0"/>
                <w:sz w:val="18"/>
                <w:szCs w:val="18"/>
              </w:rPr>
            </w:pPr>
            <w:r>
              <w:rPr>
                <w:rFonts w:hint="eastAsia" w:ascii="宋体" w:hAnsi="宋体" w:cs="宋体"/>
                <w:color w:val="000000"/>
                <w:kern w:val="0"/>
                <w:sz w:val="18"/>
                <w:szCs w:val="18"/>
              </w:rPr>
              <w:t>评价部门按要求及时向财政部门反馈结果应用情况。</w:t>
            </w:r>
          </w:p>
        </w:tc>
        <w:tc>
          <w:tcPr>
            <w:tcW w:w="3087" w:type="dxa"/>
            <w:tcBorders>
              <w:top w:val="nil"/>
              <w:left w:val="nil"/>
              <w:bottom w:val="single" w:color="auto" w:sz="4" w:space="0"/>
              <w:right w:val="single" w:color="auto" w:sz="4" w:space="0"/>
            </w:tcBorders>
            <w:shd w:val="clear" w:color="000000" w:fill="FFFFFF"/>
            <w:vAlign w:val="center"/>
          </w:tcPr>
          <w:p w14:paraId="739ABE8C">
            <w:pPr>
              <w:widowControl/>
              <w:jc w:val="left"/>
              <w:rPr>
                <w:rFonts w:ascii="宋体" w:hAnsi="宋体" w:cs="宋体"/>
                <w:color w:val="000000"/>
                <w:kern w:val="0"/>
                <w:sz w:val="18"/>
                <w:szCs w:val="18"/>
              </w:rPr>
            </w:pPr>
            <w:r>
              <w:rPr>
                <w:rFonts w:hint="eastAsia" w:ascii="宋体" w:hAnsi="宋体" w:cs="宋体"/>
                <w:color w:val="000000"/>
                <w:kern w:val="0"/>
                <w:sz w:val="18"/>
                <w:szCs w:val="18"/>
              </w:rPr>
              <w:t>部门在规定时间内向财政部门反馈应用绩效结果报告的，得满分，否则不得分。</w:t>
            </w:r>
          </w:p>
        </w:tc>
        <w:tc>
          <w:tcPr>
            <w:tcW w:w="536" w:type="dxa"/>
            <w:tcBorders>
              <w:top w:val="nil"/>
              <w:left w:val="nil"/>
              <w:bottom w:val="single" w:color="auto" w:sz="4" w:space="0"/>
              <w:right w:val="single" w:color="auto" w:sz="4" w:space="0"/>
            </w:tcBorders>
            <w:shd w:val="clear" w:color="000000" w:fill="FFFFFF"/>
            <w:vAlign w:val="bottom"/>
          </w:tcPr>
          <w:p w14:paraId="33E7344A">
            <w:pPr>
              <w:widowControl/>
              <w:jc w:val="right"/>
              <w:rPr>
                <w:rFonts w:ascii="宋体" w:hAnsi="宋体" w:cs="宋体"/>
                <w:color w:val="000000"/>
                <w:kern w:val="0"/>
                <w:sz w:val="18"/>
                <w:szCs w:val="18"/>
              </w:rPr>
            </w:pPr>
            <w:r>
              <w:rPr>
                <w:rFonts w:hint="eastAsia" w:ascii="宋体" w:hAnsi="宋体" w:cs="宋体"/>
                <w:color w:val="000000"/>
                <w:kern w:val="0"/>
                <w:sz w:val="18"/>
                <w:szCs w:val="18"/>
              </w:rPr>
              <w:t>4</w:t>
            </w:r>
          </w:p>
        </w:tc>
        <w:tc>
          <w:tcPr>
            <w:tcW w:w="1492" w:type="dxa"/>
            <w:tcBorders>
              <w:top w:val="nil"/>
              <w:left w:val="nil"/>
              <w:bottom w:val="single" w:color="auto" w:sz="4" w:space="0"/>
              <w:right w:val="single" w:color="auto" w:sz="4" w:space="0"/>
            </w:tcBorders>
            <w:shd w:val="clear" w:color="000000" w:fill="FFFFFF"/>
            <w:vAlign w:val="center"/>
          </w:tcPr>
          <w:p w14:paraId="4EB8F8EE">
            <w:pPr>
              <w:widowControl/>
              <w:jc w:val="left"/>
              <w:rPr>
                <w:rFonts w:ascii="宋体" w:hAnsi="宋体" w:cs="宋体"/>
                <w:color w:val="000000"/>
                <w:kern w:val="0"/>
                <w:sz w:val="18"/>
                <w:szCs w:val="18"/>
              </w:rPr>
            </w:pPr>
            <w:r>
              <w:rPr>
                <w:rFonts w:hint="eastAsia" w:ascii="宋体" w:hAnsi="宋体" w:cs="宋体"/>
                <w:color w:val="000000"/>
                <w:kern w:val="0"/>
                <w:sz w:val="18"/>
                <w:szCs w:val="18"/>
              </w:rPr>
              <w:t>1.得分计算过程及得分说明；</w:t>
            </w:r>
            <w:r>
              <w:rPr>
                <w:rFonts w:hint="eastAsia" w:ascii="宋体" w:hAnsi="宋体" w:cs="宋体"/>
                <w:color w:val="000000"/>
                <w:kern w:val="0"/>
                <w:sz w:val="18"/>
                <w:szCs w:val="18"/>
              </w:rPr>
              <w:br w:type="page"/>
            </w:r>
            <w:r>
              <w:rPr>
                <w:rFonts w:hint="eastAsia" w:ascii="宋体" w:hAnsi="宋体" w:cs="宋体"/>
                <w:color w:val="000000"/>
                <w:kern w:val="0"/>
                <w:sz w:val="18"/>
                <w:szCs w:val="18"/>
              </w:rPr>
              <w:t>2.佐证材料：应用绩效结果报告等。</w:t>
            </w:r>
          </w:p>
        </w:tc>
        <w:tc>
          <w:tcPr>
            <w:tcW w:w="236" w:type="dxa"/>
            <w:tcBorders>
              <w:top w:val="nil"/>
              <w:left w:val="nil"/>
              <w:bottom w:val="nil"/>
              <w:right w:val="nil"/>
            </w:tcBorders>
            <w:shd w:val="clear" w:color="000000" w:fill="FFFFFF"/>
            <w:noWrap/>
            <w:vAlign w:val="bottom"/>
          </w:tcPr>
          <w:p w14:paraId="6EA5CF8C">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bl>
    <w:p w14:paraId="7ADF81C8">
      <w:pPr>
        <w:pStyle w:val="17"/>
        <w:spacing w:line="560" w:lineRule="exact"/>
        <w:rPr>
          <w:rFonts w:ascii="仿宋_GB2312" w:eastAsia="仿宋_GB2312"/>
          <w:sz w:val="32"/>
          <w:szCs w:val="32"/>
        </w:rPr>
      </w:pPr>
    </w:p>
    <w:p w14:paraId="7EC1AE5A">
      <w:pPr>
        <w:pStyle w:val="17"/>
        <w:spacing w:line="560" w:lineRule="exact"/>
        <w:rPr>
          <w:rFonts w:ascii="仿宋_GB2312" w:eastAsia="仿宋_GB2312"/>
          <w:sz w:val="32"/>
          <w:szCs w:val="32"/>
        </w:rPr>
      </w:pPr>
    </w:p>
    <w:tbl>
      <w:tblPr>
        <w:tblStyle w:val="13"/>
        <w:tblW w:w="10674" w:type="dxa"/>
        <w:jc w:val="center"/>
        <w:tblLayout w:type="fixed"/>
        <w:tblCellMar>
          <w:top w:w="0" w:type="dxa"/>
          <w:left w:w="15" w:type="dxa"/>
          <w:bottom w:w="0" w:type="dxa"/>
          <w:right w:w="15" w:type="dxa"/>
        </w:tblCellMar>
      </w:tblPr>
      <w:tblGrid>
        <w:gridCol w:w="540"/>
        <w:gridCol w:w="1245"/>
        <w:gridCol w:w="1590"/>
        <w:gridCol w:w="3065"/>
        <w:gridCol w:w="3174"/>
        <w:gridCol w:w="1060"/>
      </w:tblGrid>
      <w:tr w14:paraId="4751BFA4">
        <w:tblPrEx>
          <w:tblCellMar>
            <w:top w:w="0" w:type="dxa"/>
            <w:left w:w="15" w:type="dxa"/>
            <w:bottom w:w="0" w:type="dxa"/>
            <w:right w:w="15" w:type="dxa"/>
          </w:tblCellMar>
        </w:tblPrEx>
        <w:trPr>
          <w:trHeight w:val="360" w:hRule="atLeast"/>
          <w:jc w:val="center"/>
        </w:trPr>
        <w:tc>
          <w:tcPr>
            <w:tcW w:w="540" w:type="dxa"/>
            <w:vAlign w:val="center"/>
          </w:tcPr>
          <w:p w14:paraId="6AA0441E">
            <w:pPr>
              <w:autoSpaceDN w:val="0"/>
              <w:jc w:val="left"/>
              <w:textAlignment w:val="center"/>
              <w:rPr>
                <w:rFonts w:ascii="黑体" w:hAnsi="黑体" w:eastAsia="黑体"/>
                <w:color w:val="000000"/>
                <w:sz w:val="24"/>
              </w:rPr>
            </w:pPr>
          </w:p>
        </w:tc>
        <w:tc>
          <w:tcPr>
            <w:tcW w:w="1245" w:type="dxa"/>
            <w:vAlign w:val="center"/>
          </w:tcPr>
          <w:p w14:paraId="74719EBF">
            <w:pPr>
              <w:autoSpaceDN w:val="0"/>
              <w:jc w:val="center"/>
              <w:textAlignment w:val="center"/>
              <w:rPr>
                <w:rFonts w:ascii="宋体" w:hAnsi="宋体"/>
                <w:color w:val="000000"/>
                <w:sz w:val="18"/>
              </w:rPr>
            </w:pPr>
          </w:p>
        </w:tc>
        <w:tc>
          <w:tcPr>
            <w:tcW w:w="1590" w:type="dxa"/>
            <w:vAlign w:val="center"/>
          </w:tcPr>
          <w:p w14:paraId="74DAA5E5">
            <w:pPr>
              <w:autoSpaceDN w:val="0"/>
              <w:jc w:val="left"/>
              <w:textAlignment w:val="center"/>
              <w:rPr>
                <w:rFonts w:ascii="宋体" w:hAnsi="宋体"/>
                <w:color w:val="000000"/>
                <w:sz w:val="18"/>
              </w:rPr>
            </w:pPr>
          </w:p>
        </w:tc>
        <w:tc>
          <w:tcPr>
            <w:tcW w:w="3065" w:type="dxa"/>
            <w:vAlign w:val="center"/>
          </w:tcPr>
          <w:p w14:paraId="4E472FE0">
            <w:pPr>
              <w:autoSpaceDN w:val="0"/>
              <w:jc w:val="left"/>
              <w:textAlignment w:val="center"/>
              <w:rPr>
                <w:rFonts w:ascii="宋体" w:hAnsi="宋体"/>
                <w:color w:val="000000"/>
                <w:sz w:val="18"/>
              </w:rPr>
            </w:pPr>
          </w:p>
        </w:tc>
        <w:tc>
          <w:tcPr>
            <w:tcW w:w="3174" w:type="dxa"/>
            <w:vAlign w:val="center"/>
          </w:tcPr>
          <w:p w14:paraId="4792B69B">
            <w:pPr>
              <w:autoSpaceDN w:val="0"/>
              <w:jc w:val="left"/>
              <w:textAlignment w:val="center"/>
              <w:rPr>
                <w:rFonts w:ascii="宋体" w:hAnsi="宋体"/>
                <w:color w:val="000000"/>
                <w:sz w:val="18"/>
              </w:rPr>
            </w:pPr>
          </w:p>
        </w:tc>
        <w:tc>
          <w:tcPr>
            <w:tcW w:w="1060" w:type="dxa"/>
            <w:vAlign w:val="center"/>
          </w:tcPr>
          <w:p w14:paraId="3ADED21A">
            <w:pPr>
              <w:autoSpaceDN w:val="0"/>
              <w:jc w:val="left"/>
              <w:textAlignment w:val="center"/>
              <w:rPr>
                <w:rFonts w:ascii="宋体" w:hAnsi="宋体"/>
                <w:color w:val="000000"/>
                <w:sz w:val="24"/>
              </w:rPr>
            </w:pPr>
          </w:p>
        </w:tc>
      </w:tr>
    </w:tbl>
    <w:p w14:paraId="113F849B">
      <w:pPr>
        <w:pStyle w:val="17"/>
        <w:spacing w:line="560" w:lineRule="exact"/>
        <w:jc w:val="center"/>
        <w:rPr>
          <w:rFonts w:ascii="黑体" w:hAnsi="黑体" w:eastAsia="黑体"/>
          <w:b/>
          <w:sz w:val="44"/>
          <w:szCs w:val="44"/>
        </w:rPr>
      </w:pPr>
    </w:p>
    <w:p w14:paraId="2E2ED3AB">
      <w:pPr>
        <w:pStyle w:val="17"/>
        <w:spacing w:line="560" w:lineRule="exact"/>
        <w:jc w:val="center"/>
        <w:rPr>
          <w:rFonts w:ascii="黑体" w:hAnsi="黑体" w:eastAsia="黑体"/>
          <w:b/>
          <w:sz w:val="44"/>
          <w:szCs w:val="44"/>
        </w:rPr>
      </w:pPr>
      <w:r>
        <w:rPr>
          <w:rFonts w:hint="eastAsia" w:ascii="黑体" w:hAnsi="黑体" w:eastAsia="黑体"/>
          <w:b/>
          <w:sz w:val="44"/>
          <w:szCs w:val="44"/>
        </w:rPr>
        <w:t>第五部分   附表</w:t>
      </w:r>
    </w:p>
    <w:p w14:paraId="08E7EC08">
      <w:pPr>
        <w:pStyle w:val="17"/>
        <w:spacing w:line="560" w:lineRule="exact"/>
        <w:rPr>
          <w:rFonts w:ascii="宋体" w:hAnsi="宋体"/>
          <w:b/>
          <w:sz w:val="44"/>
          <w:szCs w:val="44"/>
        </w:rPr>
      </w:pPr>
      <w:bookmarkStart w:id="17" w:name="_Toc15396619"/>
    </w:p>
    <w:p w14:paraId="56C08E78">
      <w:pPr>
        <w:pStyle w:val="17"/>
        <w:numPr>
          <w:ilvl w:val="0"/>
          <w:numId w:val="6"/>
        </w:numPr>
        <w:spacing w:line="600" w:lineRule="exact"/>
        <w:rPr>
          <w:rFonts w:hAnsi="仿宋" w:cs="黑体"/>
          <w:bCs/>
          <w:kern w:val="2"/>
          <w:sz w:val="32"/>
          <w:szCs w:val="32"/>
        </w:rPr>
      </w:pPr>
      <w:r>
        <w:rPr>
          <w:rFonts w:hint="eastAsia" w:hAnsi="仿宋" w:cs="黑体"/>
          <w:bCs/>
          <w:kern w:val="2"/>
          <w:sz w:val="32"/>
          <w:szCs w:val="32"/>
        </w:rPr>
        <w:t>收入支出决算总表</w:t>
      </w:r>
      <w:bookmarkEnd w:id="17"/>
      <w:bookmarkStart w:id="18" w:name="_Toc15396620"/>
    </w:p>
    <w:p w14:paraId="468840A4">
      <w:pPr>
        <w:pStyle w:val="17"/>
        <w:numPr>
          <w:ilvl w:val="0"/>
          <w:numId w:val="7"/>
        </w:numPr>
        <w:spacing w:line="600" w:lineRule="exact"/>
        <w:rPr>
          <w:rFonts w:hAnsi="仿宋" w:cs="黑体"/>
          <w:bCs/>
          <w:kern w:val="2"/>
          <w:sz w:val="32"/>
          <w:szCs w:val="32"/>
        </w:rPr>
      </w:pPr>
      <w:r>
        <w:rPr>
          <w:rFonts w:hint="eastAsia" w:hAnsi="仿宋" w:cs="黑体"/>
          <w:bCs/>
          <w:kern w:val="2"/>
          <w:sz w:val="32"/>
          <w:szCs w:val="32"/>
        </w:rPr>
        <w:t>收入总表</w:t>
      </w:r>
      <w:bookmarkEnd w:id="18"/>
    </w:p>
    <w:p w14:paraId="383FE986">
      <w:pPr>
        <w:pStyle w:val="17"/>
        <w:numPr>
          <w:ilvl w:val="0"/>
          <w:numId w:val="8"/>
        </w:numPr>
        <w:spacing w:line="600" w:lineRule="exact"/>
        <w:rPr>
          <w:rFonts w:hAnsi="仿宋" w:cs="黑体"/>
          <w:bCs/>
          <w:kern w:val="2"/>
          <w:sz w:val="32"/>
          <w:szCs w:val="32"/>
        </w:rPr>
      </w:pPr>
      <w:r>
        <w:rPr>
          <w:rFonts w:hint="eastAsia" w:hAnsi="仿宋" w:cs="黑体"/>
          <w:bCs/>
          <w:kern w:val="2"/>
          <w:sz w:val="32"/>
          <w:szCs w:val="32"/>
        </w:rPr>
        <w:t>支出总表</w:t>
      </w:r>
    </w:p>
    <w:p w14:paraId="5C8F6E91">
      <w:pPr>
        <w:pStyle w:val="17"/>
        <w:numPr>
          <w:ilvl w:val="0"/>
          <w:numId w:val="9"/>
        </w:numPr>
        <w:spacing w:line="600" w:lineRule="exact"/>
        <w:rPr>
          <w:rFonts w:hAnsi="仿宋" w:cs="黑体"/>
          <w:bCs/>
          <w:kern w:val="2"/>
          <w:sz w:val="32"/>
          <w:szCs w:val="32"/>
        </w:rPr>
      </w:pPr>
      <w:r>
        <w:rPr>
          <w:rFonts w:hint="eastAsia" w:hAnsi="仿宋" w:cs="黑体"/>
          <w:bCs/>
          <w:kern w:val="2"/>
          <w:sz w:val="32"/>
          <w:szCs w:val="32"/>
        </w:rPr>
        <w:t>财政拨款收入支出决算总表</w:t>
      </w:r>
    </w:p>
    <w:p w14:paraId="27FCD8E8">
      <w:pPr>
        <w:pStyle w:val="17"/>
        <w:spacing w:line="600" w:lineRule="exact"/>
        <w:rPr>
          <w:rFonts w:hAnsi="仿宋" w:cs="黑体"/>
          <w:bCs/>
          <w:kern w:val="2"/>
          <w:sz w:val="32"/>
          <w:szCs w:val="32"/>
        </w:rPr>
      </w:pPr>
      <w:r>
        <w:rPr>
          <w:rStyle w:val="27"/>
          <w:rFonts w:hint="eastAsia" w:ascii="仿宋" w:hAnsi="仿宋" w:eastAsia="仿宋"/>
          <w:b w:val="0"/>
          <w:bCs w:val="0"/>
        </w:rPr>
        <w:t>五、</w:t>
      </w:r>
      <w:r>
        <w:rPr>
          <w:rFonts w:hint="eastAsia" w:hAnsi="仿宋" w:cs="黑体"/>
          <w:bCs/>
          <w:kern w:val="2"/>
          <w:sz w:val="32"/>
          <w:szCs w:val="32"/>
        </w:rPr>
        <w:t>财政拨款支出决算明细表（政府经济分类科目）</w:t>
      </w:r>
    </w:p>
    <w:p w14:paraId="5177E482">
      <w:pPr>
        <w:pStyle w:val="17"/>
        <w:spacing w:line="600" w:lineRule="exact"/>
        <w:rPr>
          <w:rFonts w:hAnsi="仿宋" w:cs="黑体"/>
          <w:bCs/>
          <w:kern w:val="2"/>
          <w:sz w:val="32"/>
          <w:szCs w:val="32"/>
        </w:rPr>
      </w:pPr>
      <w:r>
        <w:rPr>
          <w:rFonts w:hint="eastAsia" w:hAnsi="仿宋" w:cs="黑体"/>
          <w:bCs/>
          <w:kern w:val="2"/>
          <w:sz w:val="32"/>
          <w:szCs w:val="32"/>
        </w:rPr>
        <w:t>六、一般公共预算财政拨款支出决算表</w:t>
      </w:r>
    </w:p>
    <w:p w14:paraId="4D07CD58">
      <w:pPr>
        <w:pStyle w:val="17"/>
        <w:spacing w:line="600" w:lineRule="exact"/>
        <w:rPr>
          <w:rFonts w:hAnsi="仿宋" w:cs="黑体"/>
          <w:bCs/>
          <w:kern w:val="2"/>
          <w:sz w:val="32"/>
          <w:szCs w:val="32"/>
        </w:rPr>
      </w:pPr>
      <w:r>
        <w:rPr>
          <w:rFonts w:hint="eastAsia" w:hAnsi="仿宋" w:cs="黑体"/>
          <w:bCs/>
          <w:kern w:val="2"/>
          <w:sz w:val="32"/>
          <w:szCs w:val="32"/>
        </w:rPr>
        <w:t>七、一般公共预算财政拨款支出决算明细表</w:t>
      </w:r>
    </w:p>
    <w:p w14:paraId="108F41B9">
      <w:pPr>
        <w:pStyle w:val="17"/>
        <w:spacing w:line="600" w:lineRule="exact"/>
        <w:rPr>
          <w:rFonts w:hAnsi="仿宋" w:cs="黑体"/>
          <w:bCs/>
          <w:kern w:val="2"/>
          <w:sz w:val="32"/>
          <w:szCs w:val="32"/>
        </w:rPr>
      </w:pPr>
      <w:r>
        <w:rPr>
          <w:rFonts w:hint="eastAsia" w:hAnsi="仿宋" w:cs="黑体"/>
          <w:bCs/>
          <w:kern w:val="2"/>
          <w:sz w:val="32"/>
          <w:szCs w:val="32"/>
        </w:rPr>
        <w:t>八、一般公共预算财政拨款基本支出决算表</w:t>
      </w:r>
    </w:p>
    <w:p w14:paraId="172B8BCF">
      <w:pPr>
        <w:pStyle w:val="17"/>
        <w:spacing w:line="600" w:lineRule="exact"/>
        <w:rPr>
          <w:rFonts w:hAnsi="仿宋" w:cs="黑体"/>
          <w:bCs/>
          <w:kern w:val="2"/>
          <w:sz w:val="32"/>
          <w:szCs w:val="32"/>
        </w:rPr>
      </w:pPr>
      <w:r>
        <w:rPr>
          <w:rFonts w:hint="eastAsia" w:hAnsi="仿宋" w:cs="黑体"/>
          <w:bCs/>
          <w:kern w:val="2"/>
          <w:sz w:val="32"/>
          <w:szCs w:val="32"/>
        </w:rPr>
        <w:t>九、一般公共预算财政拨款项目支出决算表</w:t>
      </w:r>
    </w:p>
    <w:p w14:paraId="1C7E886C">
      <w:pPr>
        <w:pStyle w:val="17"/>
        <w:spacing w:line="600" w:lineRule="exact"/>
        <w:rPr>
          <w:rFonts w:hAnsi="仿宋" w:cs="黑体"/>
          <w:bCs/>
          <w:kern w:val="2"/>
          <w:sz w:val="32"/>
          <w:szCs w:val="32"/>
        </w:rPr>
      </w:pPr>
      <w:r>
        <w:rPr>
          <w:rFonts w:hint="eastAsia" w:hAnsi="仿宋" w:cs="黑体"/>
          <w:bCs/>
          <w:kern w:val="2"/>
          <w:sz w:val="32"/>
          <w:szCs w:val="32"/>
        </w:rPr>
        <w:t>十、一般公共预算财政拨款“三公”经费支出决算表</w:t>
      </w:r>
    </w:p>
    <w:p w14:paraId="5A95F90C">
      <w:pPr>
        <w:pStyle w:val="17"/>
        <w:spacing w:line="600" w:lineRule="exact"/>
        <w:rPr>
          <w:rFonts w:hAnsi="仿宋" w:cs="黑体"/>
          <w:bCs/>
          <w:kern w:val="2"/>
          <w:sz w:val="32"/>
          <w:szCs w:val="32"/>
        </w:rPr>
      </w:pPr>
      <w:r>
        <w:rPr>
          <w:rFonts w:hint="eastAsia" w:hAnsi="仿宋" w:cs="黑体"/>
          <w:bCs/>
          <w:kern w:val="2"/>
          <w:sz w:val="32"/>
          <w:szCs w:val="32"/>
        </w:rPr>
        <w:t>十一、政府性基金预算财政拨款收入支出决算表</w:t>
      </w:r>
    </w:p>
    <w:p w14:paraId="04DCD12F">
      <w:pPr>
        <w:pStyle w:val="17"/>
        <w:spacing w:line="600" w:lineRule="exact"/>
        <w:rPr>
          <w:rFonts w:hAnsi="仿宋" w:cs="黑体"/>
          <w:bCs/>
          <w:kern w:val="2"/>
          <w:sz w:val="32"/>
          <w:szCs w:val="32"/>
        </w:rPr>
      </w:pPr>
      <w:r>
        <w:rPr>
          <w:rFonts w:hint="eastAsia" w:hAnsi="仿宋" w:cs="黑体"/>
          <w:bCs/>
          <w:kern w:val="2"/>
          <w:sz w:val="32"/>
          <w:szCs w:val="32"/>
        </w:rPr>
        <w:t>十二、政府性基金预算财政拨款“三公”经费支出决算表</w:t>
      </w:r>
    </w:p>
    <w:p w14:paraId="068733F3">
      <w:pPr>
        <w:pStyle w:val="17"/>
        <w:spacing w:line="600" w:lineRule="exact"/>
        <w:rPr>
          <w:rFonts w:hAnsi="仿宋" w:cs="黑体"/>
          <w:bCs/>
          <w:kern w:val="2"/>
          <w:sz w:val="32"/>
          <w:szCs w:val="32"/>
        </w:rPr>
      </w:pPr>
      <w:r>
        <w:rPr>
          <w:rFonts w:hint="eastAsia" w:hAnsi="仿宋" w:cs="黑体"/>
          <w:bCs/>
          <w:kern w:val="2"/>
          <w:sz w:val="32"/>
          <w:szCs w:val="32"/>
        </w:rPr>
        <w:t>十三、国有资本经营预算财政拨款支出决算表</w:t>
      </w:r>
    </w:p>
    <w:p w14:paraId="7D15E49E">
      <w:pPr>
        <w:pStyle w:val="11"/>
        <w:adjustRightInd w:val="0"/>
        <w:snapToGrid w:val="0"/>
        <w:spacing w:line="600" w:lineRule="exact"/>
        <w:ind w:left="0" w:leftChars="0"/>
        <w:jc w:val="left"/>
        <w:rPr>
          <w:rFonts w:ascii="仿宋" w:hAnsi="仿宋" w:eastAsia="仿宋" w:cs="黑体"/>
          <w:bCs/>
          <w:color w:val="000000"/>
          <w:sz w:val="32"/>
          <w:szCs w:val="32"/>
        </w:rPr>
      </w:pPr>
      <w:r>
        <w:rPr>
          <w:rFonts w:hint="eastAsia" w:ascii="仿宋" w:hAnsi="仿宋" w:eastAsia="仿宋" w:cs="黑体"/>
          <w:bCs/>
          <w:color w:val="000000"/>
          <w:sz w:val="32"/>
          <w:szCs w:val="32"/>
        </w:rPr>
        <w:t>十四、</w:t>
      </w:r>
      <w:r>
        <w:fldChar w:fldCharType="begin"/>
      </w:r>
      <w:r>
        <w:instrText xml:space="preserve"> HYPERLINK \l "_Toc15396631" </w:instrText>
      </w:r>
      <w:r>
        <w:fldChar w:fldCharType="separate"/>
      </w:r>
      <w:r>
        <w:rPr>
          <w:rFonts w:hint="eastAsia" w:ascii="仿宋" w:hAnsi="仿宋" w:eastAsia="仿宋" w:cs="黑体"/>
          <w:bCs/>
          <w:color w:val="000000"/>
          <w:sz w:val="32"/>
          <w:szCs w:val="32"/>
        </w:rPr>
        <w:t>国有资本经营预算财政拨款支出决算表</w:t>
      </w:r>
      <w:r>
        <w:rPr>
          <w:rFonts w:hint="eastAsia" w:ascii="仿宋" w:hAnsi="仿宋" w:eastAsia="仿宋" w:cs="黑体"/>
          <w:bCs/>
          <w:color w:val="000000"/>
          <w:sz w:val="32"/>
          <w:szCs w:val="32"/>
        </w:rPr>
        <w:fldChar w:fldCharType="end"/>
      </w:r>
    </w:p>
    <w:p w14:paraId="547ACE3E">
      <w:pPr>
        <w:pStyle w:val="17"/>
        <w:spacing w:line="600" w:lineRule="exact"/>
        <w:rPr>
          <w:rFonts w:hAnsi="仿宋" w:cs="黑体"/>
          <w:bCs/>
          <w:kern w:val="2"/>
          <w:sz w:val="32"/>
          <w:szCs w:val="32"/>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F83BA">
    <w:pPr>
      <w:pStyle w:val="8"/>
      <w:jc w:val="center"/>
    </w:pPr>
    <w:r>
      <w:fldChar w:fldCharType="begin"/>
    </w:r>
    <w:r>
      <w:instrText xml:space="preserve">PAGE   \* MERGEFORMAT</w:instrText>
    </w:r>
    <w:r>
      <w:fldChar w:fldCharType="separate"/>
    </w:r>
    <w:r>
      <w:rPr>
        <w:lang w:val="zh-CN"/>
      </w:rPr>
      <w:t>43</w:t>
    </w:r>
    <w:r>
      <w:rPr>
        <w:lang w:val="zh-CN"/>
      </w:rPr>
      <w:fldChar w:fldCharType="end"/>
    </w:r>
  </w:p>
  <w:p w14:paraId="7BDB419A">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2BE24">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F85EAF"/>
    <w:multiLevelType w:val="multilevel"/>
    <w:tmpl w:val="34F85EAF"/>
    <w:lvl w:ilvl="0" w:tentative="0">
      <w:start w:val="1"/>
      <w:numFmt w:val="chineseCountingThousand"/>
      <w:pStyle w:val="30"/>
      <w:suff w:val="nothing"/>
      <w:lvlText w:val="%1、"/>
      <w:lvlJc w:val="left"/>
      <w:pPr>
        <w:ind w:left="-353" w:firstLine="637"/>
      </w:pPr>
      <w:rPr>
        <w:rFonts w:hint="eastAsia"/>
      </w:rPr>
    </w:lvl>
    <w:lvl w:ilvl="1" w:tentative="0">
      <w:start w:val="1"/>
      <w:numFmt w:val="lowerLetter"/>
      <w:lvlText w:val="%2)"/>
      <w:lvlJc w:val="left"/>
      <w:pPr>
        <w:ind w:left="-1925" w:hanging="420"/>
      </w:pPr>
    </w:lvl>
    <w:lvl w:ilvl="2" w:tentative="0">
      <w:start w:val="1"/>
      <w:numFmt w:val="lowerRoman"/>
      <w:lvlText w:val="%3."/>
      <w:lvlJc w:val="right"/>
      <w:pPr>
        <w:ind w:left="-1505" w:hanging="420"/>
      </w:pPr>
    </w:lvl>
    <w:lvl w:ilvl="3" w:tentative="0">
      <w:start w:val="1"/>
      <w:numFmt w:val="decimal"/>
      <w:lvlText w:val="%4."/>
      <w:lvlJc w:val="left"/>
      <w:pPr>
        <w:ind w:left="-1085" w:hanging="420"/>
      </w:pPr>
    </w:lvl>
    <w:lvl w:ilvl="4" w:tentative="0">
      <w:start w:val="1"/>
      <w:numFmt w:val="lowerLetter"/>
      <w:lvlText w:val="%5)"/>
      <w:lvlJc w:val="left"/>
      <w:pPr>
        <w:ind w:left="-665" w:hanging="420"/>
      </w:pPr>
    </w:lvl>
    <w:lvl w:ilvl="5" w:tentative="0">
      <w:start w:val="1"/>
      <w:numFmt w:val="lowerRoman"/>
      <w:lvlText w:val="%6."/>
      <w:lvlJc w:val="right"/>
      <w:pPr>
        <w:ind w:left="-245" w:hanging="420"/>
      </w:pPr>
    </w:lvl>
    <w:lvl w:ilvl="6" w:tentative="0">
      <w:start w:val="1"/>
      <w:numFmt w:val="decimal"/>
      <w:lvlText w:val="%7."/>
      <w:lvlJc w:val="left"/>
      <w:pPr>
        <w:ind w:left="175" w:hanging="420"/>
      </w:pPr>
    </w:lvl>
    <w:lvl w:ilvl="7" w:tentative="0">
      <w:start w:val="1"/>
      <w:numFmt w:val="lowerLetter"/>
      <w:lvlText w:val="%8)"/>
      <w:lvlJc w:val="left"/>
      <w:pPr>
        <w:ind w:left="595" w:hanging="420"/>
      </w:pPr>
    </w:lvl>
    <w:lvl w:ilvl="8" w:tentative="0">
      <w:start w:val="1"/>
      <w:numFmt w:val="lowerRoman"/>
      <w:lvlText w:val="%9."/>
      <w:lvlJc w:val="right"/>
      <w:pPr>
        <w:ind w:left="1015" w:hanging="420"/>
      </w:pPr>
    </w:lvl>
  </w:abstractNum>
  <w:abstractNum w:abstractNumId="1">
    <w:nsid w:val="5BD0332B"/>
    <w:multiLevelType w:val="singleLevel"/>
    <w:tmpl w:val="5BD0332B"/>
    <w:lvl w:ilvl="0" w:tentative="0">
      <w:start w:val="9"/>
      <w:numFmt w:val="chineseCounting"/>
      <w:suff w:val="nothing"/>
      <w:lvlText w:val="%1、"/>
      <w:lvlJc w:val="left"/>
    </w:lvl>
  </w:abstractNum>
  <w:abstractNum w:abstractNumId="2">
    <w:nsid w:val="5DAE65AA"/>
    <w:multiLevelType w:val="singleLevel"/>
    <w:tmpl w:val="5DAE65AA"/>
    <w:lvl w:ilvl="0" w:tentative="0">
      <w:start w:val="2"/>
      <w:numFmt w:val="chineseCounting"/>
      <w:suff w:val="nothing"/>
      <w:lvlText w:val="%1、"/>
      <w:lvlJc w:val="left"/>
    </w:lvl>
  </w:abstractNum>
  <w:abstractNum w:abstractNumId="3">
    <w:nsid w:val="5DAFDF70"/>
    <w:multiLevelType w:val="singleLevel"/>
    <w:tmpl w:val="5DAFDF70"/>
    <w:lvl w:ilvl="0" w:tentative="0">
      <w:start w:val="2"/>
      <w:numFmt w:val="chineseCounting"/>
      <w:suff w:val="nothing"/>
      <w:lvlText w:val="（%1）"/>
      <w:lvlJc w:val="left"/>
    </w:lvl>
  </w:abstractNum>
  <w:abstractNum w:abstractNumId="4">
    <w:nsid w:val="5DB02C0C"/>
    <w:multiLevelType w:val="singleLevel"/>
    <w:tmpl w:val="5DB02C0C"/>
    <w:lvl w:ilvl="0" w:tentative="0">
      <w:start w:val="1"/>
      <w:numFmt w:val="chineseCounting"/>
      <w:suff w:val="nothing"/>
      <w:lvlText w:val="%1、"/>
      <w:lvlJc w:val="left"/>
    </w:lvl>
  </w:abstractNum>
  <w:abstractNum w:abstractNumId="5">
    <w:nsid w:val="5DB02C42"/>
    <w:multiLevelType w:val="singleLevel"/>
    <w:tmpl w:val="5DB02C42"/>
    <w:lvl w:ilvl="0" w:tentative="0">
      <w:start w:val="2"/>
      <w:numFmt w:val="chineseCounting"/>
      <w:suff w:val="nothing"/>
      <w:lvlText w:val="%1、"/>
      <w:lvlJc w:val="left"/>
    </w:lvl>
  </w:abstractNum>
  <w:abstractNum w:abstractNumId="6">
    <w:nsid w:val="5DB02CA6"/>
    <w:multiLevelType w:val="singleLevel"/>
    <w:tmpl w:val="5DB02CA6"/>
    <w:lvl w:ilvl="0" w:tentative="0">
      <w:start w:val="3"/>
      <w:numFmt w:val="chineseCounting"/>
      <w:suff w:val="nothing"/>
      <w:lvlText w:val="%1、"/>
      <w:lvlJc w:val="left"/>
    </w:lvl>
  </w:abstractNum>
  <w:abstractNum w:abstractNumId="7">
    <w:nsid w:val="5DB02CBC"/>
    <w:multiLevelType w:val="singleLevel"/>
    <w:tmpl w:val="5DB02CBC"/>
    <w:lvl w:ilvl="0" w:tentative="0">
      <w:start w:val="4"/>
      <w:numFmt w:val="chineseCounting"/>
      <w:suff w:val="nothing"/>
      <w:lvlText w:val="%1、"/>
      <w:lvlJc w:val="left"/>
    </w:lvl>
  </w:abstractNum>
  <w:abstractNum w:abstractNumId="8">
    <w:nsid w:val="7EE55BF3"/>
    <w:multiLevelType w:val="multilevel"/>
    <w:tmpl w:val="7EE55BF3"/>
    <w:lvl w:ilvl="0" w:tentative="0">
      <w:start w:val="1"/>
      <w:numFmt w:val="chineseCountingThousand"/>
      <w:pStyle w:val="32"/>
      <w:suff w:val="nothing"/>
      <w:lvlText w:val="（%1）"/>
      <w:lvlJc w:val="left"/>
      <w:pPr>
        <w:ind w:left="-209" w:firstLine="635"/>
      </w:pPr>
      <w:rPr>
        <w:rFonts w:hint="eastAsia"/>
      </w:rPr>
    </w:lvl>
    <w:lvl w:ilvl="1" w:tentative="0">
      <w:start w:val="1"/>
      <w:numFmt w:val="decimal"/>
      <w:lvlText w:val="%2."/>
      <w:lvlJc w:val="left"/>
      <w:pPr>
        <w:ind w:left="771" w:hanging="360"/>
      </w:pPr>
      <w:rPr>
        <w:rFonts w:hint="default"/>
      </w:rPr>
    </w:lvl>
    <w:lvl w:ilvl="2" w:tentative="0">
      <w:start w:val="1"/>
      <w:numFmt w:val="lowerRoman"/>
      <w:lvlText w:val="%3."/>
      <w:lvlJc w:val="right"/>
      <w:pPr>
        <w:ind w:left="1251" w:hanging="420"/>
      </w:pPr>
    </w:lvl>
    <w:lvl w:ilvl="3" w:tentative="0">
      <w:start w:val="1"/>
      <w:numFmt w:val="decimal"/>
      <w:lvlText w:val="%4."/>
      <w:lvlJc w:val="left"/>
      <w:pPr>
        <w:ind w:left="1671" w:hanging="420"/>
      </w:pPr>
    </w:lvl>
    <w:lvl w:ilvl="4" w:tentative="0">
      <w:start w:val="1"/>
      <w:numFmt w:val="lowerLetter"/>
      <w:lvlText w:val="%5)"/>
      <w:lvlJc w:val="left"/>
      <w:pPr>
        <w:ind w:left="2091" w:hanging="420"/>
      </w:pPr>
    </w:lvl>
    <w:lvl w:ilvl="5" w:tentative="0">
      <w:start w:val="1"/>
      <w:numFmt w:val="lowerRoman"/>
      <w:lvlText w:val="%6."/>
      <w:lvlJc w:val="right"/>
      <w:pPr>
        <w:ind w:left="2511" w:hanging="420"/>
      </w:pPr>
    </w:lvl>
    <w:lvl w:ilvl="6" w:tentative="0">
      <w:start w:val="1"/>
      <w:numFmt w:val="decimal"/>
      <w:lvlText w:val="%7."/>
      <w:lvlJc w:val="left"/>
      <w:pPr>
        <w:ind w:left="2931" w:hanging="420"/>
      </w:pPr>
    </w:lvl>
    <w:lvl w:ilvl="7" w:tentative="0">
      <w:start w:val="1"/>
      <w:numFmt w:val="lowerLetter"/>
      <w:lvlText w:val="%8)"/>
      <w:lvlJc w:val="left"/>
      <w:pPr>
        <w:ind w:left="3351" w:hanging="420"/>
      </w:pPr>
    </w:lvl>
    <w:lvl w:ilvl="8" w:tentative="0">
      <w:start w:val="1"/>
      <w:numFmt w:val="lowerRoman"/>
      <w:lvlText w:val="%9."/>
      <w:lvlJc w:val="right"/>
      <w:pPr>
        <w:ind w:left="3771" w:hanging="420"/>
      </w:pPr>
    </w:lvl>
  </w:abstractNum>
  <w:num w:numId="1">
    <w:abstractNumId w:val="0"/>
  </w:num>
  <w:num w:numId="2">
    <w:abstractNumId w:val="8"/>
  </w:num>
  <w:num w:numId="3">
    <w:abstractNumId w:val="2"/>
  </w:num>
  <w:num w:numId="4">
    <w:abstractNumId w:val="3"/>
  </w:num>
  <w:num w:numId="5">
    <w:abstractNumId w:val="1"/>
  </w:num>
  <w:num w:numId="6">
    <w:abstractNumId w:val="4"/>
  </w:num>
  <w:num w:numId="7">
    <w:abstractNumId w:val="5"/>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1NThmYzkyNTc5ZjY1NjNjODMwZGViMjE1MDUzOWMifQ=="/>
  </w:docVars>
  <w:rsids>
    <w:rsidRoot w:val="001C406E"/>
    <w:rsid w:val="0001405F"/>
    <w:rsid w:val="00021A66"/>
    <w:rsid w:val="000439B8"/>
    <w:rsid w:val="00055567"/>
    <w:rsid w:val="00060882"/>
    <w:rsid w:val="00070A76"/>
    <w:rsid w:val="00090A4C"/>
    <w:rsid w:val="000A5D55"/>
    <w:rsid w:val="000B2675"/>
    <w:rsid w:val="000C455A"/>
    <w:rsid w:val="000C5C59"/>
    <w:rsid w:val="000F7E28"/>
    <w:rsid w:val="00102A4E"/>
    <w:rsid w:val="0010548F"/>
    <w:rsid w:val="001165E8"/>
    <w:rsid w:val="001324E8"/>
    <w:rsid w:val="00143E5E"/>
    <w:rsid w:val="00144CB1"/>
    <w:rsid w:val="00150265"/>
    <w:rsid w:val="00157899"/>
    <w:rsid w:val="00174F35"/>
    <w:rsid w:val="0017584C"/>
    <w:rsid w:val="00181444"/>
    <w:rsid w:val="001A3E07"/>
    <w:rsid w:val="001A4C59"/>
    <w:rsid w:val="001B21C3"/>
    <w:rsid w:val="001B77FB"/>
    <w:rsid w:val="001C031F"/>
    <w:rsid w:val="001C0C56"/>
    <w:rsid w:val="001C406E"/>
    <w:rsid w:val="001D3776"/>
    <w:rsid w:val="001D4926"/>
    <w:rsid w:val="001E49B0"/>
    <w:rsid w:val="001E6747"/>
    <w:rsid w:val="0021371B"/>
    <w:rsid w:val="002272DF"/>
    <w:rsid w:val="00231C1D"/>
    <w:rsid w:val="002404CD"/>
    <w:rsid w:val="00267F4B"/>
    <w:rsid w:val="002827A8"/>
    <w:rsid w:val="00284FAC"/>
    <w:rsid w:val="00287691"/>
    <w:rsid w:val="002940B1"/>
    <w:rsid w:val="002A4E04"/>
    <w:rsid w:val="002B0B6F"/>
    <w:rsid w:val="002C6ED6"/>
    <w:rsid w:val="002D494B"/>
    <w:rsid w:val="002E316B"/>
    <w:rsid w:val="002E3D65"/>
    <w:rsid w:val="002E4334"/>
    <w:rsid w:val="00312CA3"/>
    <w:rsid w:val="003219E8"/>
    <w:rsid w:val="0033535A"/>
    <w:rsid w:val="003376F4"/>
    <w:rsid w:val="00343AA5"/>
    <w:rsid w:val="00355EF2"/>
    <w:rsid w:val="00366E1B"/>
    <w:rsid w:val="00384BAE"/>
    <w:rsid w:val="003C4B06"/>
    <w:rsid w:val="003F52E1"/>
    <w:rsid w:val="003F7903"/>
    <w:rsid w:val="00410E65"/>
    <w:rsid w:val="00411FB4"/>
    <w:rsid w:val="00412D02"/>
    <w:rsid w:val="004202E6"/>
    <w:rsid w:val="00435645"/>
    <w:rsid w:val="00476A1A"/>
    <w:rsid w:val="0048137D"/>
    <w:rsid w:val="004929B8"/>
    <w:rsid w:val="004C07C2"/>
    <w:rsid w:val="004C1DC5"/>
    <w:rsid w:val="004C6CAB"/>
    <w:rsid w:val="004D2909"/>
    <w:rsid w:val="004E79BA"/>
    <w:rsid w:val="004F4C45"/>
    <w:rsid w:val="00502C09"/>
    <w:rsid w:val="00510077"/>
    <w:rsid w:val="00511F7F"/>
    <w:rsid w:val="00513B6F"/>
    <w:rsid w:val="00514B72"/>
    <w:rsid w:val="00515D07"/>
    <w:rsid w:val="00526B1D"/>
    <w:rsid w:val="00526F0C"/>
    <w:rsid w:val="00531CF9"/>
    <w:rsid w:val="00560DDA"/>
    <w:rsid w:val="00575AF0"/>
    <w:rsid w:val="00587131"/>
    <w:rsid w:val="00596B49"/>
    <w:rsid w:val="005B2A05"/>
    <w:rsid w:val="005D7523"/>
    <w:rsid w:val="005E15B0"/>
    <w:rsid w:val="005E1DA1"/>
    <w:rsid w:val="005F3293"/>
    <w:rsid w:val="005F6714"/>
    <w:rsid w:val="00602B21"/>
    <w:rsid w:val="006440ED"/>
    <w:rsid w:val="00653EE6"/>
    <w:rsid w:val="00654BC7"/>
    <w:rsid w:val="00657603"/>
    <w:rsid w:val="00660D74"/>
    <w:rsid w:val="006703DA"/>
    <w:rsid w:val="006742C2"/>
    <w:rsid w:val="00684B81"/>
    <w:rsid w:val="00691764"/>
    <w:rsid w:val="00697A1A"/>
    <w:rsid w:val="006B1B61"/>
    <w:rsid w:val="006B45BA"/>
    <w:rsid w:val="006C78AC"/>
    <w:rsid w:val="006D4454"/>
    <w:rsid w:val="006E4B24"/>
    <w:rsid w:val="006E4C66"/>
    <w:rsid w:val="006F2865"/>
    <w:rsid w:val="00714050"/>
    <w:rsid w:val="00725FAA"/>
    <w:rsid w:val="00735B6C"/>
    <w:rsid w:val="007669FC"/>
    <w:rsid w:val="00771731"/>
    <w:rsid w:val="007905DB"/>
    <w:rsid w:val="00796517"/>
    <w:rsid w:val="007A71A4"/>
    <w:rsid w:val="007B4243"/>
    <w:rsid w:val="007C0386"/>
    <w:rsid w:val="007D4105"/>
    <w:rsid w:val="007D4E12"/>
    <w:rsid w:val="007F65AB"/>
    <w:rsid w:val="007F7508"/>
    <w:rsid w:val="00816175"/>
    <w:rsid w:val="00821EED"/>
    <w:rsid w:val="00824E83"/>
    <w:rsid w:val="00875F65"/>
    <w:rsid w:val="00887B30"/>
    <w:rsid w:val="0089779E"/>
    <w:rsid w:val="008A28E5"/>
    <w:rsid w:val="008C4D46"/>
    <w:rsid w:val="008F5FDF"/>
    <w:rsid w:val="00920D09"/>
    <w:rsid w:val="00923389"/>
    <w:rsid w:val="00933582"/>
    <w:rsid w:val="009430D7"/>
    <w:rsid w:val="00943D4F"/>
    <w:rsid w:val="009511D4"/>
    <w:rsid w:val="0097273D"/>
    <w:rsid w:val="00986445"/>
    <w:rsid w:val="00995919"/>
    <w:rsid w:val="009A7023"/>
    <w:rsid w:val="009D70A2"/>
    <w:rsid w:val="009E1FA5"/>
    <w:rsid w:val="009F5551"/>
    <w:rsid w:val="009F70CC"/>
    <w:rsid w:val="00A13565"/>
    <w:rsid w:val="00A14601"/>
    <w:rsid w:val="00A16E27"/>
    <w:rsid w:val="00A223F9"/>
    <w:rsid w:val="00A67767"/>
    <w:rsid w:val="00A71BC2"/>
    <w:rsid w:val="00A84A14"/>
    <w:rsid w:val="00AA546F"/>
    <w:rsid w:val="00AB7B0A"/>
    <w:rsid w:val="00AC0DB0"/>
    <w:rsid w:val="00AD2D53"/>
    <w:rsid w:val="00AF7FAB"/>
    <w:rsid w:val="00B03C04"/>
    <w:rsid w:val="00B040F0"/>
    <w:rsid w:val="00B1028E"/>
    <w:rsid w:val="00B13407"/>
    <w:rsid w:val="00B415FD"/>
    <w:rsid w:val="00B6786A"/>
    <w:rsid w:val="00B7129D"/>
    <w:rsid w:val="00B72104"/>
    <w:rsid w:val="00B773E1"/>
    <w:rsid w:val="00B87AC6"/>
    <w:rsid w:val="00B92CC4"/>
    <w:rsid w:val="00BA473E"/>
    <w:rsid w:val="00BC62A0"/>
    <w:rsid w:val="00BD1BE7"/>
    <w:rsid w:val="00BF3ACC"/>
    <w:rsid w:val="00C112BD"/>
    <w:rsid w:val="00C16878"/>
    <w:rsid w:val="00C270F5"/>
    <w:rsid w:val="00C33E1E"/>
    <w:rsid w:val="00C41A1E"/>
    <w:rsid w:val="00C4491C"/>
    <w:rsid w:val="00C654F4"/>
    <w:rsid w:val="00C83462"/>
    <w:rsid w:val="00C86424"/>
    <w:rsid w:val="00C93B25"/>
    <w:rsid w:val="00C95849"/>
    <w:rsid w:val="00C95DB7"/>
    <w:rsid w:val="00CA33E4"/>
    <w:rsid w:val="00CA6FED"/>
    <w:rsid w:val="00CD542D"/>
    <w:rsid w:val="00CD5955"/>
    <w:rsid w:val="00D278FE"/>
    <w:rsid w:val="00D53D97"/>
    <w:rsid w:val="00D94846"/>
    <w:rsid w:val="00DA5A9E"/>
    <w:rsid w:val="00DB33DF"/>
    <w:rsid w:val="00DC1808"/>
    <w:rsid w:val="00DC24C2"/>
    <w:rsid w:val="00DD741A"/>
    <w:rsid w:val="00E2051D"/>
    <w:rsid w:val="00E35AB5"/>
    <w:rsid w:val="00E4383E"/>
    <w:rsid w:val="00E804B1"/>
    <w:rsid w:val="00EA6774"/>
    <w:rsid w:val="00EB345A"/>
    <w:rsid w:val="00EC0620"/>
    <w:rsid w:val="00ED4069"/>
    <w:rsid w:val="00ED5D71"/>
    <w:rsid w:val="00EE66A6"/>
    <w:rsid w:val="00EF0B2E"/>
    <w:rsid w:val="00EF3038"/>
    <w:rsid w:val="00F175AF"/>
    <w:rsid w:val="00F23F4E"/>
    <w:rsid w:val="00F24978"/>
    <w:rsid w:val="00F660F2"/>
    <w:rsid w:val="00F66AE3"/>
    <w:rsid w:val="00F7105B"/>
    <w:rsid w:val="00FA1FEF"/>
    <w:rsid w:val="00FB68EA"/>
    <w:rsid w:val="00FB7622"/>
    <w:rsid w:val="00FB7A09"/>
    <w:rsid w:val="00FE1048"/>
    <w:rsid w:val="00FE327B"/>
    <w:rsid w:val="06FD191D"/>
    <w:rsid w:val="0BF56330"/>
    <w:rsid w:val="0C9A0A6A"/>
    <w:rsid w:val="200B57A0"/>
    <w:rsid w:val="44816BDC"/>
    <w:rsid w:val="499D6000"/>
    <w:rsid w:val="4E92376D"/>
    <w:rsid w:val="590803C4"/>
    <w:rsid w:val="5A67340E"/>
    <w:rsid w:val="60104B28"/>
    <w:rsid w:val="613A6E6D"/>
    <w:rsid w:val="6D8E41CC"/>
    <w:rsid w:val="71BD0770"/>
    <w:rsid w:val="769F35B0"/>
    <w:rsid w:val="F7FFBAA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Cambria" w:hAnsi="Cambria" w:cs="黑体"/>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unhideWhenUsed/>
    <w:qFormat/>
    <w:uiPriority w:val="99"/>
    <w:rPr>
      <w:sz w:val="18"/>
      <w:szCs w:val="18"/>
    </w:rPr>
  </w:style>
  <w:style w:type="paragraph" w:styleId="8">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99"/>
    <w:pPr>
      <w:widowControl/>
      <w:jc w:val="left"/>
    </w:pPr>
    <w:rPr>
      <w:rFonts w:ascii="宋体" w:hAnsi="宋体"/>
      <w:kern w:val="0"/>
      <w:sz w:val="24"/>
      <w:szCs w:val="20"/>
    </w:rPr>
  </w:style>
  <w:style w:type="character" w:styleId="15">
    <w:name w:val="Strong"/>
    <w:basedOn w:val="14"/>
    <w:qFormat/>
    <w:uiPriority w:val="22"/>
    <w:rPr>
      <w:b/>
      <w:bCs/>
    </w:rPr>
  </w:style>
  <w:style w:type="character" w:styleId="16">
    <w:name w:val="Hyperlink"/>
    <w:basedOn w:val="14"/>
    <w:unhideWhenUsed/>
    <w:qFormat/>
    <w:uiPriority w:val="99"/>
    <w:rPr>
      <w:color w:val="0000FF"/>
      <w:u w:val="single"/>
    </w:rPr>
  </w:style>
  <w:style w:type="paragraph" w:customStyle="1" w:styleId="1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8">
    <w:name w:val="列出段落1"/>
    <w:basedOn w:val="1"/>
    <w:qFormat/>
    <w:uiPriority w:val="34"/>
    <w:pPr>
      <w:ind w:firstLine="420" w:firstLineChars="200"/>
    </w:pPr>
  </w:style>
  <w:style w:type="paragraph" w:customStyle="1" w:styleId="19">
    <w:name w:val="TOC 标题1"/>
    <w:basedOn w:val="2"/>
    <w:next w:val="1"/>
    <w:unhideWhenUsed/>
    <w:qFormat/>
    <w:uiPriority w:val="39"/>
    <w:pPr>
      <w:widowControl/>
      <w:spacing w:before="480" w:after="0" w:line="276" w:lineRule="auto"/>
      <w:jc w:val="left"/>
      <w:outlineLvl w:val="9"/>
    </w:pPr>
    <w:rPr>
      <w:rFonts w:ascii="Cambria" w:hAnsi="Cambria" w:cs="黑体"/>
      <w:color w:val="365F90"/>
      <w:kern w:val="0"/>
      <w:sz w:val="28"/>
      <w:szCs w:val="28"/>
    </w:rPr>
  </w:style>
  <w:style w:type="character" w:customStyle="1" w:styleId="20">
    <w:name w:val="Header Char"/>
    <w:basedOn w:val="14"/>
    <w:semiHidden/>
    <w:qFormat/>
    <w:uiPriority w:val="99"/>
    <w:rPr>
      <w:rFonts w:ascii="Times New Roman" w:hAnsi="Times New Roman"/>
      <w:sz w:val="18"/>
      <w:szCs w:val="18"/>
    </w:rPr>
  </w:style>
  <w:style w:type="character" w:customStyle="1" w:styleId="21">
    <w:name w:val="页眉 Char"/>
    <w:link w:val="9"/>
    <w:semiHidden/>
    <w:qFormat/>
    <w:locked/>
    <w:uiPriority w:val="99"/>
    <w:rPr>
      <w:sz w:val="18"/>
    </w:rPr>
  </w:style>
  <w:style w:type="character" w:customStyle="1" w:styleId="22">
    <w:name w:val="Footer Char"/>
    <w:basedOn w:val="14"/>
    <w:semiHidden/>
    <w:qFormat/>
    <w:uiPriority w:val="99"/>
    <w:rPr>
      <w:rFonts w:ascii="Times New Roman" w:hAnsi="Times New Roman"/>
      <w:sz w:val="18"/>
      <w:szCs w:val="18"/>
    </w:rPr>
  </w:style>
  <w:style w:type="character" w:customStyle="1" w:styleId="23">
    <w:name w:val="页脚 Char"/>
    <w:link w:val="8"/>
    <w:qFormat/>
    <w:locked/>
    <w:uiPriority w:val="99"/>
    <w:rPr>
      <w:sz w:val="18"/>
    </w:rPr>
  </w:style>
  <w:style w:type="character" w:customStyle="1" w:styleId="24">
    <w:name w:val="Body Text Char"/>
    <w:basedOn w:val="14"/>
    <w:semiHidden/>
    <w:qFormat/>
    <w:uiPriority w:val="99"/>
    <w:rPr>
      <w:rFonts w:ascii="Times New Roman" w:hAnsi="Times New Roman"/>
      <w:szCs w:val="24"/>
    </w:rPr>
  </w:style>
  <w:style w:type="character" w:customStyle="1" w:styleId="25">
    <w:name w:val="正文文本 Char"/>
    <w:link w:val="5"/>
    <w:qFormat/>
    <w:locked/>
    <w:uiPriority w:val="99"/>
    <w:rPr>
      <w:rFonts w:ascii="仿宋_GB2312" w:hAnsi="Times New Roman" w:eastAsia="仿宋_GB2312"/>
      <w:sz w:val="24"/>
    </w:rPr>
  </w:style>
  <w:style w:type="character" w:customStyle="1" w:styleId="26">
    <w:name w:val="标题 1 Char"/>
    <w:basedOn w:val="14"/>
    <w:link w:val="2"/>
    <w:qFormat/>
    <w:uiPriority w:val="9"/>
    <w:rPr>
      <w:rFonts w:ascii="Times New Roman" w:hAnsi="Times New Roman"/>
      <w:b/>
      <w:bCs/>
      <w:kern w:val="44"/>
      <w:sz w:val="44"/>
      <w:szCs w:val="44"/>
    </w:rPr>
  </w:style>
  <w:style w:type="character" w:customStyle="1" w:styleId="27">
    <w:name w:val="标题 2 Char"/>
    <w:basedOn w:val="14"/>
    <w:link w:val="3"/>
    <w:qFormat/>
    <w:uiPriority w:val="9"/>
    <w:rPr>
      <w:rFonts w:ascii="Cambria" w:hAnsi="Cambria" w:eastAsia="宋体" w:cs="黑体"/>
      <w:b/>
      <w:bCs/>
      <w:kern w:val="2"/>
      <w:sz w:val="32"/>
      <w:szCs w:val="32"/>
    </w:rPr>
  </w:style>
  <w:style w:type="character" w:customStyle="1" w:styleId="28">
    <w:name w:val="批注框文本 Char"/>
    <w:basedOn w:val="14"/>
    <w:link w:val="7"/>
    <w:semiHidden/>
    <w:qFormat/>
    <w:uiPriority w:val="99"/>
    <w:rPr>
      <w:rFonts w:ascii="Times New Roman" w:hAnsi="Times New Roman"/>
      <w:kern w:val="2"/>
      <w:sz w:val="18"/>
      <w:szCs w:val="18"/>
    </w:rPr>
  </w:style>
  <w:style w:type="character" w:customStyle="1" w:styleId="29">
    <w:name w:val="标题 3 Char"/>
    <w:basedOn w:val="14"/>
    <w:link w:val="4"/>
    <w:qFormat/>
    <w:uiPriority w:val="9"/>
    <w:rPr>
      <w:rFonts w:ascii="Times New Roman" w:hAnsi="Times New Roman"/>
      <w:b/>
      <w:bCs/>
      <w:kern w:val="2"/>
      <w:sz w:val="32"/>
      <w:szCs w:val="32"/>
    </w:rPr>
  </w:style>
  <w:style w:type="paragraph" w:customStyle="1" w:styleId="30">
    <w:name w:val="〖B01〗一级标题"/>
    <w:basedOn w:val="1"/>
    <w:next w:val="1"/>
    <w:qFormat/>
    <w:uiPriority w:val="0"/>
    <w:pPr>
      <w:numPr>
        <w:ilvl w:val="0"/>
        <w:numId w:val="1"/>
      </w:numPr>
      <w:topLinePunct/>
      <w:spacing w:line="600" w:lineRule="exact"/>
      <w:outlineLvl w:val="0"/>
    </w:pPr>
    <w:rPr>
      <w:rFonts w:ascii="黑体" w:hAnsi="Calibri" w:eastAsia="黑体"/>
      <w:sz w:val="32"/>
      <w:szCs w:val="32"/>
    </w:rPr>
  </w:style>
  <w:style w:type="paragraph" w:customStyle="1" w:styleId="31">
    <w:name w:val="〖A08〗公文标题"/>
    <w:next w:val="1"/>
    <w:qFormat/>
    <w:uiPriority w:val="0"/>
    <w:pPr>
      <w:widowControl w:val="0"/>
      <w:topLinePunct/>
      <w:spacing w:line="700" w:lineRule="exact"/>
      <w:jc w:val="center"/>
    </w:pPr>
    <w:rPr>
      <w:rFonts w:ascii="方正小标宋简体" w:hAnsi="Calibri" w:eastAsia="方正小标宋简体" w:cs="Times New Roman"/>
      <w:kern w:val="2"/>
      <w:sz w:val="44"/>
      <w:szCs w:val="21"/>
      <w:lang w:val="en-US" w:eastAsia="zh-CN" w:bidi="ar-SA"/>
    </w:rPr>
  </w:style>
  <w:style w:type="paragraph" w:customStyle="1" w:styleId="32">
    <w:name w:val="〖B02〗二级标题"/>
    <w:next w:val="1"/>
    <w:qFormat/>
    <w:uiPriority w:val="0"/>
    <w:pPr>
      <w:widowControl w:val="0"/>
      <w:numPr>
        <w:ilvl w:val="0"/>
        <w:numId w:val="2"/>
      </w:numPr>
      <w:spacing w:line="600" w:lineRule="exact"/>
      <w:outlineLvl w:val="1"/>
    </w:pPr>
    <w:rPr>
      <w:rFonts w:ascii="楷体_GB2312" w:hAnsi="Calibri" w:eastAsia="楷体_GB2312" w:cs="Times New Roman"/>
      <w:kern w:val="2"/>
      <w:sz w:val="32"/>
      <w:szCs w:val="21"/>
      <w:lang w:val="zh-CN" w:eastAsia="zh-CN" w:bidi="ar-SA"/>
    </w:rPr>
  </w:style>
  <w:style w:type="paragraph" w:styleId="3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163589200473"/>
          <c:y val="0.0418354284661786"/>
          <c:w val="0.654676258992809"/>
          <c:h val="0.747252747252746"/>
        </c:manualLayout>
      </c:layout>
      <c:barChart>
        <c:barDir val="col"/>
        <c:grouping val="clustered"/>
        <c:varyColors val="0"/>
        <c:ser>
          <c:idx val="1"/>
          <c:order val="0"/>
          <c:tx>
            <c:strRef>
              <c:f>Sheet1!$A$2</c:f>
              <c:strCache>
                <c:ptCount val="1"/>
                <c:pt idx="0">
                  <c:v>收入</c:v>
                </c:pt>
              </c:strCache>
            </c:strRef>
          </c:tx>
          <c:spPr>
            <a:solidFill>
              <a:srgbClr val="993366"/>
            </a:solidFill>
            <a:ln w="15081">
              <a:solidFill>
                <a:srgbClr val="000000"/>
              </a:solidFill>
              <a:prstDash val="solid"/>
            </a:ln>
          </c:spPr>
          <c:invertIfNegative val="0"/>
          <c:dLbls>
            <c:delete val="1"/>
          </c:dLbls>
          <c:cat>
            <c:numRef>
              <c:f>Sheet1!$B$1:$C$1</c:f>
              <c:numCache>
                <c:formatCode>General</c:formatCode>
                <c:ptCount val="2"/>
                <c:pt idx="0">
                  <c:v>2020</c:v>
                </c:pt>
                <c:pt idx="1">
                  <c:v>2019</c:v>
                </c:pt>
              </c:numCache>
            </c:numRef>
          </c:cat>
          <c:val>
            <c:numRef>
              <c:f>Sheet1!$B$2:$C$2</c:f>
              <c:numCache>
                <c:formatCode>General</c:formatCode>
                <c:ptCount val="2"/>
                <c:pt idx="0">
                  <c:v>1628.79</c:v>
                </c:pt>
                <c:pt idx="1">
                  <c:v>1753.06</c:v>
                </c:pt>
              </c:numCache>
            </c:numRef>
          </c:val>
        </c:ser>
        <c:ser>
          <c:idx val="0"/>
          <c:order val="1"/>
          <c:tx>
            <c:strRef>
              <c:f>Sheet1!$A$3</c:f>
              <c:strCache>
                <c:ptCount val="1"/>
                <c:pt idx="0">
                  <c:v>支出</c:v>
                </c:pt>
              </c:strCache>
            </c:strRef>
          </c:tx>
          <c:spPr>
            <a:solidFill>
              <a:srgbClr val="9999FF"/>
            </a:solidFill>
            <a:ln w="15081">
              <a:solidFill>
                <a:srgbClr val="000000"/>
              </a:solidFill>
              <a:prstDash val="solid"/>
            </a:ln>
          </c:spPr>
          <c:invertIfNegative val="0"/>
          <c:dLbls>
            <c:delete val="1"/>
          </c:dLbls>
          <c:cat>
            <c:numRef>
              <c:f>Sheet1!$B$1:$C$1</c:f>
              <c:numCache>
                <c:formatCode>General</c:formatCode>
                <c:ptCount val="2"/>
                <c:pt idx="0">
                  <c:v>2020</c:v>
                </c:pt>
                <c:pt idx="1">
                  <c:v>2019</c:v>
                </c:pt>
              </c:numCache>
            </c:numRef>
          </c:cat>
          <c:val>
            <c:numRef>
              <c:f>Sheet1!$B$3:$C$3</c:f>
              <c:numCache>
                <c:formatCode>General</c:formatCode>
                <c:ptCount val="2"/>
                <c:pt idx="0">
                  <c:v>1628.79</c:v>
                </c:pt>
                <c:pt idx="1">
                  <c:v>1753.06</c:v>
                </c:pt>
              </c:numCache>
            </c:numRef>
          </c:val>
        </c:ser>
        <c:ser>
          <c:idx val="2"/>
          <c:order val="2"/>
          <c:tx>
            <c:strRef>
              <c:f>Sheet1!$A$4</c:f>
              <c:strCache>
                <c:ptCount val="1"/>
                <c:pt idx="0">
                  <c:v/>
                </c:pt>
              </c:strCache>
            </c:strRef>
          </c:tx>
          <c:spPr>
            <a:solidFill>
              <a:srgbClr val="FFFFCC"/>
            </a:solidFill>
            <a:ln w="15081">
              <a:solidFill>
                <a:srgbClr val="000000"/>
              </a:solidFill>
              <a:prstDash val="solid"/>
            </a:ln>
          </c:spPr>
          <c:invertIfNegative val="0"/>
          <c:dLbls>
            <c:delete val="1"/>
          </c:dLbls>
          <c:cat>
            <c:numRef>
              <c:f>Sheet1!$B$1:$C$1</c:f>
              <c:numCache>
                <c:formatCode>General</c:formatCode>
                <c:ptCount val="2"/>
                <c:pt idx="0">
                  <c:v>2020</c:v>
                </c:pt>
                <c:pt idx="1">
                  <c:v>2019</c:v>
                </c:pt>
              </c:numCache>
            </c:numRef>
          </c:cat>
          <c:val>
            <c:numRef>
              <c:f>Sheet1!$B$4:$C$4</c:f>
              <c:numCache>
                <c:formatCode>General</c:formatCode>
                <c:ptCount val="2"/>
              </c:numCache>
            </c:numRef>
          </c:val>
        </c:ser>
        <c:dLbls>
          <c:showLegendKey val="0"/>
          <c:showVal val="0"/>
          <c:showCatName val="0"/>
          <c:showSerName val="0"/>
          <c:showPercent val="0"/>
          <c:showBubbleSize val="0"/>
        </c:dLbls>
        <c:gapWidth val="150"/>
        <c:axId val="86072704"/>
        <c:axId val="86078592"/>
      </c:barChart>
      <c:catAx>
        <c:axId val="86072704"/>
        <c:scaling>
          <c:orientation val="minMax"/>
        </c:scaling>
        <c:delete val="0"/>
        <c:axPos val="b"/>
        <c:numFmt formatCode="General" sourceLinked="1"/>
        <c:majorTickMark val="in"/>
        <c:minorTickMark val="none"/>
        <c:tickLblPos val="low"/>
        <c:spPr>
          <a:ln w="3770" cap="flat" cmpd="sng" algn="ctr">
            <a:solidFill>
              <a:srgbClr val="000000"/>
            </a:solidFill>
            <a:prstDash val="solid"/>
            <a:round/>
          </a:ln>
        </c:spPr>
        <c:txPr>
          <a:bodyPr rot="0" spcFirstLastPara="0" vertOverflow="ellipsis" vert="horz" wrap="square" anchor="ctr" anchorCtr="1"/>
          <a:lstStyle/>
          <a:p>
            <a:pPr>
              <a:defRPr lang="zh-CN" sz="107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86078592"/>
        <c:crosses val="autoZero"/>
        <c:auto val="1"/>
        <c:lblAlgn val="ctr"/>
        <c:lblOffset val="100"/>
        <c:tickLblSkip val="1"/>
        <c:noMultiLvlLbl val="0"/>
      </c:catAx>
      <c:valAx>
        <c:axId val="86078592"/>
        <c:scaling>
          <c:orientation val="minMax"/>
        </c:scaling>
        <c:delete val="0"/>
        <c:axPos val="l"/>
        <c:majorGridlines>
          <c:spPr>
            <a:ln w="3770" cap="flat" cmpd="sng" algn="ctr">
              <a:solidFill>
                <a:srgbClr val="000000"/>
              </a:solidFill>
              <a:prstDash val="solid"/>
              <a:round/>
            </a:ln>
          </c:spPr>
        </c:majorGridlines>
        <c:numFmt formatCode="General" sourceLinked="1"/>
        <c:majorTickMark val="in"/>
        <c:minorTickMark val="none"/>
        <c:tickLblPos val="nextTo"/>
        <c:spPr>
          <a:ln w="3770" cap="flat" cmpd="sng" algn="ctr">
            <a:solidFill>
              <a:srgbClr val="000000"/>
            </a:solidFill>
            <a:prstDash val="solid"/>
            <a:round/>
          </a:ln>
        </c:spPr>
        <c:txPr>
          <a:bodyPr rot="0" spcFirstLastPara="0" vertOverflow="ellipsis" vert="horz" wrap="square" anchor="ctr" anchorCtr="1"/>
          <a:lstStyle/>
          <a:p>
            <a:pPr>
              <a:defRPr lang="zh-CN" sz="107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86072704"/>
        <c:crosses val="autoZero"/>
        <c:crossBetween val="between"/>
      </c:valAx>
      <c:spPr>
        <a:solidFill>
          <a:srgbClr val="C0C0C0"/>
        </a:solidFill>
        <a:ln w="12700">
          <a:solidFill>
            <a:srgbClr val="808080"/>
          </a:solidFill>
          <a:prstDash val="solid"/>
        </a:ln>
        <a:effectLst/>
      </c:spPr>
    </c:plotArea>
    <c:legend>
      <c:legendPos val="r"/>
      <c:layout>
        <c:manualLayout>
          <c:xMode val="edge"/>
          <c:yMode val="edge"/>
          <c:x val="0.815642123681908"/>
          <c:y val="0.36299074457798"/>
          <c:w val="0.158273381294965"/>
          <c:h val="0.285714285714287"/>
        </c:manualLayout>
      </c:layout>
      <c:overlay val="0"/>
      <c:spPr>
        <a:noFill/>
        <a:ln w="3770">
          <a:solidFill>
            <a:srgbClr val="000000"/>
          </a:solidFill>
          <a:prstDash val="solid"/>
        </a:ln>
      </c:spPr>
      <c:txPr>
        <a:bodyPr rot="0" spcFirstLastPara="0" vertOverflow="ellipsis" vert="horz" wrap="square" anchor="ctr" anchorCtr="1"/>
        <a:lstStyle/>
        <a:p>
          <a:pPr>
            <a:defRPr lang="zh-CN" sz="98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extLst>
      <c:ext uri="{0b15fc19-7d7d-44ad-8c2d-2c3a37ce22c3}">
        <chartProps xmlns="https://web.wps.cn/et/2018/main" chartId="{0f2055c4-1ae2-4f20-8ce5-aee562df3d1b}"/>
      </c:ext>
    </c:extLst>
  </c:chart>
  <c:spPr>
    <a:noFill/>
    <a:ln w="9525" cap="flat" cmpd="sng" algn="ctr">
      <a:noFill/>
      <a:prstDash val="solid"/>
      <a:round/>
    </a:ln>
  </c:spPr>
  <c:txPr>
    <a:bodyPr/>
    <a:lstStyle/>
    <a:p>
      <a:pPr>
        <a:defRPr lang="zh-CN" sz="107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57142857142857"/>
          <c:y val="0.114406779661017"/>
          <c:w val="0.52"/>
          <c:h val="0.771186440677965"/>
        </c:manualLayout>
      </c:layout>
      <c:pieChart>
        <c:varyColors val="1"/>
        <c:ser>
          <c:idx val="0"/>
          <c:order val="0"/>
          <c:tx>
            <c:strRef>
              <c:f>Sheet1!$A$2</c:f>
              <c:strCache>
                <c:ptCount val="1"/>
                <c:pt idx="0">
                  <c:v>1578.38</c:v>
                </c:pt>
              </c:strCache>
            </c:strRef>
          </c:tx>
          <c:spPr>
            <a:solidFill>
              <a:srgbClr val="9999FF"/>
            </a:solidFill>
            <a:ln w="15057">
              <a:solidFill>
                <a:srgbClr val="000000"/>
              </a:solidFill>
              <a:prstDash val="solid"/>
            </a:ln>
          </c:spPr>
          <c:explosion val="0"/>
          <c:dPt>
            <c:idx val="0"/>
            <c:bubble3D val="0"/>
            <c:spPr>
              <a:solidFill>
                <a:srgbClr val="9999FF"/>
              </a:solidFill>
              <a:ln w="15057">
                <a:solidFill>
                  <a:srgbClr val="000000"/>
                </a:solidFill>
                <a:prstDash val="solid"/>
              </a:ln>
            </c:spPr>
          </c:dPt>
          <c:dPt>
            <c:idx val="1"/>
            <c:bubble3D val="0"/>
            <c:spPr>
              <a:solidFill>
                <a:srgbClr val="993366"/>
              </a:solidFill>
              <a:ln w="15057">
                <a:solidFill>
                  <a:srgbClr val="000000"/>
                </a:solidFill>
                <a:prstDash val="solid"/>
              </a:ln>
            </c:spPr>
          </c:dPt>
          <c:dPt>
            <c:idx val="2"/>
            <c:bubble3D val="0"/>
            <c:spPr>
              <a:solidFill>
                <a:srgbClr val="FFFFCC"/>
              </a:solidFill>
              <a:ln w="15057">
                <a:solidFill>
                  <a:srgbClr val="000000"/>
                </a:solidFill>
                <a:prstDash val="solid"/>
              </a:ln>
            </c:spPr>
          </c:dPt>
          <c:dPt>
            <c:idx val="3"/>
            <c:bubble3D val="0"/>
            <c:spPr>
              <a:solidFill>
                <a:srgbClr val="CCFFFF"/>
              </a:solidFill>
              <a:ln w="15057">
                <a:solidFill>
                  <a:srgbClr val="000000"/>
                </a:solidFill>
                <a:prstDash val="solid"/>
              </a:ln>
            </c:spPr>
          </c:dPt>
          <c:dLbls>
            <c:delete val="1"/>
          </c:dLbls>
          <c:cat>
            <c:strRef>
              <c:f>Sheet1!$B$1:$E$1</c:f>
              <c:strCache>
                <c:ptCount val="3"/>
                <c:pt idx="0">
                  <c:v>一般公共预算财政拨款收入</c:v>
                </c:pt>
                <c:pt idx="1">
                  <c:v>政府性基金预算拨款</c:v>
                </c:pt>
                <c:pt idx="2">
                  <c:v>其他收入</c:v>
                </c:pt>
              </c:strCache>
            </c:strRef>
          </c:cat>
          <c:val>
            <c:numRef>
              <c:f>Sheet1!$B$2:$E$2</c:f>
              <c:numCache>
                <c:formatCode>General</c:formatCode>
                <c:ptCount val="4"/>
                <c:pt idx="0">
                  <c:v>1577.42</c:v>
                </c:pt>
                <c:pt idx="1">
                  <c:v>0</c:v>
                </c:pt>
                <c:pt idx="2">
                  <c:v>0.96</c:v>
                </c:pt>
              </c:numCache>
            </c:numRef>
          </c:val>
        </c:ser>
        <c:ser>
          <c:idx val="1"/>
          <c:order val="1"/>
          <c:tx>
            <c:strRef>
              <c:f>Sheet1!$A$8</c:f>
              <c:strCache>
                <c:ptCount val="1"/>
                <c:pt idx="0">
                  <c:v/>
                </c:pt>
              </c:strCache>
            </c:strRef>
          </c:tx>
          <c:spPr>
            <a:solidFill>
              <a:srgbClr val="993366"/>
            </a:solidFill>
            <a:ln w="15057">
              <a:solidFill>
                <a:srgbClr val="000000"/>
              </a:solidFill>
              <a:prstDash val="solid"/>
            </a:ln>
          </c:spPr>
          <c:explosion val="0"/>
          <c:dPt>
            <c:idx val="0"/>
            <c:bubble3D val="0"/>
            <c:spPr>
              <a:solidFill>
                <a:srgbClr val="9999FF"/>
              </a:solidFill>
              <a:ln w="15057">
                <a:solidFill>
                  <a:srgbClr val="000000"/>
                </a:solidFill>
                <a:prstDash val="solid"/>
              </a:ln>
            </c:spPr>
          </c:dPt>
          <c:dPt>
            <c:idx val="1"/>
            <c:bubble3D val="0"/>
            <c:spPr>
              <a:solidFill>
                <a:srgbClr val="993366"/>
              </a:solidFill>
              <a:ln w="15057">
                <a:solidFill>
                  <a:srgbClr val="000000"/>
                </a:solidFill>
                <a:prstDash val="solid"/>
              </a:ln>
            </c:spPr>
          </c:dPt>
          <c:dPt>
            <c:idx val="2"/>
            <c:bubble3D val="0"/>
            <c:spPr>
              <a:solidFill>
                <a:srgbClr val="FFFFCC"/>
              </a:solidFill>
              <a:ln w="15057">
                <a:solidFill>
                  <a:srgbClr val="000000"/>
                </a:solidFill>
                <a:prstDash val="solid"/>
              </a:ln>
            </c:spPr>
          </c:dPt>
          <c:dPt>
            <c:idx val="3"/>
            <c:bubble3D val="0"/>
            <c:spPr>
              <a:solidFill>
                <a:srgbClr val="CCFFFF"/>
              </a:solidFill>
              <a:ln w="15057">
                <a:solidFill>
                  <a:srgbClr val="000000"/>
                </a:solidFill>
                <a:prstDash val="solid"/>
              </a:ln>
            </c:spPr>
          </c:dPt>
          <c:dLbls>
            <c:delete val="1"/>
          </c:dLbls>
          <c:cat>
            <c:strRef>
              <c:f>Sheet1!$B$1:$E$1</c:f>
              <c:strCache>
                <c:ptCount val="3"/>
                <c:pt idx="0">
                  <c:v>一般公共预算财政拨款收入</c:v>
                </c:pt>
                <c:pt idx="1">
                  <c:v>政府性基金预算拨款</c:v>
                </c:pt>
                <c:pt idx="2">
                  <c:v>其他收入</c:v>
                </c:pt>
              </c:strCache>
            </c:strRef>
          </c:cat>
          <c:val>
            <c:numRef>
              <c:f>Sheet1!$B$8:$E$8</c:f>
              <c:numCache>
                <c:formatCode>General</c:formatCode>
                <c:ptCount val="4"/>
              </c:numCache>
            </c:numRef>
          </c:val>
        </c:ser>
        <c:dLbls>
          <c:showLegendKey val="0"/>
          <c:showVal val="0"/>
          <c:showCatName val="0"/>
          <c:showSerName val="0"/>
          <c:showPercent val="0"/>
          <c:showBubbleSize val="0"/>
          <c:showLeaderLines val="1"/>
        </c:dLbls>
        <c:firstSliceAng val="0"/>
      </c:pieChart>
      <c:spPr>
        <a:solidFill>
          <a:srgbClr val="C0C0C0"/>
        </a:solidFill>
        <a:ln w="15057">
          <a:solidFill>
            <a:srgbClr val="808080"/>
          </a:solidFill>
          <a:prstDash val="solid"/>
        </a:ln>
      </c:spPr>
    </c:plotArea>
    <c:legend>
      <c:legendPos val="r"/>
      <c:layout>
        <c:manualLayout>
          <c:xMode val="edge"/>
          <c:yMode val="edge"/>
          <c:x val="0.654285714285718"/>
          <c:y val="0.254237288135592"/>
          <c:w val="0.334285714285716"/>
          <c:h val="0.49576271186441"/>
        </c:manualLayout>
      </c:layout>
      <c:overlay val="0"/>
      <c:spPr>
        <a:noFill/>
        <a:ln w="3764">
          <a:solidFill>
            <a:srgbClr val="000000"/>
          </a:solidFill>
          <a:prstDash val="solid"/>
        </a:ln>
      </c:spPr>
      <c:txPr>
        <a:bodyPr rot="0" spcFirstLastPara="0" vertOverflow="ellipsis" vert="horz" wrap="square" anchor="ctr" anchorCtr="1"/>
        <a:lstStyle/>
        <a:p>
          <a:pPr>
            <a:defRPr lang="zh-CN" sz="87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f60a87c1-c0e3-4feb-94a1-89b0e21055e4}"/>
      </c:ext>
    </c:extLst>
  </c:chart>
  <c:spPr>
    <a:noFill/>
    <a:ln w="9525" cap="flat" cmpd="sng" algn="ctr">
      <a:noFill/>
      <a:prstDash val="solid"/>
      <a:round/>
    </a:ln>
  </c:spPr>
  <c:txPr>
    <a:bodyPr/>
    <a:lstStyle/>
    <a:p>
      <a:pPr>
        <a:defRPr lang="zh-CN" sz="133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428571428571"/>
          <c:y val="0.0974576271186441"/>
          <c:w val="0.542857142857143"/>
          <c:h val="0.805084745762707"/>
        </c:manualLayout>
      </c:layout>
      <c:pieChart>
        <c:varyColors val="1"/>
        <c:ser>
          <c:idx val="0"/>
          <c:order val="0"/>
          <c:tx>
            <c:strRef>
              <c:f>Sheet1!$A$2</c:f>
              <c:strCache>
                <c:ptCount val="1"/>
                <c:pt idx="0">
                  <c:v>1614.66</c:v>
                </c:pt>
              </c:strCache>
            </c:strRef>
          </c:tx>
          <c:spPr>
            <a:solidFill>
              <a:srgbClr val="9999FF"/>
            </a:solidFill>
            <a:ln w="15057">
              <a:solidFill>
                <a:srgbClr val="000000"/>
              </a:solidFill>
              <a:prstDash val="solid"/>
            </a:ln>
          </c:spPr>
          <c:explosion val="0"/>
          <c:dPt>
            <c:idx val="0"/>
            <c:bubble3D val="0"/>
            <c:spPr>
              <a:solidFill>
                <a:srgbClr val="9999FF"/>
              </a:solidFill>
              <a:ln w="15057">
                <a:solidFill>
                  <a:srgbClr val="000000"/>
                </a:solidFill>
                <a:prstDash val="solid"/>
              </a:ln>
            </c:spPr>
          </c:dPt>
          <c:dPt>
            <c:idx val="1"/>
            <c:bubble3D val="0"/>
            <c:spPr>
              <a:solidFill>
                <a:srgbClr val="993366"/>
              </a:solidFill>
              <a:ln w="15057">
                <a:solidFill>
                  <a:srgbClr val="000000"/>
                </a:solidFill>
                <a:prstDash val="solid"/>
              </a:ln>
            </c:spPr>
          </c:dPt>
          <c:dPt>
            <c:idx val="2"/>
            <c:bubble3D val="0"/>
            <c:spPr>
              <a:solidFill>
                <a:srgbClr val="FFFFCC"/>
              </a:solidFill>
              <a:ln w="15057">
                <a:solidFill>
                  <a:srgbClr val="000000"/>
                </a:solidFill>
                <a:prstDash val="solid"/>
              </a:ln>
            </c:spPr>
          </c:dPt>
          <c:dLbls>
            <c:delete val="1"/>
          </c:dLbls>
          <c:cat>
            <c:strRef>
              <c:f>Sheet1!$B$1:$D$1</c:f>
              <c:strCache>
                <c:ptCount val="2"/>
                <c:pt idx="0">
                  <c:v>基本支出</c:v>
                </c:pt>
                <c:pt idx="1">
                  <c:v>项目支出</c:v>
                </c:pt>
              </c:strCache>
            </c:strRef>
          </c:cat>
          <c:val>
            <c:numRef>
              <c:f>Sheet1!$B$2:$D$2</c:f>
              <c:numCache>
                <c:formatCode>General</c:formatCode>
                <c:ptCount val="3"/>
                <c:pt idx="0">
                  <c:v>931.72</c:v>
                </c:pt>
                <c:pt idx="1">
                  <c:v>682.94</c:v>
                </c:pt>
              </c:numCache>
            </c:numRef>
          </c:val>
        </c:ser>
        <c:ser>
          <c:idx val="1"/>
          <c:order val="1"/>
          <c:tx>
            <c:strRef>
              <c:f>Sheet1!$A$8</c:f>
              <c:strCache>
                <c:ptCount val="1"/>
                <c:pt idx="0">
                  <c:v/>
                </c:pt>
              </c:strCache>
            </c:strRef>
          </c:tx>
          <c:spPr>
            <a:solidFill>
              <a:srgbClr val="993366"/>
            </a:solidFill>
            <a:ln w="15057">
              <a:solidFill>
                <a:srgbClr val="000000"/>
              </a:solidFill>
              <a:prstDash val="solid"/>
            </a:ln>
          </c:spPr>
          <c:explosion val="0"/>
          <c:dPt>
            <c:idx val="0"/>
            <c:bubble3D val="0"/>
            <c:spPr>
              <a:solidFill>
                <a:srgbClr val="9999FF"/>
              </a:solidFill>
              <a:ln w="15057">
                <a:solidFill>
                  <a:srgbClr val="000000"/>
                </a:solidFill>
                <a:prstDash val="solid"/>
              </a:ln>
            </c:spPr>
          </c:dPt>
          <c:dPt>
            <c:idx val="1"/>
            <c:bubble3D val="0"/>
            <c:spPr>
              <a:solidFill>
                <a:srgbClr val="993366"/>
              </a:solidFill>
              <a:ln w="15057">
                <a:solidFill>
                  <a:srgbClr val="000000"/>
                </a:solidFill>
                <a:prstDash val="solid"/>
              </a:ln>
            </c:spPr>
          </c:dPt>
          <c:dPt>
            <c:idx val="2"/>
            <c:bubble3D val="0"/>
            <c:spPr>
              <a:solidFill>
                <a:srgbClr val="FFFFCC"/>
              </a:solidFill>
              <a:ln w="15057">
                <a:solidFill>
                  <a:srgbClr val="000000"/>
                </a:solidFill>
                <a:prstDash val="solid"/>
              </a:ln>
            </c:spPr>
          </c:dPt>
          <c:dLbls>
            <c:delete val="1"/>
          </c:dLbls>
          <c:cat>
            <c:strRef>
              <c:f>Sheet1!$B$1:$D$1</c:f>
              <c:strCache>
                <c:ptCount val="2"/>
                <c:pt idx="0">
                  <c:v>基本支出</c:v>
                </c:pt>
                <c:pt idx="1">
                  <c:v>项目支出</c:v>
                </c:pt>
              </c:strCache>
            </c:strRef>
          </c:cat>
          <c:val>
            <c:numRef>
              <c:f>Sheet1!$B$8:$D$8</c:f>
              <c:numCache>
                <c:formatCode>General</c:formatCode>
                <c:ptCount val="3"/>
              </c:numCache>
            </c:numRef>
          </c:val>
        </c:ser>
        <c:dLbls>
          <c:showLegendKey val="0"/>
          <c:showVal val="0"/>
          <c:showCatName val="0"/>
          <c:showSerName val="0"/>
          <c:showPercent val="0"/>
          <c:showBubbleSize val="0"/>
          <c:showLeaderLines val="1"/>
        </c:dLbls>
        <c:firstSliceAng val="0"/>
      </c:pieChart>
      <c:spPr>
        <a:solidFill>
          <a:srgbClr val="C0C0C0"/>
        </a:solidFill>
        <a:ln w="15057">
          <a:solidFill>
            <a:srgbClr val="808080"/>
          </a:solidFill>
          <a:prstDash val="solid"/>
        </a:ln>
      </c:spPr>
    </c:plotArea>
    <c:legend>
      <c:legendPos val="r"/>
      <c:layout>
        <c:manualLayout>
          <c:xMode val="edge"/>
          <c:yMode val="edge"/>
          <c:x val="0.811428571428575"/>
          <c:y val="0.398305084745766"/>
          <c:w val="0.177142857142857"/>
          <c:h val="0.207627118644068"/>
        </c:manualLayout>
      </c:layout>
      <c:overlay val="0"/>
      <c:spPr>
        <a:noFill/>
        <a:ln w="3764">
          <a:solidFill>
            <a:srgbClr val="000000"/>
          </a:solidFill>
          <a:prstDash val="solid"/>
        </a:ln>
      </c:spPr>
      <c:txPr>
        <a:bodyPr rot="0" spcFirstLastPara="0" vertOverflow="ellipsis" vert="horz" wrap="square" anchor="ctr" anchorCtr="1"/>
        <a:lstStyle/>
        <a:p>
          <a:pPr>
            <a:defRPr lang="zh-CN" sz="87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f27df33e-2120-43de-a733-9c38ded899ea}"/>
      </c:ext>
    </c:extLst>
  </c:chart>
  <c:spPr>
    <a:noFill/>
    <a:ln w="9525" cap="flat" cmpd="sng" algn="ctr">
      <a:noFill/>
      <a:prstDash val="solid"/>
      <a:round/>
    </a:ln>
  </c:spPr>
  <c:txPr>
    <a:bodyPr/>
    <a:lstStyle/>
    <a:p>
      <a:pPr>
        <a:defRPr lang="zh-CN" sz="133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805356344506"/>
          <c:y val="0.142672431087318"/>
          <c:w val="0.496007055235389"/>
          <c:h val="0.698570730278351"/>
        </c:manualLayout>
      </c:layout>
      <c:barChart>
        <c:barDir val="col"/>
        <c:grouping val="clustered"/>
        <c:varyColors val="0"/>
        <c:ser>
          <c:idx val="1"/>
          <c:order val="0"/>
          <c:tx>
            <c:strRef>
              <c:f>Sheet1!$A$2</c:f>
              <c:strCache>
                <c:ptCount val="1"/>
                <c:pt idx="0">
                  <c:v>收入</c:v>
                </c:pt>
              </c:strCache>
            </c:strRef>
          </c:tx>
          <c:spPr>
            <a:solidFill>
              <a:srgbClr val="993366"/>
            </a:solidFill>
            <a:ln w="15081">
              <a:solidFill>
                <a:srgbClr val="000000"/>
              </a:solidFill>
              <a:prstDash val="solid"/>
            </a:ln>
          </c:spPr>
          <c:invertIfNegative val="0"/>
          <c:dLbls>
            <c:delete val="1"/>
          </c:dLbls>
          <c:cat>
            <c:numRef>
              <c:f>Sheet1!$B$1:$C$1</c:f>
              <c:numCache>
                <c:formatCode>General</c:formatCode>
                <c:ptCount val="2"/>
                <c:pt idx="0">
                  <c:v>2020</c:v>
                </c:pt>
                <c:pt idx="1">
                  <c:v>2019</c:v>
                </c:pt>
              </c:numCache>
            </c:numRef>
          </c:cat>
          <c:val>
            <c:numRef>
              <c:f>Sheet1!$B$2:$C$2</c:f>
              <c:numCache>
                <c:formatCode>General</c:formatCode>
                <c:ptCount val="2"/>
                <c:pt idx="0">
                  <c:v>1626.66</c:v>
                </c:pt>
                <c:pt idx="1">
                  <c:v>1751.89</c:v>
                </c:pt>
              </c:numCache>
            </c:numRef>
          </c:val>
        </c:ser>
        <c:ser>
          <c:idx val="0"/>
          <c:order val="1"/>
          <c:tx>
            <c:strRef>
              <c:f>Sheet1!$A$3</c:f>
              <c:strCache>
                <c:ptCount val="1"/>
                <c:pt idx="0">
                  <c:v>支出</c:v>
                </c:pt>
              </c:strCache>
            </c:strRef>
          </c:tx>
          <c:spPr>
            <a:solidFill>
              <a:srgbClr val="9999FF"/>
            </a:solidFill>
            <a:ln w="15081">
              <a:solidFill>
                <a:srgbClr val="000000"/>
              </a:solidFill>
              <a:prstDash val="solid"/>
            </a:ln>
          </c:spPr>
          <c:invertIfNegative val="0"/>
          <c:dLbls>
            <c:delete val="1"/>
          </c:dLbls>
          <c:cat>
            <c:numRef>
              <c:f>Sheet1!$B$1:$C$1</c:f>
              <c:numCache>
                <c:formatCode>General</c:formatCode>
                <c:ptCount val="2"/>
                <c:pt idx="0">
                  <c:v>2020</c:v>
                </c:pt>
                <c:pt idx="1">
                  <c:v>2019</c:v>
                </c:pt>
              </c:numCache>
            </c:numRef>
          </c:cat>
          <c:val>
            <c:numRef>
              <c:f>Sheet1!$B$3:$C$3</c:f>
              <c:numCache>
                <c:formatCode>General</c:formatCode>
                <c:ptCount val="2"/>
                <c:pt idx="0">
                  <c:v>1626.66</c:v>
                </c:pt>
                <c:pt idx="1">
                  <c:v>1751.89</c:v>
                </c:pt>
              </c:numCache>
            </c:numRef>
          </c:val>
        </c:ser>
        <c:ser>
          <c:idx val="2"/>
          <c:order val="2"/>
          <c:tx>
            <c:strRef>
              <c:f>Sheet1!$A$4</c:f>
              <c:strCache>
                <c:ptCount val="1"/>
                <c:pt idx="0">
                  <c:v/>
                </c:pt>
              </c:strCache>
            </c:strRef>
          </c:tx>
          <c:spPr>
            <a:solidFill>
              <a:srgbClr val="FFFFCC"/>
            </a:solidFill>
            <a:ln w="15081">
              <a:solidFill>
                <a:srgbClr val="000000"/>
              </a:solidFill>
              <a:prstDash val="solid"/>
            </a:ln>
          </c:spPr>
          <c:invertIfNegative val="0"/>
          <c:dLbls>
            <c:delete val="1"/>
          </c:dLbls>
          <c:cat>
            <c:numRef>
              <c:f>Sheet1!$B$1:$C$1</c:f>
              <c:numCache>
                <c:formatCode>General</c:formatCode>
                <c:ptCount val="2"/>
                <c:pt idx="0">
                  <c:v>2020</c:v>
                </c:pt>
                <c:pt idx="1">
                  <c:v>2019</c:v>
                </c:pt>
              </c:numCache>
            </c:numRef>
          </c:cat>
          <c:val>
            <c:numRef>
              <c:f>Sheet1!$B$4:$C$4</c:f>
              <c:numCache>
                <c:formatCode>General</c:formatCode>
                <c:ptCount val="2"/>
              </c:numCache>
            </c:numRef>
          </c:val>
        </c:ser>
        <c:dLbls>
          <c:showLegendKey val="0"/>
          <c:showVal val="0"/>
          <c:showCatName val="0"/>
          <c:showSerName val="0"/>
          <c:showPercent val="0"/>
          <c:showBubbleSize val="0"/>
        </c:dLbls>
        <c:gapWidth val="150"/>
        <c:axId val="86921984"/>
        <c:axId val="86923520"/>
      </c:barChart>
      <c:catAx>
        <c:axId val="86921984"/>
        <c:scaling>
          <c:orientation val="minMax"/>
        </c:scaling>
        <c:delete val="0"/>
        <c:axPos val="b"/>
        <c:numFmt formatCode="General" sourceLinked="1"/>
        <c:majorTickMark val="in"/>
        <c:minorTickMark val="none"/>
        <c:tickLblPos val="low"/>
        <c:spPr>
          <a:ln w="3770" cap="flat" cmpd="sng" algn="ctr">
            <a:solidFill>
              <a:srgbClr val="000000"/>
            </a:solidFill>
            <a:prstDash val="solid"/>
            <a:round/>
          </a:ln>
        </c:spPr>
        <c:txPr>
          <a:bodyPr rot="0" spcFirstLastPara="0" vertOverflow="ellipsis" vert="horz" wrap="square" anchor="ctr" anchorCtr="1"/>
          <a:lstStyle/>
          <a:p>
            <a:pPr>
              <a:defRPr lang="zh-CN" sz="107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86923520"/>
        <c:crosses val="autoZero"/>
        <c:auto val="1"/>
        <c:lblAlgn val="ctr"/>
        <c:lblOffset val="100"/>
        <c:tickLblSkip val="1"/>
        <c:noMultiLvlLbl val="0"/>
      </c:catAx>
      <c:valAx>
        <c:axId val="86923520"/>
        <c:scaling>
          <c:orientation val="minMax"/>
        </c:scaling>
        <c:delete val="0"/>
        <c:axPos val="l"/>
        <c:majorGridlines>
          <c:spPr>
            <a:ln w="3770" cap="flat" cmpd="sng" algn="ctr">
              <a:solidFill>
                <a:srgbClr val="000000"/>
              </a:solidFill>
              <a:prstDash val="solid"/>
              <a:round/>
            </a:ln>
          </c:spPr>
        </c:majorGridlines>
        <c:numFmt formatCode="General" sourceLinked="1"/>
        <c:majorTickMark val="in"/>
        <c:minorTickMark val="none"/>
        <c:tickLblPos val="nextTo"/>
        <c:spPr>
          <a:ln w="3770" cap="flat" cmpd="sng" algn="ctr">
            <a:solidFill>
              <a:srgbClr val="000000"/>
            </a:solidFill>
            <a:prstDash val="solid"/>
            <a:round/>
          </a:ln>
        </c:spPr>
        <c:txPr>
          <a:bodyPr rot="0" spcFirstLastPara="0" vertOverflow="ellipsis" vert="horz" wrap="square" anchor="ctr" anchorCtr="1"/>
          <a:lstStyle/>
          <a:p>
            <a:pPr>
              <a:defRPr lang="zh-CN" sz="107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86921984"/>
        <c:crosses val="autoZero"/>
        <c:crossBetween val="between"/>
      </c:valAx>
      <c:spPr>
        <a:solidFill>
          <a:srgbClr val="C0C0C0"/>
        </a:solidFill>
        <a:ln w="12700">
          <a:solidFill>
            <a:srgbClr val="808080"/>
          </a:solidFill>
          <a:prstDash val="solid"/>
        </a:ln>
        <a:effectLst/>
      </c:spPr>
    </c:plotArea>
    <c:legend>
      <c:legendPos val="r"/>
      <c:layout>
        <c:manualLayout>
          <c:xMode val="edge"/>
          <c:yMode val="edge"/>
          <c:x val="0.65000177605752"/>
          <c:y val="0.35714285714286"/>
          <c:w val="0.111605984701408"/>
          <c:h val="0.285714285714287"/>
        </c:manualLayout>
      </c:layout>
      <c:overlay val="0"/>
      <c:spPr>
        <a:noFill/>
        <a:ln w="3770">
          <a:solidFill>
            <a:srgbClr val="000000"/>
          </a:solidFill>
          <a:prstDash val="solid"/>
        </a:ln>
      </c:spPr>
      <c:txPr>
        <a:bodyPr rot="0" spcFirstLastPara="0" vertOverflow="ellipsis" vert="horz" wrap="square" anchor="ctr" anchorCtr="1"/>
        <a:lstStyle/>
        <a:p>
          <a:pPr>
            <a:defRPr lang="zh-CN" sz="98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extLst>
      <c:ext uri="{0b15fc19-7d7d-44ad-8c2d-2c3a37ce22c3}">
        <chartProps xmlns="https://web.wps.cn/et/2018/main" chartId="{b861b637-b9de-477c-8305-09ab96d37f22}"/>
      </c:ext>
    </c:extLst>
  </c:chart>
  <c:spPr>
    <a:noFill/>
    <a:ln w="9525" cap="flat" cmpd="sng" algn="ctr">
      <a:noFill/>
      <a:prstDash val="solid"/>
      <a:round/>
    </a:ln>
  </c:spPr>
  <c:txPr>
    <a:bodyPr/>
    <a:lstStyle/>
    <a:p>
      <a:pPr>
        <a:defRPr lang="zh-CN" sz="107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093525179856"/>
          <c:y val="0.0604395604395605"/>
          <c:w val="0.48201438848921"/>
          <c:h val="0.763736263736264"/>
        </c:manualLayout>
      </c:layout>
      <c:barChart>
        <c:barDir val="col"/>
        <c:grouping val="clustered"/>
        <c:varyColors val="0"/>
        <c:ser>
          <c:idx val="0"/>
          <c:order val="0"/>
          <c:tx>
            <c:strRef>
              <c:f>Sheet1!$A$2</c:f>
              <c:strCache>
                <c:ptCount val="1"/>
                <c:pt idx="0">
                  <c:v>一般公共预算财政拨款支出</c:v>
                </c:pt>
              </c:strCache>
            </c:strRef>
          </c:tx>
          <c:spPr>
            <a:solidFill>
              <a:srgbClr val="9999FF"/>
            </a:solidFill>
            <a:ln w="15196">
              <a:solidFill>
                <a:srgbClr val="000000"/>
              </a:solidFill>
              <a:prstDash val="solid"/>
            </a:ln>
          </c:spPr>
          <c:invertIfNegative val="0"/>
          <c:dLbls>
            <c:delete val="1"/>
          </c:dLbls>
          <c:cat>
            <c:numRef>
              <c:f>Sheet1!$B$1:$C$1</c:f>
              <c:numCache>
                <c:formatCode>General</c:formatCode>
                <c:ptCount val="2"/>
                <c:pt idx="0">
                  <c:v>2020</c:v>
                </c:pt>
                <c:pt idx="1">
                  <c:v>2019</c:v>
                </c:pt>
              </c:numCache>
            </c:numRef>
          </c:cat>
          <c:val>
            <c:numRef>
              <c:f>Sheet1!$B$2:$C$2</c:f>
              <c:numCache>
                <c:formatCode>General</c:formatCode>
                <c:ptCount val="2"/>
                <c:pt idx="0">
                  <c:v>1614.66</c:v>
                </c:pt>
                <c:pt idx="1">
                  <c:v>1516.2</c:v>
                </c:pt>
              </c:numCache>
            </c:numRef>
          </c:val>
        </c:ser>
        <c:dLbls>
          <c:showLegendKey val="0"/>
          <c:showVal val="0"/>
          <c:showCatName val="0"/>
          <c:showSerName val="0"/>
          <c:showPercent val="0"/>
          <c:showBubbleSize val="0"/>
        </c:dLbls>
        <c:gapWidth val="150"/>
        <c:axId val="86955520"/>
        <c:axId val="86957056"/>
      </c:barChart>
      <c:catAx>
        <c:axId val="86955520"/>
        <c:scaling>
          <c:orientation val="minMax"/>
        </c:scaling>
        <c:delete val="0"/>
        <c:axPos val="b"/>
        <c:numFmt formatCode="General" sourceLinked="1"/>
        <c:majorTickMark val="in"/>
        <c:minorTickMark val="none"/>
        <c:tickLblPos val="low"/>
        <c:spPr>
          <a:ln w="3799" cap="flat" cmpd="sng" algn="ctr">
            <a:solidFill>
              <a:srgbClr val="000000"/>
            </a:solidFill>
            <a:prstDash val="solid"/>
            <a:round/>
          </a:ln>
        </c:spPr>
        <c:txPr>
          <a:bodyPr rot="0" spcFirstLastPara="0" vertOverflow="ellipsis" vert="horz" wrap="square" anchor="ctr" anchorCtr="1"/>
          <a:lstStyle/>
          <a:p>
            <a:pPr>
              <a:defRPr lang="zh-CN" sz="107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86957056"/>
        <c:crosses val="autoZero"/>
        <c:auto val="1"/>
        <c:lblAlgn val="ctr"/>
        <c:lblOffset val="100"/>
        <c:tickLblSkip val="1"/>
        <c:noMultiLvlLbl val="0"/>
      </c:catAx>
      <c:valAx>
        <c:axId val="86957056"/>
        <c:scaling>
          <c:orientation val="minMax"/>
        </c:scaling>
        <c:delete val="0"/>
        <c:axPos val="l"/>
        <c:majorGridlines>
          <c:spPr>
            <a:ln w="3799" cap="flat" cmpd="sng" algn="ctr">
              <a:solidFill>
                <a:srgbClr val="000000"/>
              </a:solidFill>
              <a:prstDash val="solid"/>
              <a:round/>
            </a:ln>
          </c:spPr>
        </c:majorGridlines>
        <c:numFmt formatCode="General" sourceLinked="1"/>
        <c:majorTickMark val="in"/>
        <c:minorTickMark val="none"/>
        <c:tickLblPos val="nextTo"/>
        <c:spPr>
          <a:ln w="3799" cap="flat" cmpd="sng" algn="ctr">
            <a:solidFill>
              <a:srgbClr val="000000"/>
            </a:solidFill>
            <a:prstDash val="solid"/>
            <a:round/>
          </a:ln>
        </c:spPr>
        <c:txPr>
          <a:bodyPr rot="0" spcFirstLastPara="0" vertOverflow="ellipsis" vert="horz" wrap="square" anchor="ctr" anchorCtr="1"/>
          <a:lstStyle/>
          <a:p>
            <a:pPr>
              <a:defRPr lang="zh-CN" sz="107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86955520"/>
        <c:crosses val="autoZero"/>
        <c:crossBetween val="between"/>
      </c:valAx>
      <c:spPr>
        <a:solidFill>
          <a:srgbClr val="C0C0C0"/>
        </a:solidFill>
        <a:ln w="12700">
          <a:solidFill>
            <a:srgbClr val="808080"/>
          </a:solidFill>
          <a:prstDash val="solid"/>
        </a:ln>
        <a:effectLst/>
      </c:spPr>
    </c:plotArea>
    <c:legend>
      <c:legendPos val="r"/>
      <c:layout>
        <c:manualLayout>
          <c:xMode val="edge"/>
          <c:yMode val="edge"/>
          <c:x val="0.654676258992809"/>
          <c:y val="0.412087912087913"/>
          <c:w val="0.330935251798561"/>
          <c:h val="0.175824175824176"/>
        </c:manualLayout>
      </c:layout>
      <c:overlay val="0"/>
      <c:spPr>
        <a:noFill/>
        <a:ln w="3799">
          <a:solidFill>
            <a:srgbClr val="000000"/>
          </a:solidFill>
          <a:prstDash val="solid"/>
        </a:ln>
      </c:spPr>
      <c:txPr>
        <a:bodyPr rot="0" spcFirstLastPara="0" vertOverflow="ellipsis" vert="horz" wrap="square" anchor="ctr" anchorCtr="1"/>
        <a:lstStyle/>
        <a:p>
          <a:pPr>
            <a:defRPr lang="zh-CN" sz="98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extLst>
      <c:ext uri="{0b15fc19-7d7d-44ad-8c2d-2c3a37ce22c3}">
        <chartProps xmlns="https://web.wps.cn/et/2018/main" chartId="{e433925e-23ec-4589-9a81-50552ec32d5b}"/>
      </c:ext>
    </c:extLst>
  </c:chart>
  <c:spPr>
    <a:noFill/>
    <a:ln w="9525" cap="flat" cmpd="sng" algn="ctr">
      <a:noFill/>
      <a:prstDash val="solid"/>
      <a:round/>
    </a:ln>
  </c:spPr>
  <c:txPr>
    <a:bodyPr/>
    <a:lstStyle/>
    <a:p>
      <a:pPr>
        <a:defRPr lang="zh-CN" sz="107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57142857142857"/>
          <c:y val="0.114406779661017"/>
          <c:w val="0.52"/>
          <c:h val="0.771186440677965"/>
        </c:manualLayout>
      </c:layout>
      <c:pieChart>
        <c:varyColors val="1"/>
        <c:ser>
          <c:idx val="0"/>
          <c:order val="0"/>
          <c:tx>
            <c:strRef>
              <c:f>Sheet1!$A$2</c:f>
              <c:strCache>
                <c:ptCount val="1"/>
                <c:pt idx="0">
                  <c:v>一般公共预算财政拨款支出</c:v>
                </c:pt>
              </c:strCache>
            </c:strRef>
          </c:tx>
          <c:spPr>
            <a:solidFill>
              <a:srgbClr val="9999FF"/>
            </a:solidFill>
            <a:ln w="12687">
              <a:solidFill>
                <a:srgbClr val="000000"/>
              </a:solidFill>
              <a:prstDash val="solid"/>
            </a:ln>
          </c:spPr>
          <c:explosion val="0"/>
          <c:dPt>
            <c:idx val="0"/>
            <c:bubble3D val="0"/>
            <c:spPr>
              <a:solidFill>
                <a:srgbClr val="9999FF"/>
              </a:solidFill>
              <a:ln w="12687">
                <a:solidFill>
                  <a:srgbClr val="000000"/>
                </a:solidFill>
                <a:prstDash val="solid"/>
              </a:ln>
            </c:spPr>
          </c:dPt>
          <c:dPt>
            <c:idx val="1"/>
            <c:bubble3D val="0"/>
            <c:spPr>
              <a:solidFill>
                <a:srgbClr val="993366"/>
              </a:solidFill>
              <a:ln w="12687">
                <a:solidFill>
                  <a:srgbClr val="000000"/>
                </a:solidFill>
                <a:prstDash val="solid"/>
              </a:ln>
            </c:spPr>
          </c:dPt>
          <c:dPt>
            <c:idx val="2"/>
            <c:bubble3D val="0"/>
            <c:spPr>
              <a:solidFill>
                <a:srgbClr val="FFFFCC"/>
              </a:solidFill>
              <a:ln w="12687">
                <a:solidFill>
                  <a:srgbClr val="000000"/>
                </a:solidFill>
                <a:prstDash val="solid"/>
              </a:ln>
            </c:spPr>
          </c:dPt>
          <c:dPt>
            <c:idx val="3"/>
            <c:bubble3D val="0"/>
            <c:spPr>
              <a:solidFill>
                <a:srgbClr val="CCFFFF"/>
              </a:solidFill>
              <a:ln w="12687">
                <a:solidFill>
                  <a:srgbClr val="000000"/>
                </a:solidFill>
                <a:prstDash val="solid"/>
              </a:ln>
            </c:spPr>
          </c:dPt>
          <c:dPt>
            <c:idx val="4"/>
            <c:bubble3D val="0"/>
            <c:spPr>
              <a:solidFill>
                <a:srgbClr val="660066"/>
              </a:solidFill>
              <a:ln w="12687">
                <a:solidFill>
                  <a:srgbClr val="000000"/>
                </a:solidFill>
                <a:prstDash val="solid"/>
              </a:ln>
            </c:spPr>
          </c:dPt>
          <c:dPt>
            <c:idx val="5"/>
            <c:bubble3D val="0"/>
            <c:spPr>
              <a:solidFill>
                <a:srgbClr val="FF8080"/>
              </a:solidFill>
              <a:ln w="12687">
                <a:solidFill>
                  <a:srgbClr val="000000"/>
                </a:solidFill>
                <a:prstDash val="solid"/>
              </a:ln>
            </c:spPr>
          </c:dPt>
          <c:dPt>
            <c:idx val="6"/>
            <c:bubble3D val="0"/>
            <c:spPr>
              <a:solidFill>
                <a:srgbClr val="0066CC"/>
              </a:solidFill>
              <a:ln w="12687">
                <a:solidFill>
                  <a:srgbClr val="000000"/>
                </a:solidFill>
                <a:prstDash val="solid"/>
              </a:ln>
            </c:spPr>
          </c:dPt>
          <c:dPt>
            <c:idx val="7"/>
            <c:bubble3D val="0"/>
            <c:spPr>
              <a:solidFill>
                <a:srgbClr val="CCCCFF"/>
              </a:solidFill>
              <a:ln w="12687">
                <a:solidFill>
                  <a:srgbClr val="000000"/>
                </a:solidFill>
                <a:prstDash val="solid"/>
              </a:ln>
            </c:spPr>
          </c:dPt>
          <c:dPt>
            <c:idx val="8"/>
            <c:bubble3D val="0"/>
            <c:spPr>
              <a:solidFill>
                <a:srgbClr val="000080"/>
              </a:solidFill>
              <a:ln w="12687">
                <a:solidFill>
                  <a:srgbClr val="000000"/>
                </a:solidFill>
                <a:prstDash val="solid"/>
              </a:ln>
            </c:spPr>
          </c:dPt>
          <c:dPt>
            <c:idx val="9"/>
            <c:bubble3D val="0"/>
            <c:spPr>
              <a:solidFill>
                <a:srgbClr val="FF00FF"/>
              </a:solidFill>
              <a:ln w="12687">
                <a:solidFill>
                  <a:srgbClr val="000000"/>
                </a:solidFill>
                <a:prstDash val="solid"/>
              </a:ln>
            </c:spPr>
          </c:dPt>
          <c:dPt>
            <c:idx val="10"/>
            <c:bubble3D val="0"/>
            <c:spPr>
              <a:solidFill>
                <a:srgbClr val="FFFF00"/>
              </a:solidFill>
              <a:ln w="12687">
                <a:solidFill>
                  <a:srgbClr val="000000"/>
                </a:solidFill>
                <a:prstDash val="solid"/>
              </a:ln>
            </c:spPr>
          </c:dPt>
          <c:dPt>
            <c:idx val="11"/>
            <c:bubble3D val="0"/>
            <c:spPr>
              <a:solidFill>
                <a:srgbClr val="00FFFF"/>
              </a:solidFill>
              <a:ln w="12687">
                <a:solidFill>
                  <a:srgbClr val="000000"/>
                </a:solidFill>
                <a:prstDash val="solid"/>
              </a:ln>
            </c:spPr>
          </c:dPt>
          <c:dLbls>
            <c:delete val="1"/>
          </c:dLbls>
          <c:cat>
            <c:strRef>
              <c:f>Sheet1!$B$1:$M$1</c:f>
              <c:strCache>
                <c:ptCount val="9"/>
                <c:pt idx="0">
                  <c:v>一般公共服务</c:v>
                </c:pt>
                <c:pt idx="1">
                  <c:v>文化旅游和传媒支出</c:v>
                </c:pt>
                <c:pt idx="2">
                  <c:v>社会保障与就业</c:v>
                </c:pt>
                <c:pt idx="3">
                  <c:v>卫生健康</c:v>
                </c:pt>
                <c:pt idx="4">
                  <c:v>节能环保</c:v>
                </c:pt>
                <c:pt idx="5">
                  <c:v>城乡社区</c:v>
                </c:pt>
                <c:pt idx="6">
                  <c:v>农林水</c:v>
                </c:pt>
                <c:pt idx="7">
                  <c:v>住房保障</c:v>
                </c:pt>
                <c:pt idx="8">
                  <c:v>其他</c:v>
                </c:pt>
              </c:strCache>
            </c:strRef>
          </c:cat>
          <c:val>
            <c:numRef>
              <c:f>Sheet1!$B$2:$M$2</c:f>
              <c:numCache>
                <c:formatCode>General</c:formatCode>
                <c:ptCount val="12"/>
                <c:pt idx="0">
                  <c:v>633.67</c:v>
                </c:pt>
                <c:pt idx="1">
                  <c:v>4.3</c:v>
                </c:pt>
                <c:pt idx="2">
                  <c:v>66.86</c:v>
                </c:pt>
                <c:pt idx="3">
                  <c:v>30</c:v>
                </c:pt>
                <c:pt idx="4">
                  <c:v>119.77</c:v>
                </c:pt>
                <c:pt idx="5">
                  <c:v>12.03</c:v>
                </c:pt>
                <c:pt idx="6">
                  <c:v>663.35</c:v>
                </c:pt>
                <c:pt idx="7">
                  <c:v>64.63</c:v>
                </c:pt>
                <c:pt idx="8">
                  <c:v>20.05</c:v>
                </c:pt>
              </c:numCache>
            </c:numRef>
          </c:val>
        </c:ser>
        <c:dLbls>
          <c:showLegendKey val="0"/>
          <c:showVal val="0"/>
          <c:showCatName val="0"/>
          <c:showSerName val="0"/>
          <c:showPercent val="0"/>
          <c:showBubbleSize val="0"/>
          <c:showLeaderLines val="1"/>
        </c:dLbls>
        <c:firstSliceAng val="0"/>
      </c:pieChart>
      <c:spPr>
        <a:solidFill>
          <a:srgbClr val="C0C0C0"/>
        </a:solidFill>
        <a:ln w="12687">
          <a:solidFill>
            <a:srgbClr val="808080"/>
          </a:solidFill>
          <a:prstDash val="solid"/>
        </a:ln>
      </c:spPr>
    </c:plotArea>
    <c:legend>
      <c:legendPos val="r"/>
      <c:layout>
        <c:manualLayout>
          <c:xMode val="edge"/>
          <c:yMode val="edge"/>
          <c:x val="0.654285714285716"/>
          <c:y val="0.0889830508474576"/>
          <c:w val="0.334285714285715"/>
          <c:h val="0.817796610169495"/>
        </c:manualLayout>
      </c:layout>
      <c:overlay val="0"/>
      <c:spPr>
        <a:noFill/>
        <a:ln w="3172">
          <a:solidFill>
            <a:srgbClr val="000000"/>
          </a:solidFill>
          <a:prstDash val="solid"/>
        </a:ln>
      </c:spPr>
      <c:txPr>
        <a:bodyPr rot="0" spcFirstLastPara="0" vertOverflow="ellipsis" vert="horz" wrap="square" anchor="ctr" anchorCtr="1"/>
        <a:lstStyle/>
        <a:p>
          <a:pPr>
            <a:defRPr lang="zh-CN" sz="73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73bd2c37-2c1f-4196-b405-8a0057bc376a}"/>
      </c:ext>
    </c:extLst>
  </c:chart>
  <c:spPr>
    <a:noFill/>
    <a:ln w="9525" cap="flat" cmpd="sng" algn="ctr">
      <a:noFill/>
      <a:prstDash val="solid"/>
      <a:round/>
    </a:ln>
  </c:spPr>
  <c:txPr>
    <a:bodyPr/>
    <a:lstStyle/>
    <a:p>
      <a:pPr>
        <a:defRPr lang="zh-CN" sz="112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91735537190083"/>
          <c:y val="0.121428571428572"/>
          <c:w val="0.438016528925623"/>
          <c:h val="0.757142857142861"/>
        </c:manualLayout>
      </c:layout>
      <c:pieChart>
        <c:varyColors val="1"/>
        <c:ser>
          <c:idx val="0"/>
          <c:order val="0"/>
          <c:tx>
            <c:strRef>
              <c:f>Sheet1!$A$2</c:f>
              <c:strCache>
                <c:ptCount val="1"/>
                <c:pt idx="0">
                  <c:v>三公经费</c:v>
                </c:pt>
              </c:strCache>
            </c:strRef>
          </c:tx>
          <c:spPr>
            <a:solidFill>
              <a:srgbClr val="9999FF"/>
            </a:solidFill>
            <a:ln w="15246">
              <a:solidFill>
                <a:srgbClr val="000000"/>
              </a:solidFill>
              <a:prstDash val="solid"/>
            </a:ln>
          </c:spPr>
          <c:explosion val="0"/>
          <c:dPt>
            <c:idx val="0"/>
            <c:bubble3D val="0"/>
            <c:spPr>
              <a:solidFill>
                <a:srgbClr val="9999FF"/>
              </a:solidFill>
              <a:ln w="15246">
                <a:solidFill>
                  <a:srgbClr val="000000"/>
                </a:solidFill>
                <a:prstDash val="solid"/>
              </a:ln>
            </c:spPr>
          </c:dPt>
          <c:dPt>
            <c:idx val="1"/>
            <c:bubble3D val="0"/>
            <c:spPr>
              <a:solidFill>
                <a:srgbClr val="993366"/>
              </a:solidFill>
              <a:ln w="15246">
                <a:solidFill>
                  <a:srgbClr val="000000"/>
                </a:solidFill>
                <a:prstDash val="solid"/>
              </a:ln>
            </c:spPr>
          </c:dPt>
          <c:dPt>
            <c:idx val="2"/>
            <c:bubble3D val="0"/>
            <c:spPr>
              <a:solidFill>
                <a:srgbClr val="FFFFCC"/>
              </a:solidFill>
              <a:ln w="15246">
                <a:solidFill>
                  <a:srgbClr val="000000"/>
                </a:solidFill>
                <a:prstDash val="solid"/>
              </a:ln>
            </c:spPr>
          </c:dPt>
          <c:dLbls>
            <c:delete val="1"/>
          </c:dLbls>
          <c:cat>
            <c:strRef>
              <c:f>Sheet1!$B$1:$D$1</c:f>
              <c:strCache>
                <c:ptCount val="3"/>
                <c:pt idx="0">
                  <c:v>因公出国</c:v>
                </c:pt>
                <c:pt idx="1">
                  <c:v>公务用车购置及运行维护</c:v>
                </c:pt>
                <c:pt idx="2">
                  <c:v>公务接待</c:v>
                </c:pt>
              </c:strCache>
            </c:strRef>
          </c:cat>
          <c:val>
            <c:numRef>
              <c:f>Sheet1!$B$2:$D$2</c:f>
              <c:numCache>
                <c:formatCode>General</c:formatCode>
                <c:ptCount val="3"/>
                <c:pt idx="0">
                  <c:v>0</c:v>
                </c:pt>
                <c:pt idx="1">
                  <c:v>8.93</c:v>
                </c:pt>
                <c:pt idx="2">
                  <c:v>0.53</c:v>
                </c:pt>
              </c:numCache>
            </c:numRef>
          </c:val>
        </c:ser>
        <c:dLbls>
          <c:showLegendKey val="0"/>
          <c:showVal val="0"/>
          <c:showCatName val="0"/>
          <c:showSerName val="0"/>
          <c:showPercent val="0"/>
          <c:showBubbleSize val="0"/>
          <c:showLeaderLines val="1"/>
        </c:dLbls>
        <c:firstSliceAng val="0"/>
      </c:pieChart>
      <c:spPr>
        <a:solidFill>
          <a:srgbClr val="C0C0C0"/>
        </a:solidFill>
        <a:ln w="15246">
          <a:solidFill>
            <a:srgbClr val="808080"/>
          </a:solidFill>
          <a:prstDash val="solid"/>
        </a:ln>
      </c:spPr>
    </c:plotArea>
    <c:legend>
      <c:legendPos val="r"/>
      <c:layout/>
      <c:overlay val="0"/>
      <c:spPr>
        <a:noFill/>
        <a:ln w="3811">
          <a:solidFill>
            <a:srgbClr val="000000"/>
          </a:solidFill>
          <a:prstDash val="solid"/>
        </a:ln>
      </c:spPr>
      <c:txPr>
        <a:bodyPr rot="0" spcFirstLastPara="0" vertOverflow="ellipsis" vert="horz" wrap="square" anchor="ctr" anchorCtr="1"/>
        <a:lstStyle/>
        <a:p>
          <a:pPr>
            <a:defRPr lang="zh-CN" sz="121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71ffaf73-da2e-4961-865e-e9f4a8a3015e}"/>
      </c:ext>
    </c:extLst>
  </c:chart>
  <c:spPr>
    <a:noFill/>
    <a:ln w="9525" cap="flat" cmpd="sng" algn="ctr">
      <a:noFill/>
      <a:prstDash val="solid"/>
      <a:round/>
    </a:ln>
  </c:spPr>
  <c:txPr>
    <a:bodyPr/>
    <a:lstStyle/>
    <a:p>
      <a:pPr>
        <a:defRPr lang="zh-CN" sz="96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43</Pages>
  <Words>18001</Words>
  <Characters>19231</Characters>
  <Lines>152</Lines>
  <Paragraphs>42</Paragraphs>
  <TotalTime>9</TotalTime>
  <ScaleCrop>false</ScaleCrop>
  <LinksUpToDate>false</LinksUpToDate>
  <CharactersWithSpaces>19603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2020-09-27T09:18:00Z</dcterms:created>
  <dc:creator>张彬茜</dc:creator>
  <cp:lastModifiedBy>马上就有人鱼线的月半</cp:lastModifiedBy>
  <cp:lastPrinted>2019-10-14T16:31:00Z</cp:lastPrinted>
  <dcterms:modified xsi:type="dcterms:W3CDTF">2026-08-24T06:29:32Z</dcterms:modified>
  <dc:title>四川省***</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DF8B2BB312AA448C940993F4B6D70BF8</vt:lpwstr>
  </property>
  <property fmtid="{D5CDD505-2E9C-101B-9397-08002B2CF9AE}" pid="4" name="KSOTemplateDocerSaveRecord">
    <vt:lpwstr>eyJoZGlkIjoiNTJkOWUzOWU0Yzc3ZGE4ZjkwNGZhMzcyZDM5NTEyNGYiLCJ1c2VySWQiOiIyMTI1OTIyNzUifQ==</vt:lpwstr>
  </property>
</Properties>
</file>