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1CD5B">
      <w:pPr>
        <w:spacing w:line="600" w:lineRule="exact"/>
        <w:jc w:val="center"/>
        <w:outlineLvl w:val="0"/>
        <w:rPr>
          <w:rFonts w:ascii="方正小标宋简体" w:hAnsi="宋体" w:eastAsia="方正小标宋简体"/>
          <w:color w:val="000000"/>
          <w:sz w:val="72"/>
          <w:szCs w:val="72"/>
        </w:rPr>
      </w:pPr>
      <w:bookmarkStart w:id="0" w:name="_Toc15306267"/>
    </w:p>
    <w:p w14:paraId="41029ADD">
      <w:pPr>
        <w:spacing w:line="600" w:lineRule="exact"/>
        <w:jc w:val="center"/>
        <w:outlineLvl w:val="0"/>
        <w:rPr>
          <w:rFonts w:ascii="方正小标宋简体" w:hAnsi="宋体" w:eastAsia="方正小标宋简体"/>
          <w:color w:val="000000"/>
          <w:sz w:val="72"/>
          <w:szCs w:val="72"/>
        </w:rPr>
      </w:pPr>
    </w:p>
    <w:p w14:paraId="353F3A8C">
      <w:pPr>
        <w:spacing w:line="600" w:lineRule="exact"/>
        <w:jc w:val="center"/>
        <w:outlineLvl w:val="0"/>
        <w:rPr>
          <w:rFonts w:ascii="方正小标宋简体" w:hAnsi="宋体" w:eastAsia="方正小标宋简体"/>
          <w:color w:val="000000"/>
          <w:sz w:val="72"/>
          <w:szCs w:val="72"/>
        </w:rPr>
      </w:pPr>
    </w:p>
    <w:p w14:paraId="3C1E31CB">
      <w:pPr>
        <w:spacing w:line="600" w:lineRule="exact"/>
        <w:jc w:val="center"/>
        <w:outlineLvl w:val="0"/>
        <w:rPr>
          <w:rFonts w:ascii="方正小标宋简体" w:hAnsi="宋体" w:eastAsia="方正小标宋简体"/>
          <w:color w:val="000000"/>
          <w:sz w:val="72"/>
          <w:szCs w:val="72"/>
        </w:rPr>
      </w:pPr>
    </w:p>
    <w:p w14:paraId="20441C6A">
      <w:pPr>
        <w:adjustRightInd w:val="0"/>
        <w:snapToGrid w:val="0"/>
        <w:spacing w:line="360" w:lineRule="auto"/>
        <w:jc w:val="center"/>
        <w:outlineLvl w:val="0"/>
        <w:rPr>
          <w:rFonts w:hint="eastAsia" w:asciiTheme="majorEastAsia" w:hAnsiTheme="majorEastAsia" w:eastAsiaTheme="majorEastAsia" w:cstheme="majorEastAsia"/>
          <w:b/>
          <w:bCs/>
          <w:color w:val="000000"/>
          <w:sz w:val="72"/>
          <w:szCs w:val="72"/>
        </w:rPr>
      </w:pPr>
      <w:bookmarkStart w:id="1" w:name="_Toc15377425"/>
      <w:bookmarkStart w:id="2" w:name="_Toc15396597"/>
      <w:bookmarkStart w:id="3" w:name="_Toc15377193"/>
      <w:bookmarkStart w:id="4" w:name="_Toc15378441"/>
      <w:bookmarkStart w:id="5" w:name="_Toc15396475"/>
      <w:r>
        <w:rPr>
          <w:rFonts w:hint="eastAsia" w:asciiTheme="majorEastAsia" w:hAnsiTheme="majorEastAsia" w:eastAsiaTheme="majorEastAsia" w:cstheme="majorEastAsia"/>
          <w:b/>
          <w:bCs/>
          <w:color w:val="000000"/>
          <w:sz w:val="72"/>
          <w:szCs w:val="72"/>
        </w:rPr>
        <w:t>2019年度</w:t>
      </w:r>
      <w:bookmarkEnd w:id="1"/>
      <w:bookmarkEnd w:id="2"/>
      <w:bookmarkEnd w:id="3"/>
      <w:bookmarkEnd w:id="4"/>
      <w:bookmarkEnd w:id="5"/>
    </w:p>
    <w:p w14:paraId="4A2E10E7">
      <w:pPr>
        <w:adjustRightInd w:val="0"/>
        <w:snapToGrid w:val="0"/>
        <w:spacing w:line="360" w:lineRule="auto"/>
        <w:jc w:val="center"/>
        <w:outlineLvl w:val="0"/>
        <w:rPr>
          <w:rFonts w:hint="eastAsia" w:asciiTheme="majorEastAsia" w:hAnsiTheme="majorEastAsia" w:eastAsiaTheme="majorEastAsia" w:cstheme="majorEastAsia"/>
          <w:b/>
          <w:bCs/>
          <w:color w:val="000000"/>
          <w:sz w:val="72"/>
          <w:szCs w:val="72"/>
        </w:rPr>
      </w:pPr>
      <w:bookmarkStart w:id="6" w:name="_Toc15377426"/>
      <w:bookmarkStart w:id="7" w:name="_Toc15396598"/>
      <w:bookmarkStart w:id="8" w:name="_Toc15378442"/>
      <w:bookmarkStart w:id="9" w:name="_Toc15396476"/>
      <w:bookmarkStart w:id="10" w:name="_Toc15377194"/>
      <w:r>
        <w:rPr>
          <w:rFonts w:hint="eastAsia" w:asciiTheme="majorEastAsia" w:hAnsiTheme="majorEastAsia" w:eastAsiaTheme="majorEastAsia" w:cstheme="majorEastAsia"/>
          <w:b/>
          <w:bCs/>
          <w:color w:val="000000"/>
          <w:sz w:val="72"/>
          <w:szCs w:val="72"/>
        </w:rPr>
        <w:t>四川省</w:t>
      </w:r>
      <w:bookmarkEnd w:id="0"/>
      <w:bookmarkStart w:id="11" w:name="_Toc15306268"/>
      <w:r>
        <w:rPr>
          <w:rFonts w:hint="eastAsia" w:asciiTheme="majorEastAsia" w:hAnsiTheme="majorEastAsia" w:eastAsiaTheme="majorEastAsia" w:cstheme="majorEastAsia"/>
          <w:b/>
          <w:bCs/>
          <w:color w:val="000000"/>
          <w:sz w:val="72"/>
          <w:szCs w:val="72"/>
          <w:lang w:eastAsia="zh-CN"/>
        </w:rPr>
        <w:t>乐山市井研县集益镇</w:t>
      </w:r>
      <w:r>
        <w:rPr>
          <w:rFonts w:hint="eastAsia" w:asciiTheme="majorEastAsia" w:hAnsiTheme="majorEastAsia" w:eastAsiaTheme="majorEastAsia" w:cstheme="majorEastAsia"/>
          <w:b/>
          <w:bCs/>
          <w:color w:val="000000"/>
          <w:sz w:val="72"/>
          <w:szCs w:val="72"/>
        </w:rPr>
        <w:t>部门决算</w:t>
      </w:r>
      <w:bookmarkEnd w:id="6"/>
      <w:bookmarkEnd w:id="7"/>
      <w:bookmarkEnd w:id="8"/>
      <w:bookmarkEnd w:id="9"/>
      <w:bookmarkEnd w:id="10"/>
      <w:bookmarkEnd w:id="11"/>
    </w:p>
    <w:p w14:paraId="7FDF5E92">
      <w:pPr>
        <w:adjustRightInd w:val="0"/>
        <w:snapToGrid w:val="0"/>
        <w:spacing w:line="360" w:lineRule="auto"/>
        <w:jc w:val="center"/>
        <w:outlineLvl w:val="0"/>
        <w:rPr>
          <w:rFonts w:ascii="方正小标宋简体" w:hAnsi="宋体" w:eastAsia="方正小标宋简体"/>
          <w:color w:val="000000"/>
          <w:sz w:val="52"/>
          <w:szCs w:val="52"/>
        </w:rPr>
      </w:pPr>
    </w:p>
    <w:p w14:paraId="0029EED5">
      <w:pPr>
        <w:widowControl/>
        <w:jc w:val="center"/>
        <w:rPr>
          <w:rFonts w:hint="eastAsia" w:ascii="仿宋_GB2312" w:hAnsi="仿宋_GB2312" w:eastAsia="仿宋_GB2312" w:cs="仿宋_GB2312"/>
          <w:color w:val="000000"/>
          <w:sz w:val="32"/>
          <w:szCs w:val="32"/>
        </w:rPr>
      </w:pPr>
      <w:r>
        <w:rPr>
          <w:rFonts w:ascii="方正小标宋简体" w:hAnsi="宋体" w:eastAsia="方正小标宋简体"/>
          <w:color w:val="000000"/>
          <w:sz w:val="36"/>
          <w:szCs w:val="36"/>
        </w:rPr>
        <w:br w:type="page"/>
      </w:r>
      <w:r>
        <w:rPr>
          <w:rFonts w:hint="eastAsia" w:ascii="黑体" w:hAnsi="黑体" w:eastAsia="黑体" w:cs="黑体"/>
          <w:color w:val="000000"/>
          <w:sz w:val="48"/>
          <w:szCs w:val="48"/>
        </w:rPr>
        <w:t>目录</w:t>
      </w:r>
    </w:p>
    <w:p w14:paraId="1A97DB26">
      <w:pPr>
        <w:widowControl/>
        <w:jc w:val="center"/>
        <w:rPr>
          <w:rFonts w:hint="eastAsia" w:ascii="仿宋_GB2312" w:hAnsi="仿宋_GB2312" w:eastAsia="仿宋_GB2312" w:cs="仿宋_GB2312"/>
          <w:sz w:val="32"/>
          <w:szCs w:val="32"/>
        </w:rPr>
      </w:pPr>
    </w:p>
    <w:p w14:paraId="0F3B2DA5">
      <w:pPr>
        <w:pStyle w:val="1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公开时间：2020年9月</w:t>
      </w:r>
      <w:r>
        <w:rPr>
          <w:rFonts w:hint="eastAsia" w:ascii="仿宋_GB2312" w:hAnsi="仿宋_GB2312" w:eastAsia="仿宋_GB2312" w:cs="仿宋_GB2312"/>
          <w:sz w:val="28"/>
          <w:szCs w:val="28"/>
          <w:lang w:val="en-US" w:eastAsia="zh-CN"/>
        </w:rPr>
        <w:t>28</w:t>
      </w:r>
      <w:bookmarkStart w:id="72" w:name="_GoBack"/>
      <w:bookmarkEnd w:id="72"/>
      <w:r>
        <w:rPr>
          <w:rFonts w:hint="eastAsia" w:ascii="仿宋_GB2312" w:hAnsi="仿宋_GB2312" w:eastAsia="仿宋_GB2312" w:cs="仿宋_GB2312"/>
          <w:sz w:val="28"/>
          <w:szCs w:val="28"/>
        </w:rPr>
        <w:t>日</w:t>
      </w:r>
    </w:p>
    <w:p w14:paraId="180FB432">
      <w:pPr>
        <w:rPr>
          <w:rFonts w:hint="eastAsia" w:ascii="仿宋_GB2312" w:hAnsi="仿宋_GB2312" w:eastAsia="仿宋_GB2312" w:cs="仿宋_GB2312"/>
          <w:sz w:val="32"/>
          <w:szCs w:val="32"/>
        </w:rPr>
      </w:pPr>
    </w:p>
    <w:p w14:paraId="2B5D651E">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lang w:val="en-US" w:eastAsia="zh-CN"/>
        </w:rPr>
        <w:t>4-6</w:t>
      </w:r>
    </w:p>
    <w:p w14:paraId="26A1D5E7">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lang w:val="en-US" w:eastAsia="zh-CN"/>
        </w:rPr>
        <w:t>6</w:t>
      </w:r>
    </w:p>
    <w:p w14:paraId="5135905E">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lang w:val="en-US" w:eastAsia="zh-CN"/>
        </w:rPr>
        <w:t>7</w:t>
      </w:r>
    </w:p>
    <w:p w14:paraId="00EFFCBE">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第二部分度部门决算情况说明·····················</w:t>
      </w:r>
      <w:r>
        <w:rPr>
          <w:rFonts w:hint="eastAsia" w:ascii="仿宋_GB2312" w:hAnsi="仿宋_GB2312" w:eastAsia="仿宋_GB2312" w:cs="仿宋_GB2312"/>
          <w:sz w:val="32"/>
          <w:szCs w:val="32"/>
          <w:lang w:val="en-US" w:eastAsia="zh-CN"/>
        </w:rPr>
        <w:t>7-18</w:t>
      </w:r>
    </w:p>
    <w:p w14:paraId="0C260C8B">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lang w:val="en-US" w:eastAsia="zh-CN"/>
        </w:rPr>
        <w:t>7</w:t>
      </w:r>
    </w:p>
    <w:p w14:paraId="48A0BDCC">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lang w:val="en-US" w:eastAsia="zh-CN"/>
        </w:rPr>
        <w:t>7-8</w:t>
      </w:r>
    </w:p>
    <w:p w14:paraId="2247B8A8">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lang w:val="en-US" w:eastAsia="zh-CN"/>
        </w:rPr>
        <w:t>8</w:t>
      </w:r>
    </w:p>
    <w:p w14:paraId="09ED18ED">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lang w:val="en-US" w:eastAsia="zh-CN"/>
        </w:rPr>
        <w:t>8-9</w:t>
      </w:r>
    </w:p>
    <w:p w14:paraId="4E21D484">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lang w:val="en-US" w:eastAsia="zh-CN"/>
        </w:rPr>
        <w:t>9-14</w:t>
      </w:r>
    </w:p>
    <w:p w14:paraId="3D74FC55">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lang w:val="en-US" w:eastAsia="zh-CN"/>
        </w:rPr>
        <w:t>14</w:t>
      </w:r>
    </w:p>
    <w:p w14:paraId="5875F78F">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lang w:val="en-US" w:eastAsia="zh-CN"/>
        </w:rPr>
        <w:t>14-16</w:t>
      </w:r>
    </w:p>
    <w:p w14:paraId="4125430E">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lang w:val="en-US" w:eastAsia="zh-CN"/>
        </w:rPr>
        <w:t>16</w:t>
      </w:r>
    </w:p>
    <w:p w14:paraId="7174285E">
      <w:pPr>
        <w:pStyle w:val="11"/>
        <w:keepNext w:val="0"/>
        <w:keepLines w:val="0"/>
        <w:pageBreakBefore w:val="0"/>
        <w:widowControl w:val="0"/>
        <w:kinsoku/>
        <w:wordWrap/>
        <w:overflowPunct/>
        <w:topLinePunct w:val="0"/>
        <w:autoSpaceDE/>
        <w:autoSpaceDN/>
        <w:bidi w:val="0"/>
        <w:adjustRightInd w:val="0"/>
        <w:snapToGrid w:val="0"/>
        <w:spacing w:line="560" w:lineRule="exact"/>
        <w:ind w:left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 国有资本经营预算支出决算情况说明·······</w:t>
      </w:r>
      <w:r>
        <w:rPr>
          <w:rFonts w:hint="eastAsia" w:ascii="仿宋_GB2312" w:hAnsi="仿宋_GB2312" w:eastAsia="仿宋_GB2312" w:cs="仿宋_GB2312"/>
          <w:sz w:val="32"/>
          <w:szCs w:val="32"/>
          <w:lang w:val="en-US" w:eastAsia="zh-CN"/>
        </w:rPr>
        <w:t>16</w:t>
      </w:r>
    </w:p>
    <w:p w14:paraId="03D60018">
      <w:pPr>
        <w:pStyle w:val="11"/>
        <w:keepNext w:val="0"/>
        <w:keepLines w:val="0"/>
        <w:pageBreakBefore w:val="0"/>
        <w:widowControl w:val="0"/>
        <w:kinsoku/>
        <w:wordWrap/>
        <w:overflowPunct/>
        <w:topLinePunct w:val="0"/>
        <w:autoSpaceDE/>
        <w:autoSpaceDN/>
        <w:bidi w:val="0"/>
        <w:adjustRightInd w:val="0"/>
        <w:snapToGrid w:val="0"/>
        <w:spacing w:line="560" w:lineRule="exact"/>
        <w:ind w:leftChars="0"/>
        <w:jc w:val="left"/>
        <w:textAlignment w:val="auto"/>
        <w:outlineLvl w:val="9"/>
        <w:rPr>
          <w:rFonts w:hint="eastAsia" w:ascii="仿宋_GB2312" w:hAnsi="仿宋_GB2312" w:eastAsia="仿宋_GB2312" w:cs="仿宋_GB2312"/>
          <w:sz w:val="32"/>
          <w:szCs w:val="32"/>
          <w:lang w:val="en-US" w:eastAsia="zh-CN"/>
        </w:rPr>
      </w:pPr>
      <w:r>
        <w:rPr>
          <w:rStyle w:val="16"/>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lang w:val="en-US" w:eastAsia="zh-CN"/>
        </w:rPr>
        <w:t>16-18</w:t>
      </w:r>
    </w:p>
    <w:p w14:paraId="23B661CA">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lang w:val="en-US" w:eastAsia="zh-CN"/>
        </w:rPr>
        <w:t>19-23</w:t>
      </w:r>
    </w:p>
    <w:p w14:paraId="3973A0C5">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lang w:val="en-US" w:eastAsia="zh-CN"/>
        </w:rPr>
        <w:t>24-34</w:t>
      </w:r>
    </w:p>
    <w:p w14:paraId="292D51DD">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val="en-US" w:eastAsia="zh-CN"/>
        </w:rPr>
        <w:t>24-34</w:t>
      </w:r>
    </w:p>
    <w:p w14:paraId="33F24E62">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lang w:val="en-US" w:eastAsia="zh-CN"/>
        </w:rPr>
        <w:t>35</w:t>
      </w:r>
    </w:p>
    <w:p w14:paraId="0D16ED2A">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14:paraId="490F85FE">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14:paraId="5A117ED2">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14:paraId="761A2217">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14:paraId="34FFC402">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p>
    <w:p w14:paraId="5E8AD091">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14:paraId="550014AD">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14:paraId="6AD906A3">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p>
    <w:p w14:paraId="6D49993E">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14:paraId="2FA4C007">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p>
    <w:p w14:paraId="52FE601A">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p>
    <w:p w14:paraId="794E42FC">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p>
    <w:p w14:paraId="0DAC57C2">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十三、国有资本经营预算支出决算表</w:t>
      </w:r>
    </w:p>
    <w:p w14:paraId="1C22C1F2">
      <w:pPr>
        <w:widowControl/>
        <w:spacing w:line="440" w:lineRule="exact"/>
        <w:jc w:val="left"/>
        <w:rPr>
          <w:rFonts w:hint="eastAsia" w:ascii="仿宋_GB2312" w:hAnsi="仿宋_GB2312" w:eastAsia="仿宋_GB2312" w:cs="仿宋_GB2312"/>
          <w:bCs/>
          <w:kern w:val="44"/>
          <w:sz w:val="32"/>
          <w:szCs w:val="32"/>
        </w:rPr>
      </w:pPr>
      <w:bookmarkStart w:id="12" w:name="_Toc15377196"/>
      <w:bookmarkStart w:id="13" w:name="_Toc15396599"/>
      <w:r>
        <w:rPr>
          <w:rFonts w:hint="eastAsia" w:ascii="仿宋_GB2312" w:hAnsi="仿宋_GB2312" w:eastAsia="仿宋_GB2312" w:cs="仿宋_GB2312"/>
          <w:b/>
          <w:sz w:val="32"/>
          <w:szCs w:val="32"/>
        </w:rPr>
        <w:br w:type="page"/>
      </w:r>
    </w:p>
    <w:p w14:paraId="6DAFB63C">
      <w:pPr>
        <w:pStyle w:val="2"/>
        <w:jc w:val="center"/>
        <w:rPr>
          <w:rStyle w:val="25"/>
          <w:rFonts w:hint="eastAsia" w:ascii="黑体" w:hAnsi="黑体" w:eastAsia="黑体" w:cs="黑体"/>
          <w:b/>
          <w:bCs w:val="0"/>
          <w:sz w:val="44"/>
          <w:szCs w:val="44"/>
        </w:rPr>
      </w:pPr>
      <w:r>
        <w:rPr>
          <w:rFonts w:hint="eastAsia" w:ascii="黑体" w:hAnsi="黑体" w:eastAsia="黑体" w:cs="黑体"/>
          <w:b w:val="0"/>
          <w:sz w:val="44"/>
          <w:szCs w:val="44"/>
        </w:rPr>
        <w:t xml:space="preserve">第一部分 </w:t>
      </w:r>
      <w:r>
        <w:rPr>
          <w:rStyle w:val="25"/>
          <w:rFonts w:hint="eastAsia" w:ascii="黑体" w:hAnsi="黑体" w:eastAsia="黑体" w:cs="黑体"/>
          <w:b w:val="0"/>
          <w:bCs w:val="0"/>
          <w:sz w:val="44"/>
          <w:szCs w:val="44"/>
        </w:rPr>
        <w:t>部门概况</w:t>
      </w:r>
      <w:bookmarkEnd w:id="12"/>
      <w:bookmarkEnd w:id="13"/>
    </w:p>
    <w:p w14:paraId="455F4341">
      <w:pPr>
        <w:widowControl/>
        <w:jc w:val="left"/>
        <w:rPr>
          <w:rFonts w:hint="eastAsia" w:ascii="仿宋_GB2312" w:hAnsi="仿宋_GB2312" w:eastAsia="仿宋_GB2312" w:cs="仿宋_GB2312"/>
          <w:color w:val="000000"/>
          <w:sz w:val="32"/>
          <w:szCs w:val="32"/>
        </w:rPr>
      </w:pPr>
    </w:p>
    <w:p w14:paraId="2BD96323">
      <w:pPr>
        <w:pStyle w:val="3"/>
        <w:ind w:firstLine="640" w:firstLineChars="200"/>
        <w:rPr>
          <w:rStyle w:val="26"/>
          <w:rFonts w:hint="eastAsia" w:ascii="黑体" w:hAnsi="黑体" w:eastAsia="黑体" w:cs="黑体"/>
          <w:b w:val="0"/>
          <w:bCs w:val="0"/>
          <w:sz w:val="32"/>
          <w:szCs w:val="32"/>
        </w:rPr>
      </w:pPr>
      <w:bookmarkStart w:id="14" w:name="_Toc15396600"/>
      <w:bookmarkStart w:id="15" w:name="_Toc15377197"/>
      <w:r>
        <w:rPr>
          <w:rFonts w:hint="eastAsia" w:ascii="黑体" w:hAnsi="黑体" w:eastAsia="黑体" w:cs="黑体"/>
          <w:b w:val="0"/>
          <w:color w:val="000000"/>
          <w:sz w:val="32"/>
          <w:szCs w:val="32"/>
        </w:rPr>
        <w:t>一、基</w:t>
      </w:r>
      <w:r>
        <w:rPr>
          <w:rStyle w:val="26"/>
          <w:rFonts w:hint="eastAsia" w:ascii="黑体" w:hAnsi="黑体" w:eastAsia="黑体" w:cs="黑体"/>
          <w:b w:val="0"/>
          <w:bCs w:val="0"/>
          <w:sz w:val="32"/>
          <w:szCs w:val="32"/>
        </w:rPr>
        <w:t>本职能及主要工作</w:t>
      </w:r>
      <w:bookmarkEnd w:id="14"/>
      <w:bookmarkEnd w:id="15"/>
    </w:p>
    <w:p w14:paraId="2777DF57">
      <w:pPr>
        <w:ind w:firstLine="643" w:firstLineChars="200"/>
        <w:rPr>
          <w:rFonts w:hint="eastAsia" w:ascii="楷体_GB2312" w:hAnsi="楷体_GB2312" w:eastAsia="楷体_GB2312" w:cs="楷体_GB2312"/>
          <w:b/>
          <w:bCs w:val="0"/>
          <w:color w:val="000000"/>
          <w:sz w:val="32"/>
          <w:szCs w:val="32"/>
        </w:rPr>
      </w:pPr>
      <w:bookmarkStart w:id="16" w:name="_Toc15378445"/>
      <w:bookmarkStart w:id="17" w:name="_Toc15377198"/>
      <w:r>
        <w:rPr>
          <w:rFonts w:hint="eastAsia" w:ascii="楷体_GB2312" w:hAnsi="楷体_GB2312" w:eastAsia="楷体_GB2312" w:cs="楷体_GB2312"/>
          <w:b/>
          <w:bCs w:val="0"/>
          <w:color w:val="000000"/>
          <w:sz w:val="32"/>
          <w:szCs w:val="32"/>
        </w:rPr>
        <w:t>（一）主要职能。</w:t>
      </w:r>
    </w:p>
    <w:p w14:paraId="4D22FD0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14:paraId="64D96D5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（1）执行本级人民代表大会的决议和上级国家行政机关的决定和命令，发布决定和命令；</w:t>
      </w:r>
    </w:p>
    <w:p w14:paraId="323C6D4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（2）执行本行政区域内的经济和社会发展计划、预算，管理本行政区域内的经济、教育、科学、文化、卫生、体育事业和财政、民政、公安、司法行政、计划生育等行政工作；</w:t>
      </w:r>
    </w:p>
    <w:p w14:paraId="4D808B9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（3）保护社会主义的全民所有的财产和劳动群众集体所有的财产，保护公民私人所有的合法财产，维护社会秩序，保障公民的人身权利、民主权利和其他权利；</w:t>
      </w:r>
    </w:p>
    <w:p w14:paraId="397C809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（4）保护各种经济组织的合法权益；</w:t>
      </w:r>
    </w:p>
    <w:p w14:paraId="7F08BE0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（5）办理上级县委、县政府政府交办的其他事项。</w:t>
      </w:r>
    </w:p>
    <w:bookmarkEnd w:id="16"/>
    <w:bookmarkEnd w:id="17"/>
    <w:p w14:paraId="7144BA65">
      <w:pPr>
        <w:pStyle w:val="31"/>
        <w:spacing w:line="560" w:lineRule="exact"/>
        <w:ind w:firstLine="643" w:firstLineChars="200"/>
        <w:rPr>
          <w:rFonts w:hint="eastAsia" w:ascii="楷体_GB2312" w:hAnsi="楷体_GB2312" w:eastAsia="楷体_GB2312" w:cs="楷体_GB2312"/>
          <w:b/>
          <w:bCs w:val="0"/>
          <w:color w:val="000000"/>
          <w:sz w:val="32"/>
          <w:szCs w:val="32"/>
        </w:rPr>
      </w:pPr>
      <w:bookmarkStart w:id="18" w:name="_Toc15378446"/>
      <w:bookmarkStart w:id="19" w:name="_Toc15377199"/>
      <w:r>
        <w:rPr>
          <w:rFonts w:hint="eastAsia" w:ascii="楷体_GB2312" w:hAnsi="楷体_GB2312" w:eastAsia="楷体_GB2312" w:cs="楷体_GB2312"/>
          <w:b/>
          <w:bCs w:val="0"/>
          <w:color w:val="000000"/>
          <w:sz w:val="32"/>
          <w:szCs w:val="32"/>
        </w:rPr>
        <w:t>（二）2019年重点工作完成情况。</w:t>
      </w:r>
      <w:bookmarkEnd w:id="18"/>
      <w:bookmarkEnd w:id="19"/>
    </w:p>
    <w:p w14:paraId="22F700BE">
      <w:pPr>
        <w:pStyle w:val="31"/>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rPr>
        <w:t>2019年集益镇人民政府严格按照县委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政府的安排部署，严格执行中央八项规定，严肃财经纪律，圆满完成了各项目标任务。乡村振兴高位起步。集益</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成功申报</w:t>
      </w:r>
      <w:r>
        <w:rPr>
          <w:rFonts w:hint="eastAsia" w:ascii="仿宋_GB2312" w:hAnsi="仿宋_GB2312" w:eastAsia="仿宋_GB2312" w:cs="仿宋_GB2312"/>
          <w:kern w:val="2"/>
          <w:sz w:val="32"/>
          <w:szCs w:val="32"/>
        </w:rPr>
        <w:t>省级乡村振兴规划试点镇，繁荣村成功申报省级美丽乡村示范村。聘请四川省农科院高标准编制全乡乡村振兴总体规划，争取财政资金300余万元，启动幸福村4组乡村振兴示范点建设，引领全</w:t>
      </w:r>
      <w:r>
        <w:rPr>
          <w:rFonts w:hint="eastAsia" w:ascii="仿宋_GB2312" w:hAnsi="仿宋_GB2312" w:eastAsia="仿宋_GB2312" w:cs="仿宋_GB2312"/>
          <w:kern w:val="2"/>
          <w:sz w:val="32"/>
          <w:szCs w:val="32"/>
          <w:lang w:eastAsia="zh-CN"/>
        </w:rPr>
        <w:t>镇</w:t>
      </w:r>
      <w:r>
        <w:rPr>
          <w:rFonts w:hint="eastAsia" w:ascii="仿宋_GB2312" w:hAnsi="仿宋_GB2312" w:eastAsia="仿宋_GB2312" w:cs="仿宋_GB2312"/>
          <w:kern w:val="2"/>
          <w:sz w:val="32"/>
          <w:szCs w:val="32"/>
        </w:rPr>
        <w:t>高质量发展。</w:t>
      </w:r>
    </w:p>
    <w:p w14:paraId="2B744710">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——现代农业提质增效。</w:t>
      </w:r>
      <w:r>
        <w:rPr>
          <w:rFonts w:hint="eastAsia" w:ascii="仿宋_GB2312" w:hAnsi="仿宋_GB2312" w:eastAsia="仿宋_GB2312" w:cs="仿宋_GB2312"/>
          <w:sz w:val="32"/>
          <w:szCs w:val="32"/>
        </w:rPr>
        <w:t xml:space="preserve">坚持以农业供给侧结构性改革为主线，积极申报国家农业产业示范强镇，实施方案已得到省农业农村厅高度评价。加快柑橘标准化示范园建设，新建储存库1200立方米，建成专家大院、柑橘分解中心，良繁基地即将启动，柑橘产业链条持续拉伸。 </w:t>
      </w:r>
    </w:p>
    <w:p w14:paraId="38E0F959">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——农村环境更加优美。</w:t>
      </w:r>
      <w:r>
        <w:rPr>
          <w:rFonts w:hint="eastAsia" w:ascii="仿宋_GB2312" w:hAnsi="仿宋_GB2312" w:eastAsia="仿宋_GB2312" w:cs="仿宋_GB2312"/>
          <w:sz w:val="32"/>
          <w:szCs w:val="32"/>
        </w:rPr>
        <w:t>扎实开展农村人居环境治理，探索农村垃圾分类收处，全面拆除国道213线沿线垃圾池，新购置安放垃圾分类回收桶90个，新划定集镇标准停车位71个，城乡环境秩序井然。河长制工作深入落实，绿色防控在百里产业环线加速扩面，优质园区正在加速向优美景区转变。</w:t>
      </w:r>
    </w:p>
    <w:p w14:paraId="081E5C91">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——群众生活更加富足。</w:t>
      </w:r>
      <w:r>
        <w:rPr>
          <w:rFonts w:hint="eastAsia" w:ascii="仿宋_GB2312" w:hAnsi="仿宋_GB2312" w:eastAsia="仿宋_GB2312" w:cs="仿宋_GB2312"/>
          <w:sz w:val="32"/>
          <w:szCs w:val="32"/>
        </w:rPr>
        <w:t>整合项目资金80余万元，抓好252户693人建档立卡贫困户群众补短板，兜住“两不愁三保障”脱贫底线。落实城乡残疾人居家灵活就业30人，为563人残疾人适配基本辅助工具，低保实现应保尽保、动态管理，城乡居民基本医疗保险覆盖率达99%。</w:t>
      </w:r>
    </w:p>
    <w:p w14:paraId="502062A1">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——农村改革持续深入。</w:t>
      </w:r>
      <w:r>
        <w:rPr>
          <w:rFonts w:hint="eastAsia" w:ascii="仿宋_GB2312" w:hAnsi="仿宋_GB2312" w:eastAsia="仿宋_GB2312" w:cs="仿宋_GB2312"/>
          <w:sz w:val="32"/>
          <w:szCs w:val="32"/>
        </w:rPr>
        <w:t>农村产权制度全面推进，“大棚房”等违规违法占地整治平稳有序，获得省市县领导肯定。制发非洲猪瘟疫病防控“五个一”实施办法，全覆盖走访、巡查生猪养殖经营户，严防死守，目前全乡未发现非洲猪瘟疑似病例。</w:t>
      </w:r>
    </w:p>
    <w:p w14:paraId="32A9E9A5">
      <w:pPr>
        <w:pStyle w:val="5"/>
        <w:adjustRightInd w:val="0"/>
        <w:snapToGrid w:val="0"/>
        <w:spacing w:before="93" w:line="600" w:lineRule="exact"/>
        <w:ind w:firstLine="675"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
          <w:bCs/>
          <w:kern w:val="0"/>
          <w:sz w:val="32"/>
          <w:szCs w:val="32"/>
        </w:rPr>
        <w:t>——政府建设全面推进。</w:t>
      </w:r>
      <w:r>
        <w:rPr>
          <w:rFonts w:hint="eastAsia" w:ascii="仿宋_GB2312" w:hAnsi="仿宋_GB2312" w:eastAsia="仿宋_GB2312" w:cs="仿宋_GB2312"/>
          <w:sz w:val="32"/>
          <w:szCs w:val="32"/>
        </w:rPr>
        <w:t>坚持以人为中心执政理念，用心为民办事，按时回复“心连心”热线26件，群众满意度达100%。深化扫黑除恶专项斗争，以法治精神推动依法治理。全面落实政府领域党风廉政建设责任制，全乡干部未出现一起违纪违法行为，廉洁政府形象更加深入人心。</w:t>
      </w:r>
    </w:p>
    <w:p w14:paraId="2A9C0CAD">
      <w:pPr>
        <w:pStyle w:val="3"/>
        <w:ind w:firstLine="640" w:firstLineChars="200"/>
        <w:rPr>
          <w:rStyle w:val="26"/>
          <w:rFonts w:hint="eastAsia" w:ascii="黑体" w:hAnsi="黑体" w:eastAsia="黑体" w:cs="黑体"/>
          <w:b w:val="0"/>
          <w:bCs w:val="0"/>
          <w:sz w:val="32"/>
          <w:szCs w:val="32"/>
        </w:rPr>
      </w:pPr>
      <w:bookmarkStart w:id="20" w:name="_Toc15377200"/>
      <w:bookmarkStart w:id="21" w:name="_Toc15396601"/>
      <w:r>
        <w:rPr>
          <w:rFonts w:hint="eastAsia" w:ascii="黑体" w:hAnsi="黑体" w:eastAsia="黑体" w:cs="黑体"/>
          <w:b w:val="0"/>
          <w:color w:val="000000"/>
          <w:sz w:val="32"/>
          <w:szCs w:val="32"/>
        </w:rPr>
        <w:t>二、机</w:t>
      </w:r>
      <w:r>
        <w:rPr>
          <w:rStyle w:val="26"/>
          <w:rFonts w:hint="eastAsia" w:ascii="黑体" w:hAnsi="黑体" w:eastAsia="黑体" w:cs="黑体"/>
          <w:b w:val="0"/>
          <w:bCs w:val="0"/>
          <w:sz w:val="32"/>
          <w:szCs w:val="32"/>
        </w:rPr>
        <w:t>构设置</w:t>
      </w:r>
      <w:bookmarkEnd w:id="20"/>
      <w:bookmarkEnd w:id="21"/>
    </w:p>
    <w:p w14:paraId="0DB48F48">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集益镇</w:t>
      </w:r>
      <w:r>
        <w:rPr>
          <w:rFonts w:hint="eastAsia" w:ascii="仿宋_GB2312" w:hAnsi="仿宋_GB2312" w:eastAsia="仿宋_GB2312" w:cs="仿宋_GB2312"/>
          <w:color w:val="000000"/>
          <w:sz w:val="32"/>
          <w:szCs w:val="32"/>
        </w:rPr>
        <w:t>是预算一级单位，无下属二级单位。现有编制  78人，其中：行政编制 37 人，工勤编制 4 人，事业编制 41 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现实有65人，其中：行政编制 30 人，事业编制 35 人。</w:t>
      </w:r>
    </w:p>
    <w:p w14:paraId="0B2FBE42">
      <w:pPr>
        <w:pStyle w:val="5"/>
        <w:adjustRightInd w:val="0"/>
        <w:snapToGrid w:val="0"/>
        <w:spacing w:before="93" w:line="600" w:lineRule="exact"/>
        <w:ind w:firstLine="1120" w:firstLineChars="350"/>
        <w:rPr>
          <w:rFonts w:hint="eastAsia" w:ascii="仿宋_GB2312" w:hAnsi="仿宋_GB2312" w:eastAsia="仿宋_GB2312" w:cs="仿宋_GB2312"/>
          <w:color w:val="000000"/>
          <w:sz w:val="32"/>
          <w:szCs w:val="32"/>
        </w:rPr>
      </w:pPr>
    </w:p>
    <w:p w14:paraId="2A8CD029">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br w:type="page"/>
      </w:r>
    </w:p>
    <w:p w14:paraId="4A2F300A">
      <w:pPr>
        <w:pStyle w:val="2"/>
        <w:ind w:right="440"/>
        <w:jc w:val="center"/>
        <w:rPr>
          <w:rStyle w:val="25"/>
          <w:rFonts w:hint="eastAsia" w:ascii="黑体" w:hAnsi="黑体" w:eastAsia="黑体" w:cs="黑体"/>
          <w:b w:val="0"/>
          <w:bCs w:val="0"/>
          <w:sz w:val="44"/>
          <w:szCs w:val="44"/>
        </w:rPr>
      </w:pPr>
      <w:bookmarkStart w:id="22" w:name="_Toc15396602"/>
      <w:bookmarkStart w:id="23" w:name="_Toc15377204"/>
      <w:r>
        <w:rPr>
          <w:rFonts w:hint="eastAsia" w:ascii="黑体" w:hAnsi="黑体" w:eastAsia="黑体" w:cs="黑体"/>
          <w:b w:val="0"/>
          <w:color w:val="000000"/>
          <w:sz w:val="44"/>
          <w:szCs w:val="44"/>
        </w:rPr>
        <w:t>第二部分</w:t>
      </w:r>
      <w:r>
        <w:rPr>
          <w:rFonts w:hint="eastAsia" w:ascii="黑体" w:hAnsi="黑体" w:eastAsia="黑体" w:cs="黑体"/>
          <w:color w:val="000000"/>
          <w:sz w:val="44"/>
          <w:szCs w:val="44"/>
        </w:rPr>
        <w:t xml:space="preserve"> </w:t>
      </w:r>
      <w:r>
        <w:rPr>
          <w:rStyle w:val="25"/>
          <w:rFonts w:hint="eastAsia" w:ascii="黑体" w:hAnsi="黑体" w:eastAsia="黑体" w:cs="黑体"/>
          <w:b w:val="0"/>
          <w:bCs w:val="0"/>
          <w:sz w:val="44"/>
          <w:szCs w:val="44"/>
        </w:rPr>
        <w:t>2019年度部门决算情况说明</w:t>
      </w:r>
      <w:bookmarkEnd w:id="22"/>
      <w:bookmarkEnd w:id="23"/>
    </w:p>
    <w:p w14:paraId="696C0B22">
      <w:pPr>
        <w:rPr>
          <w:rFonts w:hint="eastAsia" w:ascii="仿宋_GB2312" w:hAnsi="仿宋_GB2312" w:eastAsia="仿宋_GB2312" w:cs="仿宋_GB2312"/>
          <w:sz w:val="32"/>
          <w:szCs w:val="32"/>
        </w:rPr>
      </w:pPr>
    </w:p>
    <w:p w14:paraId="64EEE94E">
      <w:pPr>
        <w:pStyle w:val="24"/>
        <w:numPr>
          <w:ilvl w:val="0"/>
          <w:numId w:val="3"/>
        </w:numPr>
        <w:spacing w:line="600" w:lineRule="exact"/>
        <w:ind w:firstLineChars="0"/>
        <w:outlineLvl w:val="1"/>
        <w:rPr>
          <w:rStyle w:val="26"/>
          <w:rFonts w:hint="eastAsia" w:ascii="黑体" w:hAnsi="黑体" w:eastAsia="黑体" w:cs="黑体"/>
          <w:b w:val="0"/>
          <w:sz w:val="32"/>
          <w:szCs w:val="32"/>
        </w:rPr>
      </w:pPr>
      <w:bookmarkStart w:id="24" w:name="_Toc15396603"/>
      <w:bookmarkStart w:id="25" w:name="_Toc15377205"/>
      <w:r>
        <w:rPr>
          <w:rFonts w:hint="eastAsia" w:ascii="黑体" w:hAnsi="黑体" w:eastAsia="黑体" w:cs="黑体"/>
          <w:color w:val="000000"/>
          <w:sz w:val="32"/>
          <w:szCs w:val="32"/>
        </w:rPr>
        <w:t>收</w:t>
      </w:r>
      <w:r>
        <w:rPr>
          <w:rStyle w:val="26"/>
          <w:rFonts w:hint="eastAsia" w:ascii="黑体" w:hAnsi="黑体" w:eastAsia="黑体" w:cs="黑体"/>
          <w:b w:val="0"/>
          <w:sz w:val="32"/>
          <w:szCs w:val="32"/>
        </w:rPr>
        <w:t>入支出决算总体情况说明</w:t>
      </w:r>
      <w:bookmarkEnd w:id="24"/>
      <w:bookmarkEnd w:id="25"/>
    </w:p>
    <w:p w14:paraId="077321E1">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2019年度收、支总计</w:t>
      </w:r>
      <w:r>
        <w:rPr>
          <w:rFonts w:hint="eastAsia" w:ascii="仿宋_GB2312" w:hAnsi="仿宋_GB2312" w:eastAsia="仿宋_GB2312" w:cs="仿宋_GB2312"/>
          <w:color w:val="000000"/>
          <w:sz w:val="32"/>
          <w:szCs w:val="32"/>
          <w:lang w:val="en-US" w:eastAsia="zh-CN"/>
        </w:rPr>
        <w:t>4186.86</w:t>
      </w:r>
      <w:r>
        <w:rPr>
          <w:rFonts w:hint="eastAsia" w:ascii="仿宋_GB2312" w:hAnsi="仿宋_GB2312" w:eastAsia="仿宋_GB2312" w:cs="仿宋_GB2312"/>
          <w:color w:val="000000"/>
          <w:sz w:val="32"/>
          <w:szCs w:val="32"/>
        </w:rPr>
        <w:t>万元。与2018年相比，收、支总计各增加</w:t>
      </w:r>
      <w:r>
        <w:rPr>
          <w:rFonts w:hint="eastAsia" w:ascii="仿宋_GB2312" w:hAnsi="仿宋_GB2312" w:eastAsia="仿宋_GB2312" w:cs="仿宋_GB2312"/>
          <w:color w:val="000000"/>
          <w:sz w:val="32"/>
          <w:szCs w:val="32"/>
          <w:lang w:val="en-US" w:eastAsia="zh-CN"/>
        </w:rPr>
        <w:t>1649.16</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64.99</w:t>
      </w:r>
      <w:r>
        <w:rPr>
          <w:rFonts w:hint="eastAsia" w:ascii="仿宋_GB2312" w:hAnsi="仿宋_GB2312" w:eastAsia="仿宋_GB2312" w:cs="仿宋_GB2312"/>
          <w:color w:val="000000"/>
          <w:sz w:val="32"/>
          <w:szCs w:val="32"/>
        </w:rPr>
        <w:t>%。主要变动原因是机构改革，金峰乡并入</w:t>
      </w:r>
      <w:r>
        <w:rPr>
          <w:rFonts w:hint="eastAsia" w:ascii="仿宋_GB2312" w:hAnsi="仿宋_GB2312" w:eastAsia="仿宋_GB2312" w:cs="仿宋_GB2312"/>
          <w:color w:val="000000"/>
          <w:sz w:val="32"/>
          <w:szCs w:val="32"/>
          <w:lang w:eastAsia="zh-CN"/>
        </w:rPr>
        <w:t>。</w:t>
      </w:r>
    </w:p>
    <w:p w14:paraId="5E8B52B8">
      <w:pPr>
        <w:spacing w:line="60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drawing>
          <wp:anchor distT="0" distB="0" distL="114300" distR="114300" simplePos="0" relativeHeight="251659264" behindDoc="0" locked="0" layoutInCell="1" allowOverlap="1">
            <wp:simplePos x="0" y="0"/>
            <wp:positionH relativeFrom="column">
              <wp:posOffset>704850</wp:posOffset>
            </wp:positionH>
            <wp:positionV relativeFrom="page">
              <wp:posOffset>3691255</wp:posOffset>
            </wp:positionV>
            <wp:extent cx="3703955" cy="3386455"/>
            <wp:effectExtent l="4445" t="5080" r="6350" b="1841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55038DFA">
      <w:pPr>
        <w:spacing w:line="600" w:lineRule="exact"/>
        <w:ind w:firstLine="640" w:firstLineChars="200"/>
        <w:jc w:val="left"/>
        <w:rPr>
          <w:rFonts w:hint="eastAsia" w:ascii="仿宋_GB2312" w:hAnsi="仿宋_GB2312" w:eastAsia="仿宋_GB2312" w:cs="仿宋_GB2312"/>
          <w:color w:val="000000"/>
          <w:sz w:val="32"/>
          <w:szCs w:val="32"/>
        </w:rPr>
      </w:pPr>
    </w:p>
    <w:p w14:paraId="16D80830">
      <w:pPr>
        <w:spacing w:line="600" w:lineRule="exact"/>
        <w:ind w:firstLine="640" w:firstLineChars="200"/>
        <w:jc w:val="left"/>
        <w:rPr>
          <w:rFonts w:hint="eastAsia" w:ascii="仿宋_GB2312" w:hAnsi="仿宋_GB2312" w:eastAsia="仿宋_GB2312" w:cs="仿宋_GB2312"/>
          <w:color w:val="000000"/>
          <w:sz w:val="32"/>
          <w:szCs w:val="32"/>
        </w:rPr>
      </w:pPr>
    </w:p>
    <w:p w14:paraId="66065536">
      <w:pPr>
        <w:spacing w:line="600" w:lineRule="exact"/>
        <w:ind w:firstLine="640" w:firstLineChars="200"/>
        <w:jc w:val="left"/>
        <w:rPr>
          <w:rFonts w:hint="eastAsia" w:ascii="仿宋_GB2312" w:hAnsi="仿宋_GB2312" w:eastAsia="仿宋_GB2312" w:cs="仿宋_GB2312"/>
          <w:color w:val="000000"/>
          <w:sz w:val="32"/>
          <w:szCs w:val="32"/>
        </w:rPr>
      </w:pPr>
    </w:p>
    <w:p w14:paraId="724BDD40">
      <w:pPr>
        <w:spacing w:line="600" w:lineRule="exact"/>
        <w:ind w:firstLine="640" w:firstLineChars="200"/>
        <w:jc w:val="left"/>
        <w:rPr>
          <w:rFonts w:hint="eastAsia" w:ascii="仿宋_GB2312" w:hAnsi="仿宋_GB2312" w:eastAsia="仿宋_GB2312" w:cs="仿宋_GB2312"/>
          <w:color w:val="000000"/>
          <w:sz w:val="32"/>
          <w:szCs w:val="32"/>
        </w:rPr>
      </w:pPr>
    </w:p>
    <w:p w14:paraId="0A1F5482">
      <w:pPr>
        <w:spacing w:line="600" w:lineRule="exact"/>
        <w:ind w:firstLine="640" w:firstLineChars="200"/>
        <w:jc w:val="left"/>
        <w:rPr>
          <w:rFonts w:hint="eastAsia" w:ascii="仿宋_GB2312" w:hAnsi="仿宋_GB2312" w:eastAsia="仿宋_GB2312" w:cs="仿宋_GB2312"/>
          <w:color w:val="000000"/>
          <w:sz w:val="32"/>
          <w:szCs w:val="32"/>
        </w:rPr>
      </w:pPr>
    </w:p>
    <w:p w14:paraId="4AB05B22">
      <w:pPr>
        <w:spacing w:line="600" w:lineRule="exact"/>
        <w:ind w:firstLine="640" w:firstLineChars="200"/>
        <w:jc w:val="left"/>
        <w:rPr>
          <w:rFonts w:hint="eastAsia" w:ascii="仿宋_GB2312" w:hAnsi="仿宋_GB2312" w:eastAsia="仿宋_GB2312" w:cs="仿宋_GB2312"/>
          <w:color w:val="000000"/>
          <w:sz w:val="32"/>
          <w:szCs w:val="32"/>
        </w:rPr>
      </w:pPr>
    </w:p>
    <w:p w14:paraId="0002A689">
      <w:pPr>
        <w:spacing w:line="600" w:lineRule="exact"/>
        <w:ind w:firstLine="640" w:firstLineChars="200"/>
        <w:jc w:val="left"/>
        <w:rPr>
          <w:rFonts w:hint="eastAsia" w:ascii="仿宋_GB2312" w:hAnsi="仿宋_GB2312" w:eastAsia="仿宋_GB2312" w:cs="仿宋_GB2312"/>
          <w:color w:val="000000"/>
          <w:sz w:val="32"/>
          <w:szCs w:val="32"/>
        </w:rPr>
      </w:pPr>
    </w:p>
    <w:p w14:paraId="0EC7B4BF">
      <w:pPr>
        <w:spacing w:line="600" w:lineRule="exact"/>
        <w:ind w:firstLine="640" w:firstLineChars="200"/>
        <w:jc w:val="left"/>
        <w:rPr>
          <w:rFonts w:hint="eastAsia" w:ascii="仿宋_GB2312" w:hAnsi="仿宋_GB2312" w:eastAsia="仿宋_GB2312" w:cs="仿宋_GB2312"/>
          <w:color w:val="000000"/>
          <w:sz w:val="32"/>
          <w:szCs w:val="32"/>
        </w:rPr>
      </w:pPr>
    </w:p>
    <w:p w14:paraId="54A887F5">
      <w:pPr>
        <w:spacing w:line="600" w:lineRule="exact"/>
        <w:ind w:firstLine="640" w:firstLineChars="200"/>
        <w:jc w:val="left"/>
        <w:rPr>
          <w:rFonts w:hint="eastAsia" w:ascii="仿宋_GB2312" w:hAnsi="仿宋_GB2312" w:eastAsia="仿宋_GB2312" w:cs="仿宋_GB2312"/>
          <w:color w:val="000000"/>
          <w:sz w:val="32"/>
          <w:szCs w:val="32"/>
        </w:rPr>
      </w:pPr>
    </w:p>
    <w:p w14:paraId="5F8565FC">
      <w:pPr>
        <w:pStyle w:val="24"/>
        <w:numPr>
          <w:ilvl w:val="0"/>
          <w:numId w:val="3"/>
        </w:numPr>
        <w:spacing w:line="600" w:lineRule="exact"/>
        <w:ind w:firstLineChars="0"/>
        <w:outlineLvl w:val="1"/>
        <w:rPr>
          <w:rStyle w:val="26"/>
          <w:rFonts w:hint="eastAsia" w:ascii="黑体" w:hAnsi="黑体" w:eastAsia="黑体" w:cs="黑体"/>
          <w:b w:val="0"/>
          <w:sz w:val="32"/>
          <w:szCs w:val="32"/>
        </w:rPr>
      </w:pPr>
      <w:bookmarkStart w:id="26" w:name="_Toc15396604"/>
      <w:bookmarkStart w:id="27" w:name="_Toc15377206"/>
      <w:r>
        <w:rPr>
          <w:rFonts w:hint="eastAsia" w:ascii="黑体" w:hAnsi="黑体" w:eastAsia="黑体" w:cs="黑体"/>
          <w:color w:val="000000"/>
          <w:sz w:val="32"/>
          <w:szCs w:val="32"/>
        </w:rPr>
        <w:t>收</w:t>
      </w:r>
      <w:r>
        <w:rPr>
          <w:rStyle w:val="26"/>
          <w:rFonts w:hint="eastAsia" w:ascii="黑体" w:hAnsi="黑体" w:eastAsia="黑体" w:cs="黑体"/>
          <w:b w:val="0"/>
          <w:sz w:val="32"/>
          <w:szCs w:val="32"/>
        </w:rPr>
        <w:t>入决算情况说明</w:t>
      </w:r>
      <w:bookmarkEnd w:id="26"/>
      <w:bookmarkEnd w:id="27"/>
    </w:p>
    <w:p w14:paraId="3AE1FACE">
      <w:pPr>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w:t>
      </w:r>
      <w:r>
        <w:rPr>
          <w:rFonts w:hint="eastAsia" w:ascii="仿宋_GB2312" w:hAnsi="仿宋_GB2312" w:eastAsia="仿宋_GB2312" w:cs="仿宋_GB2312"/>
          <w:color w:val="000000"/>
          <w:sz w:val="32"/>
          <w:szCs w:val="32"/>
          <w:lang w:val="en-US" w:eastAsia="zh-CN"/>
        </w:rPr>
        <w:t>1890.97</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1848.25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97.74</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42.72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2.26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上级补助收入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%；事业收入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%；附属单位上缴收入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%；其他收入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14:paraId="3C6E090E">
      <w:pPr>
        <w:spacing w:line="6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367665</wp:posOffset>
            </wp:positionH>
            <wp:positionV relativeFrom="page">
              <wp:posOffset>1097280</wp:posOffset>
            </wp:positionV>
            <wp:extent cx="4595495" cy="3056890"/>
            <wp:effectExtent l="0" t="0" r="14605" b="1016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0F73096A">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1BCFD8C9">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26808689">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573F208C">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25922B02">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39C1750F">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6948381F">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4255D032">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3325BC1B">
      <w:pPr>
        <w:pStyle w:val="24"/>
        <w:numPr>
          <w:ilvl w:val="0"/>
          <w:numId w:val="3"/>
        </w:numPr>
        <w:spacing w:line="600" w:lineRule="exact"/>
        <w:ind w:firstLineChars="0"/>
        <w:outlineLvl w:val="1"/>
        <w:rPr>
          <w:rStyle w:val="26"/>
          <w:rFonts w:hint="eastAsia" w:ascii="黑体" w:hAnsi="黑体" w:eastAsia="黑体" w:cs="黑体"/>
          <w:b w:val="0"/>
          <w:sz w:val="32"/>
          <w:szCs w:val="32"/>
        </w:rPr>
      </w:pPr>
      <w:bookmarkStart w:id="28" w:name="_Toc15396605"/>
      <w:bookmarkStart w:id="29" w:name="_Toc15377207"/>
      <w:r>
        <w:rPr>
          <w:rFonts w:hint="eastAsia" w:ascii="黑体" w:hAnsi="黑体" w:eastAsia="黑体" w:cs="黑体"/>
          <w:color w:val="000000"/>
          <w:sz w:val="32"/>
          <w:szCs w:val="32"/>
        </w:rPr>
        <w:t>支</w:t>
      </w:r>
      <w:r>
        <w:rPr>
          <w:rStyle w:val="26"/>
          <w:rFonts w:hint="eastAsia" w:ascii="黑体" w:hAnsi="黑体" w:eastAsia="黑体" w:cs="黑体"/>
          <w:b w:val="0"/>
          <w:sz w:val="32"/>
          <w:szCs w:val="32"/>
        </w:rPr>
        <w:t>出决算情况说明</w:t>
      </w:r>
      <w:bookmarkEnd w:id="28"/>
      <w:bookmarkEnd w:id="29"/>
    </w:p>
    <w:p w14:paraId="63696529">
      <w:pPr>
        <w:spacing w:line="600" w:lineRule="exact"/>
        <w:ind w:firstLine="640" w:firstLineChars="200"/>
        <w:outlineLvl w:val="1"/>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2019年本年支出合计</w:t>
      </w:r>
      <w:r>
        <w:rPr>
          <w:rFonts w:hint="eastAsia" w:ascii="仿宋_GB2312" w:hAnsi="仿宋_GB2312" w:eastAsia="仿宋_GB2312" w:cs="仿宋_GB2312"/>
          <w:color w:val="000000"/>
          <w:sz w:val="32"/>
          <w:szCs w:val="32"/>
          <w:lang w:val="en-US" w:eastAsia="zh-CN"/>
        </w:rPr>
        <w:t>1890.49</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1065.92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56.38</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824.57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43.62</w:t>
      </w:r>
      <w:r>
        <w:rPr>
          <w:rFonts w:hint="eastAsia" w:ascii="仿宋_GB2312" w:hAnsi="仿宋_GB2312" w:eastAsia="仿宋_GB2312" w:cs="仿宋_GB2312"/>
          <w:color w:val="000000"/>
          <w:sz w:val="32"/>
          <w:szCs w:val="32"/>
        </w:rPr>
        <w:t>%；上缴上级支出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14:paraId="79C35A77">
      <w:pPr>
        <w:spacing w:line="600" w:lineRule="exact"/>
        <w:ind w:firstLine="640" w:firstLineChars="200"/>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FF0000"/>
          <w:sz w:val="32"/>
          <w:szCs w:val="32"/>
          <w:lang w:eastAsia="zh-CN"/>
        </w:rPr>
        <w:drawing>
          <wp:anchor distT="0" distB="0" distL="114300" distR="114300" simplePos="0" relativeHeight="251661312" behindDoc="0" locked="0" layoutInCell="1" allowOverlap="1">
            <wp:simplePos x="0" y="0"/>
            <wp:positionH relativeFrom="column">
              <wp:posOffset>740410</wp:posOffset>
            </wp:positionH>
            <wp:positionV relativeFrom="page">
              <wp:posOffset>6486525</wp:posOffset>
            </wp:positionV>
            <wp:extent cx="3383915" cy="2545715"/>
            <wp:effectExtent l="4445" t="4445" r="21590" b="2159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8BE80FC">
      <w:pPr>
        <w:spacing w:line="600" w:lineRule="exact"/>
        <w:ind w:firstLine="640" w:firstLineChars="200"/>
        <w:rPr>
          <w:rFonts w:hint="eastAsia" w:ascii="仿宋_GB2312" w:hAnsi="仿宋_GB2312" w:eastAsia="仿宋_GB2312" w:cs="仿宋_GB2312"/>
          <w:color w:val="FF0000"/>
          <w:sz w:val="32"/>
          <w:szCs w:val="32"/>
        </w:rPr>
      </w:pPr>
    </w:p>
    <w:p w14:paraId="24A4905D">
      <w:pPr>
        <w:spacing w:line="600" w:lineRule="exact"/>
        <w:ind w:firstLine="640" w:firstLineChars="200"/>
        <w:rPr>
          <w:rFonts w:hint="eastAsia" w:ascii="仿宋_GB2312" w:hAnsi="仿宋_GB2312" w:eastAsia="仿宋_GB2312" w:cs="仿宋_GB2312"/>
          <w:color w:val="FF0000"/>
          <w:sz w:val="32"/>
          <w:szCs w:val="32"/>
        </w:rPr>
      </w:pPr>
    </w:p>
    <w:p w14:paraId="2F1E741D">
      <w:pPr>
        <w:spacing w:line="600" w:lineRule="exact"/>
        <w:ind w:firstLine="640" w:firstLineChars="200"/>
        <w:rPr>
          <w:rFonts w:hint="eastAsia" w:ascii="仿宋_GB2312" w:hAnsi="仿宋_GB2312" w:eastAsia="仿宋_GB2312" w:cs="仿宋_GB2312"/>
          <w:color w:val="FF0000"/>
          <w:sz w:val="32"/>
          <w:szCs w:val="32"/>
        </w:rPr>
      </w:pPr>
    </w:p>
    <w:p w14:paraId="7647F994">
      <w:pPr>
        <w:spacing w:line="600" w:lineRule="exact"/>
        <w:ind w:firstLine="640" w:firstLineChars="200"/>
        <w:rPr>
          <w:rFonts w:hint="eastAsia" w:ascii="仿宋_GB2312" w:hAnsi="仿宋_GB2312" w:eastAsia="仿宋_GB2312" w:cs="仿宋_GB2312"/>
          <w:color w:val="FF0000"/>
          <w:sz w:val="32"/>
          <w:szCs w:val="32"/>
        </w:rPr>
      </w:pPr>
    </w:p>
    <w:p w14:paraId="390FDEB9">
      <w:pPr>
        <w:spacing w:line="600" w:lineRule="exact"/>
        <w:ind w:firstLine="640" w:firstLineChars="200"/>
        <w:rPr>
          <w:rFonts w:hint="eastAsia" w:ascii="仿宋_GB2312" w:hAnsi="仿宋_GB2312" w:eastAsia="仿宋_GB2312" w:cs="仿宋_GB2312"/>
          <w:color w:val="FF0000"/>
          <w:sz w:val="32"/>
          <w:szCs w:val="32"/>
        </w:rPr>
      </w:pPr>
    </w:p>
    <w:p w14:paraId="7C6CCF64">
      <w:pPr>
        <w:spacing w:line="600" w:lineRule="exact"/>
        <w:ind w:firstLine="640" w:firstLineChars="200"/>
        <w:rPr>
          <w:rFonts w:hint="eastAsia" w:ascii="仿宋_GB2312" w:hAnsi="仿宋_GB2312" w:eastAsia="仿宋_GB2312" w:cs="仿宋_GB2312"/>
          <w:color w:val="FF0000"/>
          <w:sz w:val="32"/>
          <w:szCs w:val="32"/>
        </w:rPr>
      </w:pPr>
    </w:p>
    <w:p w14:paraId="632543F4">
      <w:pPr>
        <w:spacing w:line="600" w:lineRule="exact"/>
        <w:ind w:firstLine="640" w:firstLineChars="200"/>
        <w:outlineLvl w:val="1"/>
        <w:rPr>
          <w:rFonts w:hint="eastAsia" w:ascii="仿宋_GB2312" w:hAnsi="仿宋_GB2312" w:eastAsia="仿宋_GB2312" w:cs="仿宋_GB2312"/>
          <w:color w:val="000000"/>
          <w:sz w:val="32"/>
          <w:szCs w:val="32"/>
        </w:rPr>
      </w:pPr>
      <w:bookmarkStart w:id="30" w:name="_Toc15377208"/>
      <w:bookmarkStart w:id="31" w:name="_Toc15396606"/>
    </w:p>
    <w:p w14:paraId="23686C2E">
      <w:pPr>
        <w:spacing w:line="600" w:lineRule="exact"/>
        <w:ind w:firstLine="640" w:firstLineChars="200"/>
        <w:outlineLvl w:val="1"/>
        <w:rPr>
          <w:rStyle w:val="26"/>
          <w:rFonts w:hint="eastAsia" w:ascii="黑体" w:hAnsi="黑体" w:eastAsia="黑体" w:cs="黑体"/>
          <w:b w:val="0"/>
          <w:sz w:val="32"/>
          <w:szCs w:val="32"/>
        </w:rPr>
      </w:pPr>
      <w:r>
        <w:rPr>
          <w:rFonts w:hint="eastAsia" w:ascii="黑体" w:hAnsi="黑体" w:eastAsia="黑体" w:cs="黑体"/>
          <w:color w:val="000000"/>
          <w:sz w:val="32"/>
          <w:szCs w:val="32"/>
        </w:rPr>
        <w:t>四、财</w:t>
      </w:r>
      <w:r>
        <w:rPr>
          <w:rStyle w:val="26"/>
          <w:rFonts w:hint="eastAsia" w:ascii="黑体" w:hAnsi="黑体" w:eastAsia="黑体" w:cs="黑体"/>
          <w:b w:val="0"/>
          <w:sz w:val="32"/>
          <w:szCs w:val="32"/>
        </w:rPr>
        <w:t>政拨款收入支出决算总体情况说明</w:t>
      </w:r>
      <w:bookmarkEnd w:id="30"/>
      <w:bookmarkEnd w:id="31"/>
    </w:p>
    <w:p w14:paraId="77B72EBE">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lang w:eastAsia="zh-CN"/>
        </w:rPr>
        <w:t>财政拨款</w:t>
      </w:r>
      <w:r>
        <w:rPr>
          <w:rFonts w:hint="eastAsia" w:ascii="仿宋_GB2312" w:hAnsi="仿宋_GB2312" w:eastAsia="仿宋_GB2312" w:cs="仿宋_GB2312"/>
          <w:color w:val="000000"/>
          <w:sz w:val="32"/>
          <w:szCs w:val="32"/>
        </w:rPr>
        <w:t>收、支总计</w:t>
      </w:r>
      <w:r>
        <w:rPr>
          <w:rFonts w:hint="eastAsia" w:ascii="仿宋_GB2312" w:hAnsi="仿宋_GB2312" w:eastAsia="仿宋_GB2312" w:cs="仿宋_GB2312"/>
          <w:color w:val="000000"/>
          <w:sz w:val="32"/>
          <w:szCs w:val="32"/>
          <w:lang w:val="en-US" w:eastAsia="zh-CN"/>
        </w:rPr>
        <w:t>4186.86</w:t>
      </w:r>
      <w:r>
        <w:rPr>
          <w:rFonts w:hint="eastAsia" w:ascii="仿宋_GB2312" w:hAnsi="仿宋_GB2312" w:eastAsia="仿宋_GB2312" w:cs="仿宋_GB2312"/>
          <w:color w:val="000000"/>
          <w:sz w:val="32"/>
          <w:szCs w:val="32"/>
        </w:rPr>
        <w:t>万元。与2018年相比，</w:t>
      </w:r>
      <w:r>
        <w:rPr>
          <w:rFonts w:hint="eastAsia" w:ascii="仿宋_GB2312" w:hAnsi="仿宋_GB2312" w:eastAsia="仿宋_GB2312" w:cs="仿宋_GB2312"/>
          <w:color w:val="000000"/>
          <w:sz w:val="32"/>
          <w:szCs w:val="32"/>
          <w:lang w:eastAsia="zh-CN"/>
        </w:rPr>
        <w:t>财政拨款</w:t>
      </w:r>
      <w:r>
        <w:rPr>
          <w:rFonts w:hint="eastAsia" w:ascii="仿宋_GB2312" w:hAnsi="仿宋_GB2312" w:eastAsia="仿宋_GB2312" w:cs="仿宋_GB2312"/>
          <w:color w:val="000000"/>
          <w:sz w:val="32"/>
          <w:szCs w:val="32"/>
        </w:rPr>
        <w:t>收、支总计各增加</w:t>
      </w:r>
      <w:r>
        <w:rPr>
          <w:rFonts w:hint="eastAsia" w:ascii="仿宋_GB2312" w:hAnsi="仿宋_GB2312" w:eastAsia="仿宋_GB2312" w:cs="仿宋_GB2312"/>
          <w:color w:val="000000"/>
          <w:sz w:val="32"/>
          <w:szCs w:val="32"/>
          <w:lang w:val="en-US" w:eastAsia="zh-CN"/>
        </w:rPr>
        <w:t>1649.16</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64.99</w:t>
      </w:r>
      <w:r>
        <w:rPr>
          <w:rFonts w:hint="eastAsia" w:ascii="仿宋_GB2312" w:hAnsi="仿宋_GB2312" w:eastAsia="仿宋_GB2312" w:cs="仿宋_GB2312"/>
          <w:color w:val="000000"/>
          <w:sz w:val="32"/>
          <w:szCs w:val="32"/>
        </w:rPr>
        <w:t>%。主要变动原因是机构改革，金峰乡并入</w:t>
      </w:r>
      <w:r>
        <w:rPr>
          <w:rFonts w:hint="eastAsia" w:ascii="仿宋_GB2312" w:hAnsi="仿宋_GB2312" w:eastAsia="仿宋_GB2312" w:cs="仿宋_GB2312"/>
          <w:color w:val="000000"/>
          <w:sz w:val="32"/>
          <w:szCs w:val="32"/>
          <w:lang w:eastAsia="zh-CN"/>
        </w:rPr>
        <w:t>。</w:t>
      </w:r>
    </w:p>
    <w:p w14:paraId="7CB938ED">
      <w:pPr>
        <w:spacing w:line="60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drawing>
          <wp:anchor distT="0" distB="0" distL="114300" distR="114300" simplePos="0" relativeHeight="251662336" behindDoc="0" locked="0" layoutInCell="1" allowOverlap="1">
            <wp:simplePos x="0" y="0"/>
            <wp:positionH relativeFrom="column">
              <wp:posOffset>793115</wp:posOffset>
            </wp:positionH>
            <wp:positionV relativeFrom="page">
              <wp:posOffset>2218055</wp:posOffset>
            </wp:positionV>
            <wp:extent cx="3764280" cy="3117850"/>
            <wp:effectExtent l="4445" t="4445" r="22225" b="2095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3664C58">
      <w:pPr>
        <w:spacing w:line="600" w:lineRule="exact"/>
        <w:rPr>
          <w:rFonts w:hint="eastAsia" w:ascii="仿宋_GB2312" w:hAnsi="仿宋_GB2312" w:eastAsia="仿宋_GB2312" w:cs="仿宋_GB2312"/>
          <w:color w:val="000000"/>
          <w:sz w:val="32"/>
          <w:szCs w:val="32"/>
        </w:rPr>
      </w:pPr>
    </w:p>
    <w:p w14:paraId="7980F527">
      <w:pPr>
        <w:spacing w:line="600" w:lineRule="exact"/>
        <w:rPr>
          <w:rFonts w:hint="eastAsia" w:ascii="仿宋_GB2312" w:hAnsi="仿宋_GB2312" w:eastAsia="仿宋_GB2312" w:cs="仿宋_GB2312"/>
          <w:color w:val="000000"/>
          <w:sz w:val="32"/>
          <w:szCs w:val="32"/>
          <w:lang w:eastAsia="zh-CN"/>
        </w:rPr>
      </w:pPr>
    </w:p>
    <w:p w14:paraId="38CE4FB9">
      <w:pPr>
        <w:spacing w:line="600" w:lineRule="exact"/>
        <w:rPr>
          <w:rFonts w:hint="eastAsia" w:ascii="仿宋_GB2312" w:hAnsi="仿宋_GB2312" w:eastAsia="仿宋_GB2312" w:cs="仿宋_GB2312"/>
          <w:color w:val="000000"/>
          <w:sz w:val="32"/>
          <w:szCs w:val="32"/>
        </w:rPr>
      </w:pPr>
    </w:p>
    <w:p w14:paraId="12A3D98D">
      <w:pPr>
        <w:spacing w:line="600" w:lineRule="exact"/>
        <w:rPr>
          <w:rFonts w:hint="eastAsia" w:ascii="仿宋_GB2312" w:hAnsi="仿宋_GB2312" w:eastAsia="仿宋_GB2312" w:cs="仿宋_GB2312"/>
          <w:color w:val="000000"/>
          <w:sz w:val="32"/>
          <w:szCs w:val="32"/>
        </w:rPr>
      </w:pPr>
    </w:p>
    <w:p w14:paraId="650E3714">
      <w:pPr>
        <w:spacing w:line="600" w:lineRule="exact"/>
        <w:rPr>
          <w:rFonts w:hint="eastAsia" w:ascii="仿宋_GB2312" w:hAnsi="仿宋_GB2312" w:eastAsia="仿宋_GB2312" w:cs="仿宋_GB2312"/>
          <w:color w:val="000000"/>
          <w:sz w:val="32"/>
          <w:szCs w:val="32"/>
        </w:rPr>
      </w:pPr>
    </w:p>
    <w:p w14:paraId="0CE12139">
      <w:pPr>
        <w:spacing w:line="600" w:lineRule="exact"/>
        <w:rPr>
          <w:rFonts w:hint="eastAsia" w:ascii="仿宋_GB2312" w:hAnsi="仿宋_GB2312" w:eastAsia="仿宋_GB2312" w:cs="仿宋_GB2312"/>
          <w:color w:val="000000"/>
          <w:sz w:val="32"/>
          <w:szCs w:val="32"/>
        </w:rPr>
      </w:pPr>
    </w:p>
    <w:p w14:paraId="0E13F256">
      <w:pPr>
        <w:spacing w:line="600" w:lineRule="exact"/>
        <w:rPr>
          <w:rFonts w:hint="eastAsia" w:ascii="仿宋_GB2312" w:hAnsi="仿宋_GB2312" w:eastAsia="仿宋_GB2312" w:cs="仿宋_GB2312"/>
          <w:color w:val="000000"/>
          <w:sz w:val="32"/>
          <w:szCs w:val="32"/>
        </w:rPr>
      </w:pPr>
    </w:p>
    <w:p w14:paraId="26AAD85E">
      <w:pPr>
        <w:spacing w:line="600" w:lineRule="exact"/>
        <w:rPr>
          <w:rFonts w:hint="eastAsia" w:ascii="仿宋_GB2312" w:hAnsi="仿宋_GB2312" w:eastAsia="仿宋_GB2312" w:cs="仿宋_GB2312"/>
          <w:b/>
          <w:color w:val="00B050"/>
          <w:sz w:val="32"/>
          <w:szCs w:val="32"/>
        </w:rPr>
      </w:pPr>
    </w:p>
    <w:p w14:paraId="5BAF8E81">
      <w:pPr>
        <w:spacing w:line="600" w:lineRule="exact"/>
        <w:ind w:firstLine="640" w:firstLineChars="200"/>
        <w:outlineLvl w:val="1"/>
        <w:rPr>
          <w:rStyle w:val="26"/>
          <w:rFonts w:hint="eastAsia" w:ascii="黑体" w:hAnsi="黑体" w:eastAsia="黑体" w:cs="黑体"/>
          <w:b w:val="0"/>
          <w:sz w:val="32"/>
          <w:szCs w:val="32"/>
        </w:rPr>
      </w:pPr>
      <w:bookmarkStart w:id="32" w:name="_Toc15396607"/>
      <w:bookmarkStart w:id="33" w:name="_Toc15377209"/>
      <w:r>
        <w:rPr>
          <w:rFonts w:hint="eastAsia" w:ascii="黑体" w:hAnsi="黑体" w:eastAsia="黑体" w:cs="黑体"/>
          <w:color w:val="000000"/>
          <w:sz w:val="32"/>
          <w:szCs w:val="32"/>
        </w:rPr>
        <w:t>五、</w:t>
      </w:r>
      <w:r>
        <w:rPr>
          <w:rFonts w:hint="eastAsia" w:ascii="黑体" w:hAnsi="黑体" w:eastAsia="黑体" w:cs="黑体"/>
          <w:b/>
          <w:color w:val="000000"/>
          <w:sz w:val="32"/>
          <w:szCs w:val="32"/>
        </w:rPr>
        <w:t>一</w:t>
      </w:r>
      <w:r>
        <w:rPr>
          <w:rStyle w:val="26"/>
          <w:rFonts w:hint="eastAsia" w:ascii="黑体" w:hAnsi="黑体" w:eastAsia="黑体" w:cs="黑体"/>
          <w:b w:val="0"/>
          <w:sz w:val="32"/>
          <w:szCs w:val="32"/>
        </w:rPr>
        <w:t>般公共预算财政拨款支出决算情况说明</w:t>
      </w:r>
      <w:bookmarkEnd w:id="32"/>
      <w:bookmarkEnd w:id="33"/>
    </w:p>
    <w:p w14:paraId="5E24E842">
      <w:pPr>
        <w:spacing w:line="600" w:lineRule="exact"/>
        <w:ind w:firstLine="643" w:firstLineChars="200"/>
        <w:outlineLvl w:val="2"/>
        <w:rPr>
          <w:rFonts w:hint="eastAsia" w:ascii="楷体_GB2312" w:hAnsi="楷体_GB2312" w:eastAsia="楷体_GB2312" w:cs="楷体_GB2312"/>
          <w:b/>
          <w:bCs w:val="0"/>
          <w:color w:val="000000"/>
          <w:sz w:val="32"/>
          <w:szCs w:val="32"/>
        </w:rPr>
      </w:pPr>
      <w:bookmarkStart w:id="34" w:name="_Toc15377210"/>
      <w:r>
        <w:rPr>
          <w:rFonts w:hint="eastAsia" w:ascii="楷体_GB2312" w:hAnsi="楷体_GB2312" w:eastAsia="楷体_GB2312" w:cs="楷体_GB2312"/>
          <w:b/>
          <w:bCs w:val="0"/>
          <w:color w:val="000000"/>
          <w:sz w:val="32"/>
          <w:szCs w:val="32"/>
        </w:rPr>
        <w:t>（一）一般公共预算财政拨款支出决算总体情况</w:t>
      </w:r>
      <w:bookmarkEnd w:id="34"/>
    </w:p>
    <w:p w14:paraId="0D518CD6">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2019年一般公共预算财政拨款支出</w:t>
      </w:r>
      <w:r>
        <w:rPr>
          <w:rFonts w:hint="eastAsia" w:ascii="仿宋_GB2312" w:hAnsi="仿宋_GB2312" w:eastAsia="仿宋_GB2312" w:cs="仿宋_GB2312"/>
          <w:color w:val="000000"/>
          <w:sz w:val="32"/>
          <w:szCs w:val="32"/>
          <w:lang w:val="en-US" w:eastAsia="zh-CN"/>
        </w:rPr>
        <w:t>1816.77</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96.1</w:t>
      </w:r>
      <w:r>
        <w:rPr>
          <w:rFonts w:hint="eastAsia" w:ascii="仿宋_GB2312" w:hAnsi="仿宋_GB2312" w:eastAsia="仿宋_GB2312" w:cs="仿宋_GB2312"/>
          <w:color w:val="000000"/>
          <w:sz w:val="32"/>
          <w:szCs w:val="32"/>
        </w:rPr>
        <w:t>%。与2018年相比，一般公共预算财政拨款增加</w:t>
      </w:r>
      <w:r>
        <w:rPr>
          <w:rFonts w:hint="eastAsia" w:ascii="仿宋_GB2312" w:hAnsi="仿宋_GB2312" w:eastAsia="仿宋_GB2312" w:cs="仿宋_GB2312"/>
          <w:color w:val="000000"/>
          <w:sz w:val="32"/>
          <w:szCs w:val="32"/>
          <w:lang w:val="en-US" w:eastAsia="zh-CN"/>
        </w:rPr>
        <w:t>735.16</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0.09</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机构改革，金峰乡并入。</w:t>
      </w:r>
    </w:p>
    <w:p w14:paraId="292043EE">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anchor distT="0" distB="0" distL="114300" distR="114300" simplePos="0" relativeHeight="251663360" behindDoc="0" locked="0" layoutInCell="1" allowOverlap="1">
            <wp:simplePos x="0" y="0"/>
            <wp:positionH relativeFrom="column">
              <wp:posOffset>575310</wp:posOffset>
            </wp:positionH>
            <wp:positionV relativeFrom="page">
              <wp:posOffset>7777480</wp:posOffset>
            </wp:positionV>
            <wp:extent cx="3867785" cy="2286635"/>
            <wp:effectExtent l="4445" t="4445" r="13970" b="1397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9271118">
      <w:pPr>
        <w:spacing w:line="600" w:lineRule="exact"/>
        <w:ind w:firstLine="640" w:firstLineChars="200"/>
        <w:rPr>
          <w:rFonts w:hint="eastAsia" w:ascii="仿宋_GB2312" w:hAnsi="仿宋_GB2312" w:eastAsia="仿宋_GB2312" w:cs="仿宋_GB2312"/>
          <w:color w:val="000000"/>
          <w:sz w:val="32"/>
          <w:szCs w:val="32"/>
          <w:lang w:eastAsia="zh-CN"/>
        </w:rPr>
      </w:pPr>
    </w:p>
    <w:p w14:paraId="662019D6">
      <w:pPr>
        <w:spacing w:line="600" w:lineRule="exact"/>
        <w:ind w:firstLine="640" w:firstLineChars="200"/>
        <w:rPr>
          <w:rFonts w:hint="eastAsia" w:ascii="仿宋_GB2312" w:hAnsi="仿宋_GB2312" w:eastAsia="仿宋_GB2312" w:cs="仿宋_GB2312"/>
          <w:color w:val="000000"/>
          <w:sz w:val="32"/>
          <w:szCs w:val="32"/>
          <w:lang w:eastAsia="zh-CN"/>
        </w:rPr>
      </w:pPr>
    </w:p>
    <w:p w14:paraId="684125B2">
      <w:pPr>
        <w:spacing w:line="600" w:lineRule="exact"/>
        <w:ind w:firstLine="640" w:firstLineChars="200"/>
        <w:rPr>
          <w:rFonts w:hint="eastAsia" w:ascii="仿宋_GB2312" w:hAnsi="仿宋_GB2312" w:eastAsia="仿宋_GB2312" w:cs="仿宋_GB2312"/>
          <w:color w:val="000000"/>
          <w:sz w:val="32"/>
          <w:szCs w:val="32"/>
          <w:lang w:eastAsia="zh-CN"/>
        </w:rPr>
      </w:pPr>
    </w:p>
    <w:p w14:paraId="6FA29381">
      <w:pPr>
        <w:spacing w:line="600" w:lineRule="exact"/>
        <w:ind w:firstLine="640" w:firstLineChars="200"/>
        <w:rPr>
          <w:rFonts w:hint="eastAsia" w:ascii="仿宋_GB2312" w:hAnsi="仿宋_GB2312" w:eastAsia="仿宋_GB2312" w:cs="仿宋_GB2312"/>
          <w:color w:val="000000"/>
          <w:sz w:val="32"/>
          <w:szCs w:val="32"/>
          <w:lang w:eastAsia="zh-CN"/>
        </w:rPr>
      </w:pPr>
    </w:p>
    <w:p w14:paraId="3FA6A954">
      <w:pPr>
        <w:spacing w:line="600" w:lineRule="exact"/>
        <w:ind w:firstLine="643" w:firstLineChars="200"/>
        <w:outlineLvl w:val="2"/>
        <w:rPr>
          <w:rFonts w:hint="eastAsia" w:ascii="楷体_GB2312" w:hAnsi="楷体_GB2312" w:eastAsia="楷体_GB2312" w:cs="楷体_GB2312"/>
          <w:b/>
          <w:color w:val="000000"/>
          <w:sz w:val="32"/>
          <w:szCs w:val="32"/>
        </w:rPr>
      </w:pPr>
      <w:bookmarkStart w:id="35" w:name="_Toc15377211"/>
      <w:r>
        <w:rPr>
          <w:rFonts w:hint="eastAsia" w:ascii="楷体_GB2312" w:hAnsi="楷体_GB2312" w:eastAsia="楷体_GB2312" w:cs="楷体_GB2312"/>
          <w:b/>
          <w:color w:val="000000"/>
          <w:sz w:val="32"/>
          <w:szCs w:val="32"/>
        </w:rPr>
        <w:t>（二）一般公共预算财政拨款支出决算结构情况</w:t>
      </w:r>
      <w:bookmarkEnd w:id="35"/>
    </w:p>
    <w:p w14:paraId="769B1287">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2019年一般公共预算财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1816.77</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w:t>
      </w:r>
      <w:r>
        <w:rPr>
          <w:rFonts w:hint="eastAsia" w:ascii="仿宋_GB2312" w:hAnsi="仿宋_GB2312" w:eastAsia="仿宋_GB2312" w:cs="仿宋_GB2312"/>
          <w:b/>
          <w:color w:val="000000" w:themeColor="text1"/>
          <w:sz w:val="32"/>
          <w:szCs w:val="32"/>
          <w14:textFill>
            <w14:solidFill>
              <w14:schemeClr w14:val="tx1"/>
            </w14:solidFill>
          </w14:textFill>
        </w:rPr>
        <w:t>一般公共服务（类）</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857.92</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47.22</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教育支出（类）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支出4.9</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0.27</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文化旅游体育与传媒（类）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支出40.5万元，占2.23%；</w:t>
      </w:r>
      <w:r>
        <w:rPr>
          <w:rFonts w:hint="eastAsia" w:ascii="仿宋_GB2312" w:hAnsi="仿宋_GB2312" w:eastAsia="仿宋_GB2312" w:cs="仿宋_GB2312"/>
          <w:b/>
          <w:color w:val="000000" w:themeColor="text1"/>
          <w:sz w:val="32"/>
          <w:szCs w:val="32"/>
          <w14:textFill>
            <w14:solidFill>
              <w14:schemeClr w14:val="tx1"/>
            </w14:solidFill>
          </w14:textFill>
        </w:rPr>
        <w:t>社会保障和就业（类）</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147.3</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8.11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（类）</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50.38</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2.77</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节能环保（类）</w:t>
      </w:r>
      <w:r>
        <w:rPr>
          <w:rFonts w:hint="eastAsia" w:ascii="仿宋_GB2312" w:hAnsi="仿宋_GB2312" w:eastAsia="仿宋_GB2312" w:cs="仿宋_GB2312"/>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16.87万元，占0.93%；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城乡社区（类）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支出73.37万元，占4.04%；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农林水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支出530.66万元，占29.21%；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商业服务业等（类）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支出8.6万元，占0.47%；</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住房保障</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80.27</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4.42%；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其他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支出6万元</w:t>
      </w:r>
      <w:r>
        <w:rPr>
          <w:rFonts w:hint="eastAsia" w:ascii="仿宋_GB2312" w:hAnsi="仿宋_GB2312" w:eastAsia="仿宋_GB2312" w:cs="仿宋_GB2312"/>
          <w:color w:val="000000" w:themeColor="text1"/>
          <w:sz w:val="32"/>
          <w:szCs w:val="32"/>
          <w14:textFill>
            <w14:solidFill>
              <w14:schemeClr w14:val="tx1"/>
            </w14:solidFill>
          </w14:textFill>
        </w:rPr>
        <w:t>，占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0.33</w:t>
      </w:r>
      <w:r>
        <w:rPr>
          <w:rFonts w:hint="eastAsia" w:ascii="仿宋_GB2312" w:hAnsi="仿宋_GB2312" w:eastAsia="仿宋_GB2312" w:cs="仿宋_GB2312"/>
          <w:color w:val="000000" w:themeColor="text1"/>
          <w:sz w:val="32"/>
          <w:szCs w:val="32"/>
          <w14:textFill>
            <w14:solidFill>
              <w14:schemeClr w14:val="tx1"/>
            </w14:solidFill>
          </w14:textFill>
        </w:rPr>
        <w:t>%。</w:t>
      </w:r>
    </w:p>
    <w:p w14:paraId="43211AC9">
      <w:pPr>
        <w:spacing w:line="600" w:lineRule="exact"/>
        <w:ind w:firstLine="64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210820</wp:posOffset>
            </wp:positionH>
            <wp:positionV relativeFrom="page">
              <wp:posOffset>5231765</wp:posOffset>
            </wp:positionV>
            <wp:extent cx="4777740" cy="3636645"/>
            <wp:effectExtent l="4445" t="4445" r="18415" b="1651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8FF43E0">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70863383">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0BB3E243">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5E71EBFD">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022346CE">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3E760B19">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5BE48738">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259C20DA">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22493F31">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31323931">
      <w:pPr>
        <w:spacing w:line="600" w:lineRule="exact"/>
        <w:ind w:firstLine="643" w:firstLineChars="200"/>
        <w:outlineLvl w:val="2"/>
        <w:rPr>
          <w:rFonts w:hint="eastAsia" w:ascii="楷体_GB2312" w:hAnsi="楷体_GB2312" w:eastAsia="楷体_GB2312" w:cs="楷体_GB2312"/>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14:paraId="62679F90">
      <w:pPr>
        <w:spacing w:line="600" w:lineRule="exact"/>
        <w:ind w:firstLine="640" w:firstLineChars="200"/>
        <w:outlineLvl w:val="2"/>
        <w:rPr>
          <w:rFonts w:hint="eastAsia" w:ascii="仿宋_GB2312" w:hAnsi="仿宋_GB2312" w:eastAsia="仿宋_GB2312" w:cs="仿宋_GB2312"/>
          <w:b w:val="0"/>
          <w:bCs/>
          <w:color w:val="FF0000"/>
          <w:sz w:val="32"/>
          <w:szCs w:val="32"/>
        </w:rPr>
      </w:pPr>
      <w:bookmarkStart w:id="37" w:name="_Toc15377213"/>
      <w:bookmarkStart w:id="38" w:name="_Toc15377444"/>
      <w:bookmarkStart w:id="39" w:name="_Toc15378460"/>
      <w:r>
        <w:rPr>
          <w:rFonts w:hint="eastAsia" w:ascii="仿宋_GB2312" w:hAnsi="仿宋_GB2312" w:eastAsia="仿宋_GB2312" w:cs="仿宋_GB2312"/>
          <w:b w:val="0"/>
          <w:bCs/>
          <w:color w:val="000000" w:themeColor="text1"/>
          <w:sz w:val="32"/>
          <w:szCs w:val="32"/>
          <w14:textFill>
            <w14:solidFill>
              <w14:schemeClr w14:val="tx1"/>
            </w14:solidFill>
          </w14:textFill>
        </w:rPr>
        <w:t>2019年</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b w:val="0"/>
          <w:bCs/>
          <w:color w:val="000000" w:themeColor="text1"/>
          <w:sz w:val="32"/>
          <w:szCs w:val="32"/>
          <w14:textFill>
            <w14:solidFill>
              <w14:schemeClr w14:val="tx1"/>
            </w14:solidFill>
          </w14:textFill>
        </w:rPr>
        <w:t>般公共预算支出决算数为</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1816.77万元</w:t>
      </w:r>
      <w:r>
        <w:rPr>
          <w:rFonts w:hint="eastAsia" w:ascii="仿宋_GB2312" w:hAnsi="仿宋_GB2312" w:eastAsia="仿宋_GB2312" w:cs="仿宋_GB2312"/>
          <w:b w:val="0"/>
          <w:bCs/>
          <w:color w:val="000000" w:themeColor="text1"/>
          <w:sz w:val="32"/>
          <w:szCs w:val="32"/>
          <w14:textFill>
            <w14:solidFill>
              <w14:schemeClr w14:val="tx1"/>
            </w14:solidFill>
          </w14:textFill>
        </w:rPr>
        <w:t>，</w:t>
      </w:r>
      <w:r>
        <w:rPr>
          <w:rStyle w:val="14"/>
          <w:rFonts w:hint="eastAsia" w:ascii="仿宋_GB2312" w:hAnsi="仿宋_GB2312" w:eastAsia="仿宋_GB2312" w:cs="仿宋_GB2312"/>
          <w:b w:val="0"/>
          <w:bCs/>
          <w:color w:val="000000" w:themeColor="text1"/>
          <w:sz w:val="32"/>
          <w:szCs w:val="32"/>
          <w14:textFill>
            <w14:solidFill>
              <w14:schemeClr w14:val="tx1"/>
            </w14:solidFill>
          </w14:textFill>
        </w:rPr>
        <w:t>完成</w:t>
      </w:r>
      <w:r>
        <w:rPr>
          <w:rStyle w:val="14"/>
          <w:rFonts w:hint="eastAsia" w:ascii="仿宋_GB2312" w:hAnsi="仿宋_GB2312" w:eastAsia="仿宋_GB2312" w:cs="仿宋_GB2312"/>
          <w:b w:val="0"/>
          <w:bCs/>
          <w:color w:val="000000"/>
          <w:sz w:val="32"/>
          <w:szCs w:val="32"/>
        </w:rPr>
        <w:t>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%。其中：</w:t>
      </w:r>
      <w:bookmarkEnd w:id="37"/>
      <w:bookmarkEnd w:id="38"/>
      <w:bookmarkEnd w:id="39"/>
    </w:p>
    <w:p w14:paraId="4C4DB604">
      <w:pPr>
        <w:spacing w:line="600" w:lineRule="exact"/>
        <w:ind w:firstLine="643" w:firstLineChars="200"/>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 xml:space="preserve">1.一般公共服务（类）人大事务（款）行政运行（项）: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44.31</w:t>
      </w:r>
      <w:r>
        <w:rPr>
          <w:rStyle w:val="14"/>
          <w:rFonts w:hint="eastAsia" w:ascii="仿宋_GB2312" w:hAnsi="仿宋_GB2312" w:eastAsia="仿宋_GB2312" w:cs="仿宋_GB2312"/>
          <w:b w:val="0"/>
          <w:bCs/>
          <w:color w:val="000000"/>
          <w:sz w:val="32"/>
          <w:szCs w:val="32"/>
        </w:rPr>
        <w:t>万元，完成预算100%。</w:t>
      </w:r>
    </w:p>
    <w:p w14:paraId="6B1308B0">
      <w:pPr>
        <w:spacing w:line="600" w:lineRule="exact"/>
        <w:ind w:firstLine="643" w:firstLineChars="200"/>
        <w:rPr>
          <w:rStyle w:val="14"/>
          <w:rFonts w:hint="eastAsia" w:ascii="仿宋_GB2312" w:hAnsi="仿宋_GB2312" w:eastAsia="仿宋_GB2312" w:cs="仿宋_GB2312"/>
          <w:bCs/>
          <w:color w:val="000000"/>
          <w:sz w:val="32"/>
          <w:szCs w:val="32"/>
        </w:rPr>
      </w:pPr>
      <w:r>
        <w:rPr>
          <w:rStyle w:val="14"/>
          <w:rFonts w:hint="eastAsia" w:ascii="仿宋_GB2312" w:hAnsi="仿宋_GB2312" w:eastAsia="仿宋_GB2312" w:cs="仿宋_GB2312"/>
          <w:bCs/>
          <w:color w:val="000000"/>
          <w:sz w:val="32"/>
          <w:szCs w:val="32"/>
        </w:rPr>
        <w:t>2.一般公共服务（类）人大事务（款）</w:t>
      </w:r>
      <w:r>
        <w:rPr>
          <w:rStyle w:val="14"/>
          <w:rFonts w:hint="eastAsia" w:ascii="仿宋_GB2312" w:hAnsi="仿宋_GB2312" w:eastAsia="仿宋_GB2312" w:cs="仿宋_GB2312"/>
          <w:bCs/>
          <w:color w:val="000000"/>
          <w:sz w:val="32"/>
          <w:szCs w:val="32"/>
          <w:lang w:eastAsia="zh-CN"/>
        </w:rPr>
        <w:t>其他人大事务支出</w:t>
      </w:r>
      <w:r>
        <w:rPr>
          <w:rStyle w:val="14"/>
          <w:rFonts w:hint="eastAsia" w:ascii="仿宋_GB2312" w:hAnsi="仿宋_GB2312" w:eastAsia="仿宋_GB2312" w:cs="仿宋_GB2312"/>
          <w:bCs/>
          <w:color w:val="000000"/>
          <w:sz w:val="32"/>
          <w:szCs w:val="32"/>
        </w:rPr>
        <w:t xml:space="preserve">（项）: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5.94</w:t>
      </w:r>
      <w:r>
        <w:rPr>
          <w:rStyle w:val="14"/>
          <w:rFonts w:hint="eastAsia" w:ascii="仿宋_GB2312" w:hAnsi="仿宋_GB2312" w:eastAsia="仿宋_GB2312" w:cs="仿宋_GB2312"/>
          <w:b w:val="0"/>
          <w:bCs/>
          <w:color w:val="000000"/>
          <w:sz w:val="32"/>
          <w:szCs w:val="32"/>
        </w:rPr>
        <w:t>万元，完成预算100%。</w:t>
      </w:r>
    </w:p>
    <w:p w14:paraId="3852705E">
      <w:pPr>
        <w:spacing w:line="600" w:lineRule="exact"/>
        <w:ind w:firstLine="643" w:firstLineChars="200"/>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3.</w:t>
      </w:r>
      <w:r>
        <w:rPr>
          <w:rStyle w:val="14"/>
          <w:rFonts w:hint="eastAsia" w:ascii="仿宋_GB2312" w:hAnsi="仿宋_GB2312" w:eastAsia="仿宋_GB2312" w:cs="仿宋_GB2312"/>
          <w:bCs/>
          <w:color w:val="000000"/>
          <w:sz w:val="32"/>
          <w:szCs w:val="32"/>
        </w:rPr>
        <w:t xml:space="preserve">一般公共服务（类）政府办公厅（室）及相关机构事务（款）行政运行（项）: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636.01</w:t>
      </w:r>
      <w:r>
        <w:rPr>
          <w:rStyle w:val="14"/>
          <w:rFonts w:hint="eastAsia" w:ascii="仿宋_GB2312" w:hAnsi="仿宋_GB2312" w:eastAsia="仿宋_GB2312" w:cs="仿宋_GB2312"/>
          <w:b w:val="0"/>
          <w:bCs/>
          <w:color w:val="000000"/>
          <w:sz w:val="32"/>
          <w:szCs w:val="32"/>
        </w:rPr>
        <w:t>万元，完成预算100%。</w:t>
      </w:r>
    </w:p>
    <w:p w14:paraId="26BC452E">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4.</w:t>
      </w:r>
      <w:r>
        <w:rPr>
          <w:rStyle w:val="14"/>
          <w:rFonts w:hint="eastAsia" w:ascii="仿宋_GB2312" w:hAnsi="仿宋_GB2312" w:eastAsia="仿宋_GB2312" w:cs="仿宋_GB2312"/>
          <w:bCs/>
          <w:color w:val="000000"/>
          <w:sz w:val="32"/>
          <w:szCs w:val="32"/>
        </w:rPr>
        <w:t>一般公共服务（类）政府办公厅（室）及相关机构事务（款）</w:t>
      </w:r>
      <w:r>
        <w:rPr>
          <w:rStyle w:val="14"/>
          <w:rFonts w:hint="eastAsia" w:ascii="仿宋_GB2312" w:hAnsi="仿宋_GB2312" w:eastAsia="仿宋_GB2312" w:cs="仿宋_GB2312"/>
          <w:bCs/>
          <w:color w:val="000000"/>
          <w:sz w:val="32"/>
          <w:szCs w:val="32"/>
          <w:lang w:eastAsia="zh-CN"/>
        </w:rPr>
        <w:t>一般行政管理事务</w:t>
      </w:r>
      <w:r>
        <w:rPr>
          <w:rStyle w:val="14"/>
          <w:rFonts w:hint="eastAsia" w:ascii="仿宋_GB2312" w:hAnsi="仿宋_GB2312" w:eastAsia="仿宋_GB2312" w:cs="仿宋_GB2312"/>
          <w:bCs/>
          <w:color w:val="000000"/>
          <w:sz w:val="32"/>
          <w:szCs w:val="32"/>
        </w:rPr>
        <w:t xml:space="preserve">（项）: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51.85</w:t>
      </w:r>
      <w:r>
        <w:rPr>
          <w:rStyle w:val="14"/>
          <w:rFonts w:hint="eastAsia" w:ascii="仿宋_GB2312" w:hAnsi="仿宋_GB2312" w:eastAsia="仿宋_GB2312" w:cs="仿宋_GB2312"/>
          <w:b w:val="0"/>
          <w:bCs/>
          <w:color w:val="000000"/>
          <w:sz w:val="32"/>
          <w:szCs w:val="32"/>
        </w:rPr>
        <w:t>万元，完成预算100%。</w:t>
      </w:r>
    </w:p>
    <w:p w14:paraId="6AB86601">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5.</w:t>
      </w:r>
      <w:r>
        <w:rPr>
          <w:rStyle w:val="14"/>
          <w:rFonts w:hint="eastAsia" w:ascii="仿宋_GB2312" w:hAnsi="仿宋_GB2312" w:eastAsia="仿宋_GB2312" w:cs="仿宋_GB2312"/>
          <w:bCs/>
          <w:color w:val="000000"/>
          <w:sz w:val="32"/>
          <w:szCs w:val="32"/>
        </w:rPr>
        <w:t>一般公共服务（类）</w:t>
      </w:r>
      <w:r>
        <w:rPr>
          <w:rStyle w:val="14"/>
          <w:rFonts w:hint="eastAsia" w:ascii="仿宋_GB2312" w:hAnsi="仿宋_GB2312" w:eastAsia="仿宋_GB2312" w:cs="仿宋_GB2312"/>
          <w:bCs/>
          <w:color w:val="000000"/>
          <w:sz w:val="32"/>
          <w:szCs w:val="32"/>
          <w:lang w:eastAsia="zh-CN"/>
        </w:rPr>
        <w:t>财政事务</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行政运行</w:t>
      </w:r>
      <w:r>
        <w:rPr>
          <w:rStyle w:val="14"/>
          <w:rFonts w:hint="eastAsia" w:ascii="仿宋_GB2312" w:hAnsi="仿宋_GB2312" w:eastAsia="仿宋_GB2312" w:cs="仿宋_GB2312"/>
          <w:bCs/>
          <w:color w:val="000000"/>
          <w:sz w:val="32"/>
          <w:szCs w:val="32"/>
        </w:rPr>
        <w:t xml:space="preserve">（项）: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46.86</w:t>
      </w:r>
      <w:r>
        <w:rPr>
          <w:rStyle w:val="14"/>
          <w:rFonts w:hint="eastAsia" w:ascii="仿宋_GB2312" w:hAnsi="仿宋_GB2312" w:eastAsia="仿宋_GB2312" w:cs="仿宋_GB2312"/>
          <w:b w:val="0"/>
          <w:bCs/>
          <w:color w:val="000000"/>
          <w:sz w:val="32"/>
          <w:szCs w:val="32"/>
        </w:rPr>
        <w:t>万元，完成预算100%。</w:t>
      </w:r>
    </w:p>
    <w:p w14:paraId="614D7CD9">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6.</w:t>
      </w:r>
      <w:r>
        <w:rPr>
          <w:rStyle w:val="14"/>
          <w:rFonts w:hint="eastAsia" w:ascii="仿宋_GB2312" w:hAnsi="仿宋_GB2312" w:eastAsia="仿宋_GB2312" w:cs="仿宋_GB2312"/>
          <w:bCs/>
          <w:color w:val="000000"/>
          <w:sz w:val="32"/>
          <w:szCs w:val="32"/>
        </w:rPr>
        <w:t>一般公共服务（类）</w:t>
      </w:r>
      <w:r>
        <w:rPr>
          <w:rStyle w:val="14"/>
          <w:rFonts w:hint="eastAsia" w:ascii="仿宋_GB2312" w:hAnsi="仿宋_GB2312" w:eastAsia="仿宋_GB2312" w:cs="仿宋_GB2312"/>
          <w:bCs/>
          <w:color w:val="000000"/>
          <w:sz w:val="32"/>
          <w:szCs w:val="32"/>
          <w:lang w:eastAsia="zh-CN"/>
        </w:rPr>
        <w:t>党委办公厅（室）及相关机构事务</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行政运行</w:t>
      </w:r>
      <w:r>
        <w:rPr>
          <w:rStyle w:val="14"/>
          <w:rFonts w:hint="eastAsia" w:ascii="仿宋_GB2312" w:hAnsi="仿宋_GB2312" w:eastAsia="仿宋_GB2312" w:cs="仿宋_GB2312"/>
          <w:bCs/>
          <w:color w:val="000000"/>
          <w:sz w:val="32"/>
          <w:szCs w:val="32"/>
        </w:rPr>
        <w:t xml:space="preserve">（项）: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72.96</w:t>
      </w:r>
      <w:r>
        <w:rPr>
          <w:rStyle w:val="14"/>
          <w:rFonts w:hint="eastAsia" w:ascii="仿宋_GB2312" w:hAnsi="仿宋_GB2312" w:eastAsia="仿宋_GB2312" w:cs="仿宋_GB2312"/>
          <w:b w:val="0"/>
          <w:bCs/>
          <w:color w:val="000000"/>
          <w:sz w:val="32"/>
          <w:szCs w:val="32"/>
        </w:rPr>
        <w:t>万元，完成预算100%。</w:t>
      </w:r>
    </w:p>
    <w:p w14:paraId="005812B7">
      <w:pPr>
        <w:spacing w:line="600" w:lineRule="exact"/>
        <w:ind w:firstLine="643" w:firstLineChars="200"/>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7.</w:t>
      </w:r>
      <w:r>
        <w:rPr>
          <w:rStyle w:val="14"/>
          <w:rFonts w:hint="eastAsia" w:ascii="仿宋_GB2312" w:hAnsi="仿宋_GB2312" w:eastAsia="仿宋_GB2312" w:cs="仿宋_GB2312"/>
          <w:bCs/>
          <w:color w:val="000000"/>
          <w:sz w:val="32"/>
          <w:szCs w:val="32"/>
        </w:rPr>
        <w:t>教育（类）</w:t>
      </w:r>
      <w:r>
        <w:rPr>
          <w:rStyle w:val="14"/>
          <w:rFonts w:hint="eastAsia" w:ascii="仿宋_GB2312" w:hAnsi="仿宋_GB2312" w:eastAsia="仿宋_GB2312" w:cs="仿宋_GB2312"/>
          <w:bCs/>
          <w:color w:val="000000"/>
          <w:sz w:val="32"/>
          <w:szCs w:val="32"/>
          <w:lang w:eastAsia="zh-CN"/>
        </w:rPr>
        <w:t>普通教育</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其他普通教育支出</w:t>
      </w:r>
      <w:r>
        <w:rPr>
          <w:rStyle w:val="14"/>
          <w:rFonts w:hint="eastAsia" w:ascii="仿宋_GB2312" w:hAnsi="仿宋_GB2312" w:eastAsia="仿宋_GB2312" w:cs="仿宋_GB2312"/>
          <w:bCs/>
          <w:color w:val="000000"/>
          <w:sz w:val="32"/>
          <w:szCs w:val="32"/>
        </w:rPr>
        <w:t>（项）: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4.9</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2BA6C6EF">
      <w:pPr>
        <w:spacing w:line="600" w:lineRule="exact"/>
        <w:ind w:firstLine="643" w:firstLineChars="200"/>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8</w:t>
      </w:r>
      <w:r>
        <w:rPr>
          <w:rStyle w:val="14"/>
          <w:rFonts w:hint="eastAsia" w:ascii="仿宋_GB2312" w:hAnsi="仿宋_GB2312" w:eastAsia="仿宋_GB2312" w:cs="仿宋_GB2312"/>
          <w:bCs/>
          <w:color w:val="000000"/>
          <w:sz w:val="32"/>
          <w:szCs w:val="32"/>
        </w:rPr>
        <w:t>.文化旅游体育与传媒（类）</w:t>
      </w:r>
      <w:r>
        <w:rPr>
          <w:rStyle w:val="14"/>
          <w:rFonts w:hint="eastAsia" w:ascii="仿宋_GB2312" w:hAnsi="仿宋_GB2312" w:eastAsia="仿宋_GB2312" w:cs="仿宋_GB2312"/>
          <w:bCs/>
          <w:color w:val="000000"/>
          <w:sz w:val="32"/>
          <w:szCs w:val="32"/>
          <w:lang w:eastAsia="zh-CN"/>
        </w:rPr>
        <w:t>广播电视</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广播</w:t>
      </w:r>
      <w:r>
        <w:rPr>
          <w:rStyle w:val="14"/>
          <w:rFonts w:hint="eastAsia" w:ascii="仿宋_GB2312" w:hAnsi="仿宋_GB2312" w:eastAsia="仿宋_GB2312" w:cs="仿宋_GB2312"/>
          <w:bCs/>
          <w:color w:val="000000"/>
          <w:sz w:val="32"/>
          <w:szCs w:val="32"/>
        </w:rPr>
        <w:t>（项）: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40.5</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5BC47F6F">
      <w:pPr>
        <w:spacing w:line="600" w:lineRule="exact"/>
        <w:ind w:firstLine="643" w:firstLineChars="200"/>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9</w:t>
      </w:r>
      <w:r>
        <w:rPr>
          <w:rStyle w:val="14"/>
          <w:rFonts w:hint="eastAsia" w:ascii="仿宋_GB2312" w:hAnsi="仿宋_GB2312" w:eastAsia="仿宋_GB2312" w:cs="仿宋_GB2312"/>
          <w:bCs/>
          <w:color w:val="000000"/>
          <w:sz w:val="32"/>
          <w:szCs w:val="32"/>
        </w:rPr>
        <w:t>.社会保障和就业（类）</w:t>
      </w:r>
      <w:r>
        <w:rPr>
          <w:rStyle w:val="14"/>
          <w:rFonts w:hint="eastAsia" w:ascii="仿宋_GB2312" w:hAnsi="仿宋_GB2312" w:eastAsia="仿宋_GB2312" w:cs="仿宋_GB2312"/>
          <w:bCs/>
          <w:color w:val="000000"/>
          <w:sz w:val="32"/>
          <w:szCs w:val="32"/>
          <w:lang w:eastAsia="zh-CN"/>
        </w:rPr>
        <w:t>行政事业单位离退休</w:t>
      </w:r>
      <w:r>
        <w:rPr>
          <w:rStyle w:val="14"/>
          <w:rFonts w:hint="eastAsia" w:ascii="仿宋_GB2312" w:hAnsi="仿宋_GB2312" w:eastAsia="仿宋_GB2312" w:cs="仿宋_GB2312"/>
          <w:bCs/>
          <w:color w:val="000000"/>
          <w:sz w:val="32"/>
          <w:szCs w:val="32"/>
        </w:rPr>
        <w:t>（款）机关事业单位基本养老保险缴费支出（项）: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74</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1CB5C2D3">
      <w:pPr>
        <w:spacing w:line="600" w:lineRule="exact"/>
        <w:ind w:firstLine="643" w:firstLineChars="200"/>
        <w:rPr>
          <w:rFonts w:hint="eastAsia"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lang w:val="en-US" w:eastAsia="zh-CN"/>
        </w:rPr>
        <w:t>10</w:t>
      </w:r>
      <w:r>
        <w:rPr>
          <w:rStyle w:val="14"/>
          <w:rFonts w:hint="eastAsia" w:ascii="仿宋_GB2312" w:hAnsi="仿宋_GB2312" w:eastAsia="仿宋_GB2312" w:cs="仿宋_GB2312"/>
          <w:bCs/>
          <w:color w:val="000000"/>
          <w:sz w:val="32"/>
          <w:szCs w:val="32"/>
        </w:rPr>
        <w:t>.社会保障和就业（类）</w:t>
      </w:r>
      <w:r>
        <w:rPr>
          <w:rStyle w:val="14"/>
          <w:rFonts w:hint="eastAsia" w:ascii="仿宋_GB2312" w:hAnsi="仿宋_GB2312" w:eastAsia="仿宋_GB2312" w:cs="仿宋_GB2312"/>
          <w:bCs/>
          <w:color w:val="000000"/>
          <w:sz w:val="32"/>
          <w:szCs w:val="32"/>
          <w:lang w:eastAsia="zh-CN"/>
        </w:rPr>
        <w:t>行政事业单位离退休</w:t>
      </w:r>
      <w:r>
        <w:rPr>
          <w:rStyle w:val="14"/>
          <w:rFonts w:hint="eastAsia" w:ascii="仿宋_GB2312" w:hAnsi="仿宋_GB2312" w:eastAsia="仿宋_GB2312" w:cs="仿宋_GB2312"/>
          <w:bCs/>
          <w:color w:val="000000"/>
          <w:sz w:val="32"/>
          <w:szCs w:val="32"/>
        </w:rPr>
        <w:t>（款）机关事业单位职业年金缴费支出（项）: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2.93</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2660EAE2">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11.</w:t>
      </w:r>
      <w:r>
        <w:rPr>
          <w:rStyle w:val="14"/>
          <w:rFonts w:hint="eastAsia" w:ascii="仿宋_GB2312" w:hAnsi="仿宋_GB2312" w:eastAsia="仿宋_GB2312" w:cs="仿宋_GB2312"/>
          <w:bCs/>
          <w:color w:val="000000"/>
          <w:sz w:val="32"/>
          <w:szCs w:val="32"/>
        </w:rPr>
        <w:t>社会保障和就业（类）</w:t>
      </w:r>
      <w:r>
        <w:rPr>
          <w:rStyle w:val="14"/>
          <w:rFonts w:hint="eastAsia" w:ascii="仿宋_GB2312" w:hAnsi="仿宋_GB2312" w:eastAsia="仿宋_GB2312" w:cs="仿宋_GB2312"/>
          <w:bCs/>
          <w:color w:val="000000"/>
          <w:sz w:val="32"/>
          <w:szCs w:val="32"/>
          <w:lang w:eastAsia="zh-CN"/>
        </w:rPr>
        <w:t>抚恤</w:t>
      </w:r>
      <w:r>
        <w:rPr>
          <w:rStyle w:val="14"/>
          <w:rFonts w:hint="eastAsia" w:ascii="仿宋_GB2312" w:hAnsi="仿宋_GB2312" w:eastAsia="仿宋_GB2312" w:cs="仿宋_GB2312"/>
          <w:bCs/>
          <w:color w:val="000000"/>
          <w:sz w:val="32"/>
          <w:szCs w:val="32"/>
        </w:rPr>
        <w:t>（款）义务兵优待（项）: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26.52</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14026D79">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12.</w:t>
      </w:r>
      <w:r>
        <w:rPr>
          <w:rStyle w:val="14"/>
          <w:rFonts w:hint="eastAsia" w:ascii="仿宋_GB2312" w:hAnsi="仿宋_GB2312" w:eastAsia="仿宋_GB2312" w:cs="仿宋_GB2312"/>
          <w:bCs/>
          <w:color w:val="000000"/>
          <w:sz w:val="32"/>
          <w:szCs w:val="32"/>
        </w:rPr>
        <w:t>社会保障和就业（类）</w:t>
      </w:r>
      <w:r>
        <w:rPr>
          <w:rStyle w:val="14"/>
          <w:rFonts w:hint="eastAsia" w:ascii="仿宋_GB2312" w:hAnsi="仿宋_GB2312" w:eastAsia="仿宋_GB2312" w:cs="仿宋_GB2312"/>
          <w:bCs/>
          <w:color w:val="000000"/>
          <w:sz w:val="32"/>
          <w:szCs w:val="32"/>
          <w:lang w:eastAsia="zh-CN"/>
        </w:rPr>
        <w:t>残疾人事业</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其他残疾人事业支出</w:t>
      </w:r>
      <w:r>
        <w:rPr>
          <w:rStyle w:val="14"/>
          <w:rFonts w:hint="eastAsia" w:ascii="仿宋_GB2312" w:hAnsi="仿宋_GB2312" w:eastAsia="仿宋_GB2312" w:cs="仿宋_GB2312"/>
          <w:bCs/>
          <w:color w:val="000000"/>
          <w:sz w:val="32"/>
          <w:szCs w:val="32"/>
        </w:rPr>
        <w:t>（项）: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4</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165CC31D">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13.</w:t>
      </w:r>
      <w:r>
        <w:rPr>
          <w:rStyle w:val="14"/>
          <w:rFonts w:hint="eastAsia" w:ascii="仿宋_GB2312" w:hAnsi="仿宋_GB2312" w:eastAsia="仿宋_GB2312" w:cs="仿宋_GB2312"/>
          <w:bCs/>
          <w:color w:val="000000"/>
          <w:sz w:val="32"/>
          <w:szCs w:val="32"/>
        </w:rPr>
        <w:t>社会保障和就业（类）</w:t>
      </w:r>
      <w:r>
        <w:rPr>
          <w:rStyle w:val="14"/>
          <w:rFonts w:hint="eastAsia" w:ascii="仿宋_GB2312" w:hAnsi="仿宋_GB2312" w:eastAsia="仿宋_GB2312" w:cs="仿宋_GB2312"/>
          <w:bCs/>
          <w:color w:val="000000"/>
          <w:sz w:val="32"/>
          <w:szCs w:val="32"/>
          <w:lang w:eastAsia="zh-CN"/>
        </w:rPr>
        <w:t>特困人员救助供养</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农村特困人员救助供养支出</w:t>
      </w:r>
      <w:r>
        <w:rPr>
          <w:rStyle w:val="14"/>
          <w:rFonts w:hint="eastAsia" w:ascii="仿宋_GB2312" w:hAnsi="仿宋_GB2312" w:eastAsia="仿宋_GB2312" w:cs="仿宋_GB2312"/>
          <w:bCs/>
          <w:color w:val="000000"/>
          <w:sz w:val="32"/>
          <w:szCs w:val="32"/>
        </w:rPr>
        <w:t>（项）: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35.8</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7EC8B69B">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14.</w:t>
      </w:r>
      <w:r>
        <w:rPr>
          <w:rStyle w:val="14"/>
          <w:rFonts w:hint="eastAsia" w:ascii="仿宋_GB2312" w:hAnsi="仿宋_GB2312" w:eastAsia="仿宋_GB2312" w:cs="仿宋_GB2312"/>
          <w:bCs/>
          <w:color w:val="000000"/>
          <w:sz w:val="32"/>
          <w:szCs w:val="32"/>
        </w:rPr>
        <w:t>社会保障和就业（类）</w:t>
      </w:r>
      <w:r>
        <w:rPr>
          <w:rStyle w:val="14"/>
          <w:rFonts w:hint="eastAsia" w:ascii="仿宋_GB2312" w:hAnsi="仿宋_GB2312" w:eastAsia="仿宋_GB2312" w:cs="仿宋_GB2312"/>
          <w:bCs/>
          <w:color w:val="000000"/>
          <w:sz w:val="32"/>
          <w:szCs w:val="32"/>
          <w:lang w:eastAsia="zh-CN"/>
        </w:rPr>
        <w:t>其他生活救助</w:t>
      </w:r>
      <w:r>
        <w:rPr>
          <w:rStyle w:val="14"/>
          <w:rFonts w:hint="eastAsia" w:ascii="仿宋_GB2312" w:hAnsi="仿宋_GB2312" w:eastAsia="仿宋_GB2312" w:cs="仿宋_GB2312"/>
          <w:bCs/>
          <w:color w:val="000000"/>
          <w:sz w:val="32"/>
          <w:szCs w:val="32"/>
        </w:rPr>
        <w:t>（款）</w:t>
      </w:r>
      <w:r>
        <w:rPr>
          <w:rStyle w:val="14"/>
          <w:rFonts w:hint="eastAsia" w:ascii="仿宋_GB2312" w:hAnsi="仿宋_GB2312" w:eastAsia="仿宋_GB2312" w:cs="仿宋_GB2312"/>
          <w:bCs/>
          <w:color w:val="000000"/>
          <w:sz w:val="32"/>
          <w:szCs w:val="32"/>
          <w:lang w:eastAsia="zh-CN"/>
        </w:rPr>
        <w:t>其他农村生活救助</w:t>
      </w:r>
      <w:r>
        <w:rPr>
          <w:rStyle w:val="14"/>
          <w:rFonts w:hint="eastAsia" w:ascii="仿宋_GB2312" w:hAnsi="仿宋_GB2312" w:eastAsia="仿宋_GB2312" w:cs="仿宋_GB2312"/>
          <w:bCs/>
          <w:color w:val="000000"/>
          <w:sz w:val="32"/>
          <w:szCs w:val="32"/>
        </w:rPr>
        <w:t>（项）:</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4.06</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p>
    <w:p w14:paraId="6001A67F">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15.</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4"/>
          <w:rFonts w:hint="eastAsia" w:ascii="仿宋_GB2312" w:hAnsi="仿宋_GB2312" w:eastAsia="仿宋_GB2312" w:cs="仿宋_GB2312"/>
          <w:bCs/>
          <w:color w:val="000000"/>
          <w:sz w:val="32"/>
          <w:szCs w:val="32"/>
        </w:rPr>
        <w:t>（类）基层医疗卫生机构（款）其他基层医疗卫生机构支出（项）: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3</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7A0AC2CA">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16.</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4"/>
          <w:rFonts w:hint="eastAsia" w:ascii="仿宋_GB2312" w:hAnsi="仿宋_GB2312" w:eastAsia="仿宋_GB2312" w:cs="仿宋_GB2312"/>
          <w:bCs/>
          <w:color w:val="000000"/>
          <w:sz w:val="32"/>
          <w:szCs w:val="32"/>
        </w:rPr>
        <w:t>（类）公共卫生（款）其他公共卫生支出（项）: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1.31</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0D5B79B1">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17.</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4"/>
          <w:rFonts w:hint="eastAsia" w:ascii="仿宋_GB2312" w:hAnsi="仿宋_GB2312" w:eastAsia="仿宋_GB2312" w:cs="仿宋_GB2312"/>
          <w:bCs/>
          <w:color w:val="000000"/>
          <w:sz w:val="32"/>
          <w:szCs w:val="32"/>
        </w:rPr>
        <w:t>（类）计划生育事务（款）计划生育机构（项）: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11.1</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685DF542">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18.</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4"/>
          <w:rFonts w:hint="eastAsia" w:ascii="仿宋_GB2312" w:hAnsi="仿宋_GB2312" w:eastAsia="仿宋_GB2312" w:cs="仿宋_GB2312"/>
          <w:bCs/>
          <w:color w:val="000000"/>
          <w:sz w:val="32"/>
          <w:szCs w:val="32"/>
        </w:rPr>
        <w:t>（类）计划生育事务（款）计划生育服务（项）: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5.2</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23076E9">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19.</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4"/>
          <w:rFonts w:hint="eastAsia" w:ascii="仿宋_GB2312" w:hAnsi="仿宋_GB2312" w:eastAsia="仿宋_GB2312" w:cs="仿宋_GB2312"/>
          <w:bCs/>
          <w:color w:val="000000"/>
          <w:sz w:val="32"/>
          <w:szCs w:val="32"/>
        </w:rPr>
        <w:t>（类）计划生育事务（款）其他计划生育事务支出（项）: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4.14</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71657E27">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20.</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4"/>
          <w:rFonts w:hint="eastAsia" w:ascii="仿宋_GB2312" w:hAnsi="仿宋_GB2312" w:eastAsia="仿宋_GB2312" w:cs="仿宋_GB2312"/>
          <w:bCs/>
          <w:color w:val="000000"/>
          <w:sz w:val="32"/>
          <w:szCs w:val="32"/>
        </w:rPr>
        <w:t>（类）行政事业单位医疗（款）行政单位医疗（项）: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25.62</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4A63CD38">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21.</w:t>
      </w:r>
      <w:r>
        <w:rPr>
          <w:rFonts w:hint="eastAsia" w:ascii="仿宋_GB2312" w:hAnsi="仿宋_GB2312" w:eastAsia="仿宋_GB2312" w:cs="仿宋_GB2312"/>
          <w:b/>
          <w:bCs/>
          <w:color w:val="000000" w:themeColor="text1"/>
          <w:sz w:val="32"/>
          <w:szCs w:val="32"/>
          <w14:textFill>
            <w14:solidFill>
              <w14:schemeClr w14:val="tx1"/>
            </w14:solidFill>
          </w14:textFill>
        </w:rPr>
        <w:t>节能环保支出</w:t>
      </w:r>
      <w:r>
        <w:rPr>
          <w:rStyle w:val="14"/>
          <w:rFonts w:hint="eastAsia" w:ascii="仿宋_GB2312" w:hAnsi="仿宋_GB2312" w:eastAsia="仿宋_GB2312" w:cs="仿宋_GB2312"/>
          <w:bCs/>
          <w:color w:val="000000"/>
          <w:sz w:val="32"/>
          <w:szCs w:val="32"/>
        </w:rPr>
        <w:t>（类）污染防治（款）水体（项）: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11.57</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90B58E3">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22.</w:t>
      </w:r>
      <w:r>
        <w:rPr>
          <w:rFonts w:hint="eastAsia" w:ascii="仿宋_GB2312" w:hAnsi="仿宋_GB2312" w:eastAsia="仿宋_GB2312" w:cs="仿宋_GB2312"/>
          <w:b/>
          <w:bCs/>
          <w:color w:val="000000" w:themeColor="text1"/>
          <w:sz w:val="32"/>
          <w:szCs w:val="32"/>
          <w14:textFill>
            <w14:solidFill>
              <w14:schemeClr w14:val="tx1"/>
            </w14:solidFill>
          </w14:textFill>
        </w:rPr>
        <w:t>节能环保支出</w:t>
      </w:r>
      <w:r>
        <w:rPr>
          <w:rStyle w:val="14"/>
          <w:rFonts w:hint="eastAsia" w:ascii="仿宋_GB2312" w:hAnsi="仿宋_GB2312" w:eastAsia="仿宋_GB2312" w:cs="仿宋_GB2312"/>
          <w:bCs/>
          <w:color w:val="000000"/>
          <w:sz w:val="32"/>
          <w:szCs w:val="32"/>
        </w:rPr>
        <w:t>（类）自然生态保护（款）农村环境保护（项）: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5.3</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1E3F196">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23.</w:t>
      </w:r>
      <w:r>
        <w:rPr>
          <w:rFonts w:hint="eastAsia" w:ascii="仿宋_GB2312" w:hAnsi="仿宋_GB2312" w:eastAsia="仿宋_GB2312" w:cs="仿宋_GB2312"/>
          <w:b/>
          <w:bCs/>
          <w:color w:val="000000" w:themeColor="text1"/>
          <w:sz w:val="32"/>
          <w:szCs w:val="32"/>
          <w14:textFill>
            <w14:solidFill>
              <w14:schemeClr w14:val="tx1"/>
            </w14:solidFill>
          </w14:textFill>
        </w:rPr>
        <w:t>城乡社区支出</w:t>
      </w:r>
      <w:r>
        <w:rPr>
          <w:rStyle w:val="14"/>
          <w:rFonts w:hint="eastAsia" w:ascii="仿宋_GB2312" w:hAnsi="仿宋_GB2312" w:eastAsia="仿宋_GB2312" w:cs="仿宋_GB2312"/>
          <w:bCs/>
          <w:color w:val="000000"/>
          <w:sz w:val="32"/>
          <w:szCs w:val="32"/>
        </w:rPr>
        <w:t>（类）城乡社区管理事务（款）行政运行（项）: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26.18</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0F7CC5FB">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24.</w:t>
      </w:r>
      <w:r>
        <w:rPr>
          <w:rFonts w:hint="eastAsia" w:ascii="仿宋_GB2312" w:hAnsi="仿宋_GB2312" w:eastAsia="仿宋_GB2312" w:cs="仿宋_GB2312"/>
          <w:b/>
          <w:bCs/>
          <w:color w:val="000000" w:themeColor="text1"/>
          <w:sz w:val="32"/>
          <w:szCs w:val="32"/>
          <w14:textFill>
            <w14:solidFill>
              <w14:schemeClr w14:val="tx1"/>
            </w14:solidFill>
          </w14:textFill>
        </w:rPr>
        <w:t>城乡社区支出</w:t>
      </w:r>
      <w:r>
        <w:rPr>
          <w:rStyle w:val="14"/>
          <w:rFonts w:hint="eastAsia" w:ascii="仿宋_GB2312" w:hAnsi="仿宋_GB2312" w:eastAsia="仿宋_GB2312" w:cs="仿宋_GB2312"/>
          <w:bCs/>
          <w:color w:val="000000"/>
          <w:sz w:val="32"/>
          <w:szCs w:val="32"/>
        </w:rPr>
        <w:t>（类）城乡社区环境卫生（款）城乡社区环境卫生（项）: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47.2</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2DE6005">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25.</w:t>
      </w:r>
      <w:r>
        <w:rPr>
          <w:rFonts w:hint="eastAsia" w:ascii="仿宋_GB2312" w:hAnsi="仿宋_GB2312" w:eastAsia="仿宋_GB2312" w:cs="仿宋_GB2312"/>
          <w:b/>
          <w:bCs/>
          <w:color w:val="000000" w:themeColor="text1"/>
          <w:sz w:val="32"/>
          <w:szCs w:val="32"/>
          <w14:textFill>
            <w14:solidFill>
              <w14:schemeClr w14:val="tx1"/>
            </w14:solidFill>
          </w14:textFill>
        </w:rPr>
        <w:t>农林水支出</w:t>
      </w:r>
      <w:r>
        <w:rPr>
          <w:rStyle w:val="14"/>
          <w:rFonts w:hint="eastAsia" w:ascii="仿宋_GB2312" w:hAnsi="仿宋_GB2312" w:eastAsia="仿宋_GB2312" w:cs="仿宋_GB2312"/>
          <w:bCs/>
          <w:color w:val="000000"/>
          <w:sz w:val="32"/>
          <w:szCs w:val="32"/>
        </w:rPr>
        <w:t>（类）农业（款）防灾救灾（项）: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3</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583FAAD0">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25.</w:t>
      </w:r>
      <w:r>
        <w:rPr>
          <w:rFonts w:hint="eastAsia" w:ascii="仿宋_GB2312" w:hAnsi="仿宋_GB2312" w:eastAsia="仿宋_GB2312" w:cs="仿宋_GB2312"/>
          <w:b/>
          <w:bCs/>
          <w:color w:val="000000" w:themeColor="text1"/>
          <w:sz w:val="32"/>
          <w:szCs w:val="32"/>
          <w14:textFill>
            <w14:solidFill>
              <w14:schemeClr w14:val="tx1"/>
            </w14:solidFill>
          </w14:textFill>
        </w:rPr>
        <w:t>农林水支出</w:t>
      </w:r>
      <w:r>
        <w:rPr>
          <w:rStyle w:val="14"/>
          <w:rFonts w:hint="eastAsia" w:ascii="仿宋_GB2312" w:hAnsi="仿宋_GB2312" w:eastAsia="仿宋_GB2312" w:cs="仿宋_GB2312"/>
          <w:bCs/>
          <w:color w:val="000000"/>
          <w:sz w:val="32"/>
          <w:szCs w:val="32"/>
        </w:rPr>
        <w:t>（类）农业（款）对高校毕业生到基层任职补助（项）:</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2.32</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520CC6C">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26.</w:t>
      </w:r>
      <w:r>
        <w:rPr>
          <w:rFonts w:hint="eastAsia" w:ascii="仿宋_GB2312" w:hAnsi="仿宋_GB2312" w:eastAsia="仿宋_GB2312" w:cs="仿宋_GB2312"/>
          <w:b/>
          <w:bCs/>
          <w:color w:val="000000" w:themeColor="text1"/>
          <w:sz w:val="32"/>
          <w:szCs w:val="32"/>
          <w14:textFill>
            <w14:solidFill>
              <w14:schemeClr w14:val="tx1"/>
            </w14:solidFill>
          </w14:textFill>
        </w:rPr>
        <w:t>农林水支出</w:t>
      </w:r>
      <w:r>
        <w:rPr>
          <w:rStyle w:val="14"/>
          <w:rFonts w:hint="eastAsia" w:ascii="仿宋_GB2312" w:hAnsi="仿宋_GB2312" w:eastAsia="仿宋_GB2312" w:cs="仿宋_GB2312"/>
          <w:bCs/>
          <w:color w:val="000000"/>
          <w:sz w:val="32"/>
          <w:szCs w:val="32"/>
        </w:rPr>
        <w:t>（类）农业（款）其他农业支出（项）: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1.3</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6985550">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27.</w:t>
      </w:r>
      <w:r>
        <w:rPr>
          <w:rFonts w:hint="eastAsia" w:ascii="仿宋_GB2312" w:hAnsi="仿宋_GB2312" w:eastAsia="仿宋_GB2312" w:cs="仿宋_GB2312"/>
          <w:b/>
          <w:bCs/>
          <w:color w:val="000000" w:themeColor="text1"/>
          <w:sz w:val="32"/>
          <w:szCs w:val="32"/>
          <w14:textFill>
            <w14:solidFill>
              <w14:schemeClr w14:val="tx1"/>
            </w14:solidFill>
          </w14:textFill>
        </w:rPr>
        <w:t>农林水支出</w:t>
      </w:r>
      <w:r>
        <w:rPr>
          <w:rStyle w:val="14"/>
          <w:rFonts w:hint="eastAsia" w:ascii="仿宋_GB2312" w:hAnsi="仿宋_GB2312" w:eastAsia="仿宋_GB2312" w:cs="仿宋_GB2312"/>
          <w:bCs/>
          <w:color w:val="000000"/>
          <w:sz w:val="32"/>
          <w:szCs w:val="32"/>
        </w:rPr>
        <w:t>（类）水利（款）水利工程运行与维护（项）: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9.55</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014485FC">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28.</w:t>
      </w:r>
      <w:r>
        <w:rPr>
          <w:rFonts w:hint="eastAsia" w:ascii="仿宋_GB2312" w:hAnsi="仿宋_GB2312" w:eastAsia="仿宋_GB2312" w:cs="仿宋_GB2312"/>
          <w:b/>
          <w:bCs/>
          <w:color w:val="000000" w:themeColor="text1"/>
          <w:sz w:val="32"/>
          <w:szCs w:val="32"/>
          <w14:textFill>
            <w14:solidFill>
              <w14:schemeClr w14:val="tx1"/>
            </w14:solidFill>
          </w14:textFill>
        </w:rPr>
        <w:t>农林水支出</w:t>
      </w:r>
      <w:r>
        <w:rPr>
          <w:rStyle w:val="14"/>
          <w:rFonts w:hint="eastAsia" w:ascii="仿宋_GB2312" w:hAnsi="仿宋_GB2312" w:eastAsia="仿宋_GB2312" w:cs="仿宋_GB2312"/>
          <w:bCs/>
          <w:color w:val="000000"/>
          <w:sz w:val="32"/>
          <w:szCs w:val="32"/>
        </w:rPr>
        <w:t>（类）农村综合改革（款）对村级一事一议的补助（项）: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70</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6792AF09">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29.</w:t>
      </w:r>
      <w:r>
        <w:rPr>
          <w:rFonts w:hint="eastAsia" w:ascii="仿宋_GB2312" w:hAnsi="仿宋_GB2312" w:eastAsia="仿宋_GB2312" w:cs="仿宋_GB2312"/>
          <w:b/>
          <w:bCs/>
          <w:color w:val="000000" w:themeColor="text1"/>
          <w:sz w:val="32"/>
          <w:szCs w:val="32"/>
          <w14:textFill>
            <w14:solidFill>
              <w14:schemeClr w14:val="tx1"/>
            </w14:solidFill>
          </w14:textFill>
        </w:rPr>
        <w:t>农林水支出</w:t>
      </w:r>
      <w:r>
        <w:rPr>
          <w:rStyle w:val="14"/>
          <w:rFonts w:hint="eastAsia" w:ascii="仿宋_GB2312" w:hAnsi="仿宋_GB2312" w:eastAsia="仿宋_GB2312" w:cs="仿宋_GB2312"/>
          <w:bCs/>
          <w:color w:val="000000"/>
          <w:sz w:val="32"/>
          <w:szCs w:val="32"/>
        </w:rPr>
        <w:t>（类）农村综合改革（款）对村民委员会和村党支部的补助（项）: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444.49</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24F1FE6A">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30.</w:t>
      </w:r>
      <w:r>
        <w:rPr>
          <w:rFonts w:hint="eastAsia" w:ascii="仿宋_GB2312" w:hAnsi="仿宋_GB2312" w:eastAsia="仿宋_GB2312" w:cs="仿宋_GB2312"/>
          <w:b/>
          <w:bCs/>
          <w:color w:val="000000" w:themeColor="text1"/>
          <w:sz w:val="32"/>
          <w:szCs w:val="32"/>
          <w14:textFill>
            <w14:solidFill>
              <w14:schemeClr w14:val="tx1"/>
            </w14:solidFill>
          </w14:textFill>
        </w:rPr>
        <w:t>商业服务业等支出</w:t>
      </w:r>
      <w:r>
        <w:rPr>
          <w:rStyle w:val="14"/>
          <w:rFonts w:hint="eastAsia" w:ascii="仿宋_GB2312" w:hAnsi="仿宋_GB2312" w:eastAsia="仿宋_GB2312" w:cs="仿宋_GB2312"/>
          <w:bCs/>
          <w:color w:val="000000"/>
          <w:sz w:val="32"/>
          <w:szCs w:val="32"/>
        </w:rPr>
        <w:t>（类）商业流通事务（款）其他商业流通事务支出（项）: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8.6</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558F4CA1">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31.</w:t>
      </w:r>
      <w:r>
        <w:rPr>
          <w:rFonts w:hint="eastAsia" w:ascii="仿宋_GB2312" w:hAnsi="仿宋_GB2312" w:eastAsia="仿宋_GB2312" w:cs="仿宋_GB2312"/>
          <w:b/>
          <w:bCs/>
          <w:color w:val="000000" w:themeColor="text1"/>
          <w:sz w:val="32"/>
          <w:szCs w:val="32"/>
          <w14:textFill>
            <w14:solidFill>
              <w14:schemeClr w14:val="tx1"/>
            </w14:solidFill>
          </w14:textFill>
        </w:rPr>
        <w:t>住房保障支出</w:t>
      </w:r>
      <w:r>
        <w:rPr>
          <w:rStyle w:val="14"/>
          <w:rFonts w:hint="eastAsia" w:ascii="仿宋_GB2312" w:hAnsi="仿宋_GB2312" w:eastAsia="仿宋_GB2312" w:cs="仿宋_GB2312"/>
          <w:bCs/>
          <w:color w:val="000000"/>
          <w:sz w:val="32"/>
          <w:szCs w:val="32"/>
        </w:rPr>
        <w:t>（类）住房改革支出（款）住房公积金（项）: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80.27</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1A068B81">
      <w:pPr>
        <w:spacing w:line="600" w:lineRule="exact"/>
        <w:ind w:firstLine="643" w:firstLineChars="200"/>
        <w:rPr>
          <w:rStyle w:val="14"/>
          <w:rFonts w:hint="eastAsia" w:ascii="仿宋_GB2312" w:hAnsi="仿宋_GB2312" w:eastAsia="仿宋_GB2312" w:cs="仿宋_GB2312"/>
          <w:bCs/>
          <w:color w:val="000000"/>
          <w:sz w:val="32"/>
          <w:szCs w:val="32"/>
          <w:lang w:val="en-US" w:eastAsia="zh-CN"/>
        </w:rPr>
      </w:pPr>
      <w:r>
        <w:rPr>
          <w:rStyle w:val="14"/>
          <w:rFonts w:hint="eastAsia" w:ascii="仿宋_GB2312" w:hAnsi="仿宋_GB2312" w:eastAsia="仿宋_GB2312" w:cs="仿宋_GB2312"/>
          <w:bCs/>
          <w:color w:val="000000"/>
          <w:sz w:val="32"/>
          <w:szCs w:val="32"/>
          <w:lang w:val="en-US" w:eastAsia="zh-CN"/>
        </w:rPr>
        <w:t>32.</w:t>
      </w:r>
      <w:r>
        <w:rPr>
          <w:rFonts w:hint="eastAsia" w:ascii="仿宋_GB2312" w:hAnsi="仿宋_GB2312" w:eastAsia="仿宋_GB2312" w:cs="仿宋_GB2312"/>
          <w:b/>
          <w:bCs/>
          <w:color w:val="000000" w:themeColor="text1"/>
          <w:sz w:val="32"/>
          <w:szCs w:val="32"/>
          <w14:textFill>
            <w14:solidFill>
              <w14:schemeClr w14:val="tx1"/>
            </w14:solidFill>
          </w14:textFill>
        </w:rPr>
        <w:t>其他支出</w:t>
      </w:r>
      <w:r>
        <w:rPr>
          <w:rStyle w:val="14"/>
          <w:rFonts w:hint="eastAsia" w:ascii="仿宋_GB2312" w:hAnsi="仿宋_GB2312" w:eastAsia="仿宋_GB2312" w:cs="仿宋_GB2312"/>
          <w:bCs/>
          <w:color w:val="000000"/>
          <w:sz w:val="32"/>
          <w:szCs w:val="32"/>
        </w:rPr>
        <w:t>（类）其他支出（款）其他支出（项）:</w:t>
      </w:r>
      <w:r>
        <w:rPr>
          <w:rStyle w:val="14"/>
          <w:rFonts w:hint="eastAsia" w:ascii="仿宋_GB2312" w:hAnsi="仿宋_GB2312" w:eastAsia="仿宋_GB2312" w:cs="仿宋_GB2312"/>
          <w:b w:val="0"/>
          <w:bCs/>
          <w:color w:val="000000"/>
          <w:sz w:val="32"/>
          <w:szCs w:val="32"/>
        </w:rPr>
        <w:t>支出决算</w:t>
      </w:r>
      <w:r>
        <w:rPr>
          <w:rStyle w:val="14"/>
          <w:rFonts w:hint="eastAsia" w:ascii="仿宋_GB2312" w:hAnsi="仿宋_GB2312" w:eastAsia="仿宋_GB2312" w:cs="仿宋_GB2312"/>
          <w:b w:val="0"/>
          <w:bCs/>
          <w:color w:val="000000"/>
          <w:sz w:val="32"/>
          <w:szCs w:val="32"/>
          <w:lang w:val="en-US" w:eastAsia="zh-CN"/>
        </w:rPr>
        <w:t>6</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p>
    <w:p w14:paraId="137D7772">
      <w:pPr>
        <w:tabs>
          <w:tab w:val="right" w:pos="8306"/>
        </w:tabs>
        <w:spacing w:line="600" w:lineRule="exact"/>
        <w:ind w:firstLine="640"/>
        <w:outlineLvl w:val="1"/>
        <w:rPr>
          <w:rStyle w:val="26"/>
          <w:rFonts w:hint="eastAsia" w:ascii="仿宋_GB2312" w:hAnsi="仿宋_GB2312" w:eastAsia="仿宋_GB2312" w:cs="仿宋_GB2312"/>
          <w:sz w:val="32"/>
          <w:szCs w:val="32"/>
        </w:rPr>
      </w:pPr>
      <w:bookmarkStart w:id="40" w:name="_Toc15377214"/>
      <w:bookmarkStart w:id="41" w:name="_Toc15396608"/>
      <w:r>
        <w:rPr>
          <w:rFonts w:hint="eastAsia" w:ascii="黑体" w:hAnsi="黑体" w:eastAsia="黑体" w:cs="黑体"/>
          <w:b w:val="0"/>
          <w:bCs w:val="0"/>
          <w:color w:val="000000"/>
          <w:sz w:val="32"/>
          <w:szCs w:val="32"/>
        </w:rPr>
        <w:t>六、一</w:t>
      </w:r>
      <w:r>
        <w:rPr>
          <w:rStyle w:val="26"/>
          <w:rFonts w:hint="eastAsia" w:ascii="黑体" w:hAnsi="黑体" w:eastAsia="黑体" w:cs="黑体"/>
          <w:b w:val="0"/>
          <w:bCs w:val="0"/>
          <w:sz w:val="32"/>
          <w:szCs w:val="32"/>
        </w:rPr>
        <w:t>般公共预算财政拨款基本支出决算情况说明</w:t>
      </w:r>
      <w:bookmarkEnd w:id="40"/>
      <w:bookmarkEnd w:id="41"/>
      <w:r>
        <w:rPr>
          <w:rStyle w:val="26"/>
          <w:rFonts w:hint="eastAsia" w:ascii="仿宋_GB2312" w:hAnsi="仿宋_GB2312" w:eastAsia="仿宋_GB2312" w:cs="仿宋_GB2312"/>
          <w:b w:val="0"/>
          <w:sz w:val="32"/>
          <w:szCs w:val="32"/>
        </w:rPr>
        <w:tab/>
      </w:r>
    </w:p>
    <w:p w14:paraId="5AC57E88">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w:t>
      </w:r>
      <w:r>
        <w:rPr>
          <w:rFonts w:hint="eastAsia" w:ascii="仿宋_GB2312" w:hAnsi="仿宋_GB2312" w:eastAsia="仿宋_GB2312" w:cs="仿宋_GB2312"/>
          <w:color w:val="000000"/>
          <w:sz w:val="32"/>
          <w:szCs w:val="32"/>
          <w:lang w:val="en-US" w:eastAsia="zh-CN"/>
        </w:rPr>
        <w:t>1065.92</w:t>
      </w:r>
      <w:r>
        <w:rPr>
          <w:rFonts w:hint="eastAsia" w:ascii="仿宋_GB2312" w:hAnsi="仿宋_GB2312" w:eastAsia="仿宋_GB2312" w:cs="仿宋_GB2312"/>
          <w:color w:val="000000"/>
          <w:sz w:val="32"/>
          <w:szCs w:val="32"/>
        </w:rPr>
        <w:t>万元，其中：</w:t>
      </w:r>
    </w:p>
    <w:p w14:paraId="71AE9E87">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983.76</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退休费、抚恤金、生活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82.19</w:t>
      </w:r>
      <w:r>
        <w:rPr>
          <w:rFonts w:hint="eastAsia" w:ascii="仿宋_GB2312" w:hAnsi="仿宋_GB2312" w:eastAsia="仿宋_GB2312" w:cs="仿宋_GB2312"/>
          <w:color w:val="000000"/>
          <w:sz w:val="32"/>
          <w:szCs w:val="32"/>
        </w:rPr>
        <w:t>万元，主要包括：办公费、印刷费、水费、电费、邮电费、物业管理费、差旅费、维修（护）费、会议费、培训费、公务接待费、劳务费、工会经费、公务用车运行维护费、其他交通费、其他商品和服务支出、办公设备购置、其他资本性支出等。</w:t>
      </w:r>
    </w:p>
    <w:p w14:paraId="2930CAEC">
      <w:pPr>
        <w:spacing w:line="600" w:lineRule="exact"/>
        <w:ind w:firstLine="640"/>
        <w:outlineLvl w:val="1"/>
        <w:rPr>
          <w:rStyle w:val="26"/>
          <w:rFonts w:hint="eastAsia" w:ascii="黑体" w:hAnsi="黑体" w:eastAsia="黑体" w:cs="黑体"/>
          <w:b w:val="0"/>
          <w:sz w:val="32"/>
          <w:szCs w:val="32"/>
        </w:rPr>
      </w:pPr>
      <w:bookmarkStart w:id="42" w:name="_Toc15396609"/>
      <w:bookmarkStart w:id="43" w:name="_Toc15377215"/>
      <w:r>
        <w:rPr>
          <w:rFonts w:hint="eastAsia" w:ascii="黑体" w:hAnsi="黑体" w:eastAsia="黑体" w:cs="黑体"/>
          <w:color w:val="000000"/>
          <w:sz w:val="32"/>
          <w:szCs w:val="32"/>
        </w:rPr>
        <w:t>七、</w:t>
      </w:r>
      <w:r>
        <w:rPr>
          <w:rStyle w:val="26"/>
          <w:rFonts w:hint="eastAsia" w:ascii="黑体" w:hAnsi="黑体" w:eastAsia="黑体" w:cs="黑体"/>
          <w:sz w:val="32"/>
          <w:szCs w:val="32"/>
        </w:rPr>
        <w:t>“</w:t>
      </w:r>
      <w:r>
        <w:rPr>
          <w:rStyle w:val="26"/>
          <w:rFonts w:hint="eastAsia" w:ascii="黑体" w:hAnsi="黑体" w:eastAsia="黑体" w:cs="黑体"/>
          <w:b w:val="0"/>
          <w:sz w:val="32"/>
          <w:szCs w:val="32"/>
        </w:rPr>
        <w:t>三公”经费财政拨款支出决算情况说明</w:t>
      </w:r>
      <w:bookmarkEnd w:id="42"/>
      <w:bookmarkEnd w:id="43"/>
    </w:p>
    <w:p w14:paraId="63ECBC43">
      <w:pPr>
        <w:spacing w:line="600" w:lineRule="exact"/>
        <w:ind w:firstLine="640"/>
        <w:outlineLvl w:val="2"/>
        <w:rPr>
          <w:rFonts w:hint="eastAsia"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14:paraId="4A82B412">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2019年“三公”经费财政拨款支出决算为</w:t>
      </w:r>
      <w:r>
        <w:rPr>
          <w:rFonts w:hint="eastAsia" w:ascii="仿宋_GB2312" w:hAnsi="仿宋_GB2312" w:eastAsia="仿宋_GB2312" w:cs="仿宋_GB2312"/>
          <w:color w:val="000000"/>
          <w:sz w:val="32"/>
          <w:szCs w:val="32"/>
          <w:lang w:val="en-US" w:eastAsia="zh-CN"/>
        </w:rPr>
        <w:t>8.69</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54.31</w:t>
      </w:r>
      <w:r>
        <w:rPr>
          <w:rFonts w:hint="eastAsia" w:ascii="仿宋_GB2312" w:hAnsi="仿宋_GB2312" w:eastAsia="仿宋_GB2312" w:cs="仿宋_GB2312"/>
          <w:color w:val="000000"/>
          <w:sz w:val="32"/>
          <w:szCs w:val="32"/>
        </w:rPr>
        <w:t>%，决算数小于预算数的主要原因是公务用车支出、公务接待减少。</w:t>
      </w:r>
    </w:p>
    <w:p w14:paraId="3D62666C">
      <w:pPr>
        <w:spacing w:line="600" w:lineRule="exact"/>
        <w:ind w:firstLine="640"/>
        <w:outlineLvl w:val="2"/>
        <w:rPr>
          <w:rFonts w:hint="eastAsia" w:ascii="楷体_GB2312" w:hAnsi="楷体_GB2312" w:eastAsia="楷体_GB2312" w:cs="楷体_GB2312"/>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14:paraId="6744492C">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4.73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54.43</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3.96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45.57</w:t>
      </w:r>
      <w:r>
        <w:rPr>
          <w:rFonts w:hint="eastAsia" w:ascii="仿宋_GB2312" w:hAnsi="仿宋_GB2312" w:eastAsia="仿宋_GB2312" w:cs="仿宋_GB2312"/>
          <w:color w:val="000000"/>
          <w:sz w:val="32"/>
          <w:szCs w:val="32"/>
        </w:rPr>
        <w:t>%。具体情况如下：</w:t>
      </w:r>
    </w:p>
    <w:p w14:paraId="2C35CE12">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drawing>
          <wp:anchor distT="0" distB="0" distL="114300" distR="114300" simplePos="0" relativeHeight="251665408" behindDoc="0" locked="0" layoutInCell="1" allowOverlap="1">
            <wp:simplePos x="0" y="0"/>
            <wp:positionH relativeFrom="column">
              <wp:posOffset>627380</wp:posOffset>
            </wp:positionH>
            <wp:positionV relativeFrom="page">
              <wp:posOffset>2893695</wp:posOffset>
            </wp:positionV>
            <wp:extent cx="3971290" cy="2884170"/>
            <wp:effectExtent l="4445" t="4445" r="5715" b="698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1E99CBB">
      <w:pPr>
        <w:spacing w:line="600" w:lineRule="exact"/>
        <w:ind w:firstLine="640"/>
        <w:rPr>
          <w:rFonts w:hint="eastAsia" w:ascii="仿宋_GB2312" w:hAnsi="仿宋_GB2312" w:eastAsia="仿宋_GB2312" w:cs="仿宋_GB2312"/>
          <w:color w:val="000000"/>
          <w:sz w:val="32"/>
          <w:szCs w:val="32"/>
        </w:rPr>
      </w:pPr>
    </w:p>
    <w:p w14:paraId="315017D5">
      <w:pPr>
        <w:spacing w:line="600" w:lineRule="exact"/>
        <w:ind w:firstLine="640"/>
        <w:rPr>
          <w:rFonts w:hint="eastAsia" w:ascii="仿宋_GB2312" w:hAnsi="仿宋_GB2312" w:eastAsia="仿宋_GB2312" w:cs="仿宋_GB2312"/>
          <w:color w:val="000000"/>
          <w:sz w:val="32"/>
          <w:szCs w:val="32"/>
        </w:rPr>
      </w:pPr>
    </w:p>
    <w:p w14:paraId="5BB022F0">
      <w:pPr>
        <w:spacing w:line="600" w:lineRule="exact"/>
        <w:ind w:firstLine="640"/>
        <w:rPr>
          <w:rFonts w:hint="eastAsia" w:ascii="仿宋_GB2312" w:hAnsi="仿宋_GB2312" w:eastAsia="仿宋_GB2312" w:cs="仿宋_GB2312"/>
          <w:color w:val="000000"/>
          <w:sz w:val="32"/>
          <w:szCs w:val="32"/>
        </w:rPr>
      </w:pPr>
    </w:p>
    <w:p w14:paraId="253B63BD">
      <w:pPr>
        <w:spacing w:line="600" w:lineRule="exact"/>
        <w:ind w:firstLine="640"/>
        <w:rPr>
          <w:rFonts w:hint="eastAsia" w:ascii="仿宋_GB2312" w:hAnsi="仿宋_GB2312" w:eastAsia="仿宋_GB2312" w:cs="仿宋_GB2312"/>
          <w:color w:val="000000"/>
          <w:sz w:val="32"/>
          <w:szCs w:val="32"/>
        </w:rPr>
      </w:pPr>
    </w:p>
    <w:p w14:paraId="0F3071B8">
      <w:pPr>
        <w:spacing w:line="600" w:lineRule="exact"/>
        <w:ind w:firstLine="640"/>
        <w:rPr>
          <w:rFonts w:hint="eastAsia" w:ascii="仿宋_GB2312" w:hAnsi="仿宋_GB2312" w:eastAsia="仿宋_GB2312" w:cs="仿宋_GB2312"/>
          <w:color w:val="000000"/>
          <w:sz w:val="32"/>
          <w:szCs w:val="32"/>
        </w:rPr>
      </w:pPr>
    </w:p>
    <w:p w14:paraId="66264B18">
      <w:pPr>
        <w:spacing w:line="600" w:lineRule="exact"/>
        <w:ind w:firstLine="640"/>
        <w:rPr>
          <w:rFonts w:hint="eastAsia" w:ascii="仿宋_GB2312" w:hAnsi="仿宋_GB2312" w:eastAsia="仿宋_GB2312" w:cs="仿宋_GB2312"/>
          <w:color w:val="000000"/>
          <w:sz w:val="32"/>
          <w:szCs w:val="32"/>
        </w:rPr>
      </w:pPr>
    </w:p>
    <w:p w14:paraId="16D091AD">
      <w:pPr>
        <w:spacing w:line="600" w:lineRule="exact"/>
        <w:ind w:firstLine="640"/>
        <w:rPr>
          <w:rFonts w:hint="eastAsia" w:ascii="仿宋_GB2312" w:hAnsi="仿宋_GB2312" w:eastAsia="仿宋_GB2312" w:cs="仿宋_GB2312"/>
          <w:color w:val="000000"/>
          <w:sz w:val="32"/>
          <w:szCs w:val="32"/>
        </w:rPr>
      </w:pPr>
    </w:p>
    <w:p w14:paraId="30892802">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color w:val="000000"/>
          <w:sz w:val="32"/>
          <w:szCs w:val="32"/>
        </w:rPr>
        <w:t>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全年安排因公出国（境）团组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人。因公出国（境）支出决算比2018年</w:t>
      </w:r>
      <w:r>
        <w:rPr>
          <w:rFonts w:hint="eastAsia" w:ascii="仿宋_GB2312" w:hAnsi="仿宋_GB2312" w:eastAsia="仿宋_GB2312" w:cs="仿宋_GB2312"/>
          <w:color w:val="000000"/>
          <w:sz w:val="32"/>
          <w:szCs w:val="32"/>
          <w:lang w:eastAsia="zh-CN"/>
        </w:rPr>
        <w:t>持平。</w:t>
      </w:r>
    </w:p>
    <w:p w14:paraId="19DC84A5">
      <w:pPr>
        <w:spacing w:line="600" w:lineRule="exact"/>
        <w:ind w:firstLine="640"/>
        <w:rPr>
          <w:rFonts w:hint="eastAsia" w:ascii="仿宋_GB2312" w:hAnsi="仿宋_GB2312" w:eastAsia="仿宋_GB2312" w:cs="仿宋_GB2312"/>
          <w:b/>
          <w:color w:val="000000"/>
          <w:sz w:val="32"/>
          <w:szCs w:val="32"/>
          <w:lang w:eastAsia="zh-CN"/>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4.73</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color w:val="000000"/>
          <w:sz w:val="32"/>
          <w:szCs w:val="32"/>
        </w:rPr>
        <w:t>完成预算</w:t>
      </w:r>
      <w:r>
        <w:rPr>
          <w:rStyle w:val="14"/>
          <w:rFonts w:hint="eastAsia" w:ascii="仿宋_GB2312" w:hAnsi="仿宋_GB2312" w:eastAsia="仿宋_GB2312" w:cs="仿宋_GB2312"/>
          <w:b w:val="0"/>
          <w:bCs/>
          <w:color w:val="000000"/>
          <w:sz w:val="32"/>
          <w:szCs w:val="32"/>
          <w:lang w:val="en-US" w:eastAsia="zh-CN"/>
        </w:rPr>
        <w:t>29.56</w:t>
      </w:r>
      <w:r>
        <w:rPr>
          <w:rStyle w:val="1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公务用车购置及运行维护费支出决算比2018年增加</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78.35</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机构改革，金峰乡并入。</w:t>
      </w:r>
    </w:p>
    <w:p w14:paraId="18494258">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color w:val="000000"/>
          <w:sz w:val="32"/>
          <w:szCs w:val="32"/>
        </w:rPr>
        <w:t>公务用车购置支出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万元。全年按规定更新购置公务用车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元。截至2019年12月底，单位共有公务用车</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辆，其中：主要领导干部用车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辆、机要通信用车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辆、应急保障用车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执法执勤用车</w:t>
      </w:r>
      <w:r>
        <w:rPr>
          <w:rFonts w:hint="eastAsia" w:ascii="仿宋_GB2312" w:hAnsi="仿宋_GB2312" w:eastAsia="仿宋_GB2312" w:cs="仿宋_GB2312"/>
          <w:color w:val="000000"/>
          <w:sz w:val="32"/>
          <w:szCs w:val="32"/>
          <w:lang w:val="en-US" w:eastAsia="zh-CN"/>
        </w:rPr>
        <w:t>0辆，特种专业技术用车0辆，离退休干部用车0辆，</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其他用车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p>
    <w:p w14:paraId="380BC3C0">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4.73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sz w:val="32"/>
          <w:szCs w:val="32"/>
        </w:rPr>
        <w:t>主要用于日常所需的公务用车燃料费、维修费、过路过桥费、保险费等支出</w:t>
      </w:r>
      <w:r>
        <w:rPr>
          <w:rFonts w:hint="eastAsia" w:ascii="仿宋_GB2312" w:hAnsi="仿宋_GB2312" w:eastAsia="仿宋_GB2312" w:cs="仿宋_GB2312"/>
          <w:color w:val="000000"/>
          <w:sz w:val="32"/>
          <w:szCs w:val="32"/>
        </w:rPr>
        <w:t>。</w:t>
      </w:r>
    </w:p>
    <w:p w14:paraId="730152B2">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lang w:val="en-US" w:eastAsia="zh-CN"/>
        </w:rPr>
        <w:t>3.96</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color w:val="000000"/>
          <w:sz w:val="32"/>
          <w:szCs w:val="32"/>
        </w:rPr>
        <w:t>完成预算</w:t>
      </w:r>
      <w:r>
        <w:rPr>
          <w:rStyle w:val="14"/>
          <w:rFonts w:hint="eastAsia" w:ascii="仿宋_GB2312" w:hAnsi="仿宋_GB2312" w:eastAsia="仿宋_GB2312" w:cs="仿宋_GB2312"/>
          <w:b w:val="0"/>
          <w:bCs/>
          <w:color w:val="000000"/>
          <w:sz w:val="32"/>
          <w:szCs w:val="32"/>
          <w:lang w:val="en-US" w:eastAsia="zh-CN"/>
        </w:rPr>
        <w:t>24.75</w:t>
      </w:r>
      <w:r>
        <w:rPr>
          <w:rStyle w:val="1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公务接待费支出决算比2018年增加</w:t>
      </w:r>
      <w:r>
        <w:rPr>
          <w:rFonts w:hint="eastAsia" w:ascii="仿宋_GB2312" w:hAnsi="仿宋_GB2312" w:eastAsia="仿宋_GB2312" w:cs="仿宋_GB2312"/>
          <w:color w:val="000000"/>
          <w:sz w:val="32"/>
          <w:szCs w:val="32"/>
          <w:lang w:val="en-US" w:eastAsia="zh-CN"/>
        </w:rPr>
        <w:t>2.11</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113.79</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机构改革，金峰乡并入。</w:t>
      </w:r>
      <w:r>
        <w:rPr>
          <w:rFonts w:hint="eastAsia" w:ascii="仿宋_GB2312" w:hAnsi="仿宋_GB2312" w:eastAsia="仿宋_GB2312" w:cs="仿宋_GB2312"/>
          <w:color w:val="000000"/>
          <w:sz w:val="32"/>
          <w:szCs w:val="32"/>
        </w:rPr>
        <w:t>其中：</w:t>
      </w:r>
    </w:p>
    <w:p w14:paraId="49499667">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国内公务接待支出</w:t>
      </w:r>
      <w:r>
        <w:rPr>
          <w:rFonts w:hint="eastAsia" w:ascii="仿宋_GB2312" w:hAnsi="仿宋_GB2312" w:eastAsia="仿宋_GB2312" w:cs="仿宋_GB2312"/>
          <w:color w:val="000000"/>
          <w:sz w:val="32"/>
          <w:szCs w:val="32"/>
          <w:lang w:val="en-US" w:eastAsia="zh-CN"/>
        </w:rPr>
        <w:t>3.96</w:t>
      </w:r>
      <w:r>
        <w:rPr>
          <w:rFonts w:hint="eastAsia" w:ascii="仿宋_GB2312" w:hAnsi="仿宋_GB2312" w:eastAsia="仿宋_GB2312" w:cs="仿宋_GB2312"/>
          <w:color w:val="000000"/>
          <w:sz w:val="32"/>
          <w:szCs w:val="32"/>
        </w:rPr>
        <w:t>万元，主要用于执行公务、开展业务活动开支的交通费、住宿费、用餐费等。国内公务接待</w:t>
      </w:r>
      <w:r>
        <w:rPr>
          <w:rFonts w:hint="eastAsia" w:ascii="仿宋_GB2312" w:hAnsi="仿宋_GB2312" w:eastAsia="仿宋_GB2312" w:cs="仿宋_GB2312"/>
          <w:color w:val="000000"/>
          <w:sz w:val="32"/>
          <w:szCs w:val="32"/>
          <w:lang w:val="en-US" w:eastAsia="zh-CN"/>
        </w:rPr>
        <w:t>103</w:t>
      </w:r>
      <w:r>
        <w:rPr>
          <w:rFonts w:hint="eastAsia" w:ascii="仿宋_GB2312" w:hAnsi="仿宋_GB2312" w:eastAsia="仿宋_GB2312" w:cs="仿宋_GB2312"/>
          <w:color w:val="000000"/>
          <w:sz w:val="32"/>
          <w:szCs w:val="32"/>
        </w:rPr>
        <w:t>批次，</w:t>
      </w:r>
      <w:r>
        <w:rPr>
          <w:rFonts w:hint="eastAsia" w:ascii="仿宋_GB2312" w:hAnsi="仿宋_GB2312" w:eastAsia="仿宋_GB2312" w:cs="仿宋_GB2312"/>
          <w:color w:val="000000"/>
          <w:sz w:val="32"/>
          <w:szCs w:val="32"/>
          <w:lang w:val="en-US" w:eastAsia="zh-CN"/>
        </w:rPr>
        <w:t>792</w:t>
      </w:r>
      <w:r>
        <w:rPr>
          <w:rFonts w:hint="eastAsia" w:ascii="仿宋_GB2312" w:hAnsi="仿宋_GB2312" w:eastAsia="仿宋_GB2312" w:cs="仿宋_GB2312"/>
          <w:color w:val="000000"/>
          <w:sz w:val="32"/>
          <w:szCs w:val="32"/>
        </w:rPr>
        <w:t>人次（不包括陪同人员），共计支出</w:t>
      </w:r>
      <w:r>
        <w:rPr>
          <w:rFonts w:hint="eastAsia" w:ascii="仿宋_GB2312" w:hAnsi="仿宋_GB2312" w:eastAsia="仿宋_GB2312" w:cs="仿宋_GB2312"/>
          <w:color w:val="000000"/>
          <w:sz w:val="32"/>
          <w:szCs w:val="32"/>
          <w:lang w:val="en-US" w:eastAsia="zh-CN"/>
        </w:rPr>
        <w:t>3.96</w:t>
      </w:r>
      <w:r>
        <w:rPr>
          <w:rFonts w:hint="eastAsia" w:ascii="仿宋_GB2312" w:hAnsi="仿宋_GB2312" w:eastAsia="仿宋_GB2312" w:cs="仿宋_GB2312"/>
          <w:color w:val="000000"/>
          <w:sz w:val="32"/>
          <w:szCs w:val="32"/>
        </w:rPr>
        <w:t>万元，具体内容包括：</w:t>
      </w:r>
      <w:r>
        <w:rPr>
          <w:rFonts w:hint="eastAsia" w:ascii="仿宋_GB2312" w:hAnsi="仿宋_GB2312" w:eastAsia="仿宋_GB2312" w:cs="仿宋_GB2312"/>
          <w:color w:val="000000"/>
          <w:sz w:val="32"/>
          <w:szCs w:val="32"/>
          <w:lang w:eastAsia="zh-CN"/>
        </w:rPr>
        <w:t>开展扶贫、乡村振兴、城乡环境综合治理、宣传等工作</w:t>
      </w:r>
      <w:r>
        <w:rPr>
          <w:rFonts w:hint="eastAsia" w:ascii="仿宋_GB2312" w:hAnsi="仿宋_GB2312" w:eastAsia="仿宋_GB2312" w:cs="仿宋_GB2312"/>
          <w:color w:val="000000"/>
          <w:sz w:val="32"/>
          <w:szCs w:val="32"/>
        </w:rPr>
        <w:t>。</w:t>
      </w:r>
    </w:p>
    <w:p w14:paraId="5C34CC44">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，外事接待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批次，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人，共计支出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bookmarkStart w:id="46" w:name="_Toc15396610"/>
      <w:bookmarkStart w:id="47" w:name="_Toc15377218"/>
    </w:p>
    <w:p w14:paraId="5D25264F">
      <w:pPr>
        <w:spacing w:line="600" w:lineRule="exact"/>
        <w:ind w:firstLine="640"/>
        <w:outlineLvl w:val="1"/>
        <w:rPr>
          <w:rStyle w:val="26"/>
          <w:rFonts w:hint="eastAsia" w:ascii="黑体" w:hAnsi="黑体" w:eastAsia="黑体" w:cs="黑体"/>
          <w:sz w:val="32"/>
          <w:szCs w:val="32"/>
        </w:rPr>
      </w:pPr>
      <w:r>
        <w:rPr>
          <w:rFonts w:hint="eastAsia" w:ascii="黑体" w:hAnsi="黑体" w:eastAsia="黑体" w:cs="黑体"/>
          <w:color w:val="000000"/>
          <w:sz w:val="32"/>
          <w:szCs w:val="32"/>
        </w:rPr>
        <w:t>八、</w:t>
      </w:r>
      <w:r>
        <w:rPr>
          <w:rStyle w:val="26"/>
          <w:rFonts w:hint="eastAsia" w:ascii="黑体" w:hAnsi="黑体" w:eastAsia="黑体" w:cs="黑体"/>
          <w:b w:val="0"/>
          <w:sz w:val="32"/>
          <w:szCs w:val="32"/>
        </w:rPr>
        <w:t>政府性基金预算支出决算情况说明</w:t>
      </w:r>
      <w:bookmarkEnd w:id="46"/>
      <w:bookmarkEnd w:id="47"/>
    </w:p>
    <w:p w14:paraId="16E41A79">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2019年政府性基金预算拨款支出</w:t>
      </w:r>
      <w:r>
        <w:rPr>
          <w:rFonts w:hint="eastAsia" w:ascii="仿宋_GB2312" w:hAnsi="仿宋_GB2312" w:eastAsia="仿宋_GB2312" w:cs="仿宋_GB2312"/>
          <w:color w:val="000000"/>
          <w:sz w:val="32"/>
          <w:szCs w:val="32"/>
          <w:lang w:val="en-US" w:eastAsia="zh-CN"/>
        </w:rPr>
        <w:t>73.72</w:t>
      </w:r>
      <w:r>
        <w:rPr>
          <w:rFonts w:hint="eastAsia" w:ascii="仿宋_GB2312" w:hAnsi="仿宋_GB2312" w:eastAsia="仿宋_GB2312" w:cs="仿宋_GB2312"/>
          <w:color w:val="000000"/>
          <w:sz w:val="32"/>
          <w:szCs w:val="32"/>
        </w:rPr>
        <w:t>万元。</w:t>
      </w:r>
    </w:p>
    <w:p w14:paraId="32321285">
      <w:pPr>
        <w:numPr>
          <w:ilvl w:val="0"/>
          <w:numId w:val="4"/>
        </w:numPr>
        <w:spacing w:line="600" w:lineRule="exact"/>
        <w:ind w:firstLine="640"/>
        <w:outlineLvl w:val="1"/>
        <w:rPr>
          <w:rStyle w:val="26"/>
          <w:rFonts w:hint="eastAsia" w:ascii="黑体" w:hAnsi="黑体" w:eastAsia="黑体" w:cs="黑体"/>
          <w:b w:val="0"/>
          <w:sz w:val="32"/>
          <w:szCs w:val="32"/>
        </w:rPr>
      </w:pPr>
      <w:bookmarkStart w:id="48" w:name="_Toc15377219"/>
      <w:bookmarkStart w:id="49" w:name="_Toc15396611"/>
      <w:r>
        <w:rPr>
          <w:rStyle w:val="26"/>
          <w:rFonts w:hint="eastAsia" w:ascii="黑体" w:hAnsi="黑体" w:eastAsia="黑体" w:cs="黑体"/>
          <w:b w:val="0"/>
          <w:sz w:val="32"/>
          <w:szCs w:val="32"/>
        </w:rPr>
        <w:t>国有资本经营预算支出决算情况说明</w:t>
      </w:r>
      <w:bookmarkEnd w:id="48"/>
      <w:bookmarkEnd w:id="49"/>
    </w:p>
    <w:p w14:paraId="6F029FA8">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2019年国有资本经营预算拨款支出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14:paraId="35AF6423">
      <w:pPr>
        <w:spacing w:line="600" w:lineRule="exact"/>
        <w:ind w:firstLine="800" w:firstLineChars="250"/>
        <w:outlineLvl w:val="1"/>
        <w:rPr>
          <w:rStyle w:val="26"/>
          <w:rFonts w:hint="eastAsia" w:ascii="黑体" w:hAnsi="黑体" w:eastAsia="黑体" w:cs="黑体"/>
          <w:sz w:val="32"/>
          <w:szCs w:val="32"/>
        </w:rPr>
      </w:pPr>
      <w:bookmarkStart w:id="50" w:name="_Toc15377221"/>
      <w:bookmarkStart w:id="51" w:name="_Toc15396612"/>
      <w:r>
        <w:rPr>
          <w:rFonts w:hint="eastAsia" w:ascii="黑体" w:hAnsi="黑体" w:eastAsia="黑体" w:cs="黑体"/>
          <w:color w:val="000000"/>
          <w:sz w:val="32"/>
          <w:szCs w:val="32"/>
        </w:rPr>
        <w:t>十</w:t>
      </w:r>
      <w:r>
        <w:rPr>
          <w:rStyle w:val="26"/>
          <w:rFonts w:hint="eastAsia" w:ascii="黑体" w:hAnsi="黑体" w:eastAsia="黑体" w:cs="黑体"/>
          <w:sz w:val="32"/>
          <w:szCs w:val="32"/>
        </w:rPr>
        <w:t>、</w:t>
      </w:r>
      <w:r>
        <w:rPr>
          <w:rStyle w:val="26"/>
          <w:rFonts w:hint="eastAsia" w:ascii="黑体" w:hAnsi="黑体" w:eastAsia="黑体" w:cs="黑体"/>
          <w:b w:val="0"/>
          <w:sz w:val="32"/>
          <w:szCs w:val="32"/>
        </w:rPr>
        <w:t>其他重要事项的情况说明</w:t>
      </w:r>
      <w:bookmarkEnd w:id="50"/>
      <w:bookmarkEnd w:id="51"/>
    </w:p>
    <w:p w14:paraId="35CD32D9">
      <w:pPr>
        <w:spacing w:line="600" w:lineRule="exact"/>
        <w:ind w:firstLine="643" w:firstLineChars="200"/>
        <w:outlineLvl w:val="2"/>
        <w:rPr>
          <w:rFonts w:hint="eastAsia" w:ascii="楷体_GB2312" w:hAnsi="楷体_GB2312" w:eastAsia="楷体_GB2312" w:cs="楷体_GB2312"/>
          <w:color w:val="000000"/>
          <w:sz w:val="32"/>
          <w:szCs w:val="32"/>
        </w:rPr>
      </w:pPr>
      <w:bookmarkStart w:id="52" w:name="_Toc15377222"/>
      <w:r>
        <w:rPr>
          <w:rFonts w:hint="eastAsia" w:ascii="楷体_GB2312" w:hAnsi="楷体_GB2312" w:eastAsia="楷体_GB2312" w:cs="楷体_GB2312"/>
          <w:b/>
          <w:color w:val="000000"/>
          <w:sz w:val="32"/>
          <w:szCs w:val="32"/>
        </w:rPr>
        <w:t>（一）机关运行经费支出情况</w:t>
      </w:r>
      <w:bookmarkEnd w:id="52"/>
    </w:p>
    <w:p w14:paraId="0AC72F34">
      <w:pPr>
        <w:spacing w:line="60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lang w:eastAsia="zh-CN"/>
        </w:rPr>
        <w:t>集益镇</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szCs w:val="32"/>
          <w:lang w:val="en-US" w:eastAsia="zh-CN"/>
        </w:rPr>
        <w:t>82.17</w:t>
      </w:r>
      <w:r>
        <w:rPr>
          <w:rFonts w:hint="eastAsia" w:ascii="仿宋_GB2312" w:hAnsi="仿宋_GB2312" w:eastAsia="仿宋_GB2312" w:cs="仿宋_GB2312"/>
          <w:color w:val="000000"/>
          <w:sz w:val="32"/>
          <w:szCs w:val="32"/>
        </w:rPr>
        <w:t>万元，比2018年增加</w:t>
      </w:r>
      <w:r>
        <w:rPr>
          <w:rFonts w:hint="eastAsia" w:ascii="仿宋_GB2312" w:hAnsi="仿宋_GB2312" w:eastAsia="仿宋_GB2312" w:cs="仿宋_GB2312"/>
          <w:color w:val="000000"/>
          <w:sz w:val="32"/>
          <w:szCs w:val="32"/>
          <w:lang w:val="en-US" w:eastAsia="zh-CN"/>
        </w:rPr>
        <w:t>56.52</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220.4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机构改革，金峰乡并入。</w:t>
      </w:r>
    </w:p>
    <w:p w14:paraId="4B0D7CB3">
      <w:pPr>
        <w:autoSpaceDE w:val="0"/>
        <w:autoSpaceDN w:val="0"/>
        <w:adjustRightInd w:val="0"/>
        <w:spacing w:line="600" w:lineRule="exact"/>
        <w:ind w:firstLine="643" w:firstLineChars="200"/>
        <w:jc w:val="left"/>
        <w:outlineLvl w:val="2"/>
        <w:rPr>
          <w:rFonts w:hint="eastAsia" w:ascii="楷体_GB2312" w:hAnsi="楷体_GB2312" w:eastAsia="楷体_GB2312" w:cs="楷体_GB2312"/>
          <w:b/>
          <w:color w:val="000000"/>
          <w:sz w:val="32"/>
          <w:szCs w:val="32"/>
        </w:rPr>
      </w:pPr>
      <w:bookmarkStart w:id="53" w:name="_Toc15377223"/>
      <w:r>
        <w:rPr>
          <w:rFonts w:hint="eastAsia" w:ascii="楷体_GB2312" w:hAnsi="楷体_GB2312" w:eastAsia="楷体_GB2312" w:cs="楷体_GB2312"/>
          <w:b/>
          <w:color w:val="000000"/>
          <w:sz w:val="32"/>
          <w:szCs w:val="32"/>
        </w:rPr>
        <w:t>（二）政府采购支出情况</w:t>
      </w:r>
      <w:bookmarkEnd w:id="53"/>
    </w:p>
    <w:p w14:paraId="288F62BD">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lang w:eastAsia="zh-CN"/>
        </w:rPr>
        <w:t>集益镇</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szCs w:val="32"/>
          <w:lang w:val="en-US" w:eastAsia="zh-CN"/>
        </w:rPr>
        <w:t>218.57</w:t>
      </w:r>
      <w:r>
        <w:rPr>
          <w:rFonts w:hint="eastAsia" w:ascii="仿宋_GB2312" w:hAnsi="仿宋_GB2312" w:eastAsia="仿宋_GB2312" w:cs="仿宋_GB2312"/>
          <w:color w:val="000000"/>
          <w:sz w:val="32"/>
          <w:szCs w:val="32"/>
        </w:rPr>
        <w:t>万元，其中：政府采购货物支出</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万元、政府采购工程支出</w:t>
      </w:r>
      <w:r>
        <w:rPr>
          <w:rFonts w:hint="eastAsia" w:ascii="仿宋_GB2312" w:hAnsi="仿宋_GB2312" w:eastAsia="仿宋_GB2312" w:cs="仿宋_GB2312"/>
          <w:color w:val="000000"/>
          <w:sz w:val="32"/>
          <w:szCs w:val="32"/>
          <w:lang w:val="en-US" w:eastAsia="zh-CN"/>
        </w:rPr>
        <w:t>55.47</w:t>
      </w:r>
      <w:r>
        <w:rPr>
          <w:rFonts w:hint="eastAsia" w:ascii="仿宋_GB2312" w:hAnsi="仿宋_GB2312" w:eastAsia="仿宋_GB2312" w:cs="仿宋_GB2312"/>
          <w:color w:val="000000"/>
          <w:sz w:val="32"/>
          <w:szCs w:val="32"/>
        </w:rPr>
        <w:t>万元、政府采购服务支出</w:t>
      </w:r>
      <w:r>
        <w:rPr>
          <w:rFonts w:hint="eastAsia" w:ascii="仿宋_GB2312" w:hAnsi="仿宋_GB2312" w:eastAsia="仿宋_GB2312" w:cs="仿宋_GB2312"/>
          <w:color w:val="000000"/>
          <w:sz w:val="32"/>
          <w:szCs w:val="32"/>
          <w:lang w:val="en-US" w:eastAsia="zh-CN"/>
        </w:rPr>
        <w:t>161.6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主要用于办公设备购置、工程采购、居家养老服务支出。</w:t>
      </w:r>
      <w:r>
        <w:rPr>
          <w:rFonts w:hint="eastAsia" w:ascii="仿宋_GB2312" w:hAnsi="仿宋_GB2312" w:eastAsia="仿宋_GB2312" w:cs="仿宋_GB2312"/>
          <w:color w:val="000000"/>
          <w:sz w:val="32"/>
          <w:szCs w:val="32"/>
        </w:rPr>
        <w:t>授予中小企业合同金额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万元，占政府采购支出总额的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万元，占政府采购支出总额的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14:paraId="3821DACE">
      <w:pPr>
        <w:autoSpaceDE w:val="0"/>
        <w:autoSpaceDN w:val="0"/>
        <w:adjustRightInd w:val="0"/>
        <w:spacing w:line="600" w:lineRule="exact"/>
        <w:ind w:firstLine="643" w:firstLineChars="200"/>
        <w:jc w:val="left"/>
        <w:outlineLvl w:val="2"/>
        <w:rPr>
          <w:rFonts w:hint="eastAsia" w:ascii="楷体_GB2312" w:hAnsi="楷体_GB2312" w:eastAsia="楷体_GB2312" w:cs="楷体_GB2312"/>
          <w:b/>
          <w:color w:val="000000"/>
          <w:sz w:val="32"/>
          <w:szCs w:val="32"/>
        </w:rPr>
      </w:pPr>
      <w:bookmarkStart w:id="54" w:name="_Toc15377224"/>
      <w:r>
        <w:rPr>
          <w:rFonts w:hint="eastAsia" w:ascii="楷体_GB2312" w:hAnsi="楷体_GB2312" w:eastAsia="楷体_GB2312" w:cs="楷体_GB2312"/>
          <w:b/>
          <w:color w:val="000000"/>
          <w:sz w:val="32"/>
          <w:szCs w:val="32"/>
        </w:rPr>
        <w:t>（三）国有资产占有使用情况</w:t>
      </w:r>
      <w:bookmarkEnd w:id="54"/>
    </w:p>
    <w:p w14:paraId="3C5E08AA">
      <w:pPr>
        <w:autoSpaceDE w:val="0"/>
        <w:autoSpaceDN w:val="0"/>
        <w:adjustRightInd w:val="0"/>
        <w:spacing w:line="600" w:lineRule="exact"/>
        <w:ind w:firstLine="640" w:firstLineChars="200"/>
        <w:jc w:val="left"/>
        <w:rPr>
          <w:rFonts w:hint="eastAsia" w:ascii="仿宋_GB2312" w:hAnsi="仿宋_GB2312" w:eastAsia="仿宋_GB2312" w:cs="仿宋_GB2312"/>
          <w:b/>
          <w:color w:val="FF0000"/>
          <w:sz w:val="32"/>
          <w:szCs w:val="32"/>
        </w:rPr>
      </w:pPr>
      <w:r>
        <w:rPr>
          <w:rFonts w:hint="eastAsia" w:ascii="仿宋_GB2312" w:hAnsi="仿宋_GB2312" w:eastAsia="仿宋_GB2312" w:cs="仿宋_GB2312"/>
          <w:color w:val="000000"/>
          <w:sz w:val="32"/>
          <w:szCs w:val="32"/>
        </w:rPr>
        <w:t>截至2019年12月31日，</w:t>
      </w:r>
      <w:r>
        <w:rPr>
          <w:rFonts w:hint="eastAsia" w:ascii="仿宋_GB2312" w:hAnsi="仿宋_GB2312" w:eastAsia="仿宋_GB2312" w:cs="仿宋_GB2312"/>
          <w:color w:val="000000"/>
          <w:sz w:val="32"/>
          <w:szCs w:val="32"/>
          <w:lang w:eastAsia="zh-CN"/>
        </w:rPr>
        <w:t>集益镇</w:t>
      </w:r>
      <w:r>
        <w:rPr>
          <w:rFonts w:hint="eastAsia" w:ascii="仿宋_GB2312" w:hAnsi="仿宋_GB2312" w:eastAsia="仿宋_GB2312" w:cs="仿宋_GB2312"/>
          <w:color w:val="000000"/>
          <w:sz w:val="32"/>
          <w:szCs w:val="32"/>
        </w:rPr>
        <w:t>共有车辆</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辆，其中：主要领导干部用车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辆、机要通信用车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辆、应急保障用车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辆、其他用车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其他用车主要是用于农业技术宣传推广。</w:t>
      </w:r>
      <w:r>
        <w:rPr>
          <w:rFonts w:hint="eastAsia" w:ascii="仿宋_GB2312" w:hAnsi="仿宋_GB2312" w:eastAsia="仿宋_GB2312" w:cs="仿宋_GB2312"/>
          <w:color w:val="000000" w:themeColor="text1"/>
          <w:sz w:val="32"/>
          <w:szCs w:val="32"/>
          <w14:textFill>
            <w14:solidFill>
              <w14:schemeClr w14:val="tx1"/>
            </w14:solidFill>
          </w14:textFill>
        </w:rPr>
        <w:t>单价50万元以上通用设备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台（套），单价100</w:t>
      </w:r>
      <w:r>
        <w:rPr>
          <w:rFonts w:hint="eastAsia" w:ascii="仿宋_GB2312" w:hAnsi="仿宋_GB2312" w:eastAsia="仿宋_GB2312" w:cs="仿宋_GB2312"/>
          <w:color w:val="000000"/>
          <w:sz w:val="32"/>
          <w:szCs w:val="32"/>
        </w:rPr>
        <w:t>万元以上专用设备</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台（套）。</w:t>
      </w:r>
    </w:p>
    <w:p w14:paraId="07FCD21D">
      <w:pPr>
        <w:autoSpaceDE w:val="0"/>
        <w:autoSpaceDN w:val="0"/>
        <w:adjustRightInd w:val="0"/>
        <w:spacing w:line="600" w:lineRule="exact"/>
        <w:ind w:firstLine="643" w:firstLineChars="200"/>
        <w:jc w:val="left"/>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（四）预算绩效管理情况。</w:t>
      </w:r>
    </w:p>
    <w:p w14:paraId="318778A6">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在年初预算编制阶段，组织对</w:t>
      </w:r>
      <w:r>
        <w:rPr>
          <w:rFonts w:hint="eastAsia" w:ascii="仿宋_GB2312" w:hAnsi="仿宋_GB2312" w:eastAsia="仿宋_GB2312" w:cs="仿宋_GB2312"/>
          <w:sz w:val="32"/>
          <w:szCs w:val="32"/>
          <w:lang w:eastAsia="zh-CN"/>
        </w:rPr>
        <w:t>人大运行、村（社区）运转、民生工程等</w:t>
      </w:r>
      <w:r>
        <w:rPr>
          <w:rFonts w:hint="eastAsia" w:ascii="仿宋_GB2312" w:hAnsi="仿宋_GB2312" w:eastAsia="仿宋_GB2312" w:cs="仿宋_GB2312"/>
          <w:sz w:val="32"/>
          <w:szCs w:val="32"/>
          <w:lang w:val="en-US" w:eastAsia="zh-CN"/>
        </w:rPr>
        <w:t>9个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14:paraId="7BD88EE8">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按要求对2019年部门整体支出开展绩效自评，从评价情况来看</w:t>
      </w:r>
      <w:r>
        <w:rPr>
          <w:rFonts w:hint="eastAsia" w:ascii="仿宋_GB2312" w:hAnsi="仿宋_GB2312" w:eastAsia="仿宋_GB2312" w:cs="仿宋_GB2312"/>
          <w:sz w:val="32"/>
          <w:szCs w:val="32"/>
          <w:lang w:eastAsia="zh-CN"/>
        </w:rPr>
        <w:t>保障和维护了政府正常运转，社会安定，人民安居乐业。群众、上级部门、职工对本单位工作满意</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还自行组织了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eastAsia="zh-CN"/>
        </w:rPr>
        <w:t>提高了村组干部积极性，为群众办了实事，促进经济、社会等方面可持续发展</w:t>
      </w:r>
      <w:r>
        <w:rPr>
          <w:rFonts w:hint="eastAsia" w:ascii="仿宋_GB2312" w:hAnsi="仿宋_GB2312" w:eastAsia="仿宋_GB2312" w:cs="仿宋_GB2312"/>
          <w:sz w:val="32"/>
          <w:szCs w:val="32"/>
        </w:rPr>
        <w:t>。</w:t>
      </w:r>
    </w:p>
    <w:p w14:paraId="2C50C4AA">
      <w:pPr>
        <w:spacing w:line="58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1.项目绩效目标完成情况。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在2019年度部门决算中反映“</w:t>
      </w:r>
      <w:r>
        <w:rPr>
          <w:rFonts w:hint="eastAsia" w:ascii="仿宋_GB2312" w:hAnsi="仿宋_GB2312" w:eastAsia="仿宋_GB2312" w:cs="仿宋_GB2312"/>
          <w:sz w:val="32"/>
          <w:szCs w:val="32"/>
          <w:lang w:eastAsia="zh-CN"/>
        </w:rPr>
        <w:t>村组干部报酬</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义务兵优待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农村特困供养</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个项目绩效目标实际完成情况。</w:t>
      </w:r>
    </w:p>
    <w:p w14:paraId="38A805D1">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村组干部报酬</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227.41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229.75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村组干部生活补助，提高了村干部工作积极性。</w:t>
      </w:r>
    </w:p>
    <w:p w14:paraId="409AE9B8">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义务兵优待</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23.53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26.52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体现了党和政府对退役军人的关爱。</w:t>
      </w:r>
    </w:p>
    <w:p w14:paraId="595369FC">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农村特困人员供养</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35.8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35.8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农村特困人员基本生活，促进社会和谐发展，提高了群众满意度。</w:t>
      </w:r>
    </w:p>
    <w:p w14:paraId="09AC8C9E">
      <w:pPr>
        <w:spacing w:line="580" w:lineRule="exact"/>
        <w:ind w:left="63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2.部门绩效评价结果。</w:t>
      </w:r>
    </w:p>
    <w:p w14:paraId="7A421E46">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按要求对2019年部门整体支出绩效评价情况开展自评，《</w:t>
      </w:r>
      <w:r>
        <w:rPr>
          <w:rFonts w:hint="eastAsia" w:ascii="仿宋_GB2312" w:hAnsi="仿宋_GB2312" w:eastAsia="仿宋_GB2312" w:cs="仿宋_GB2312"/>
          <w:sz w:val="32"/>
          <w:szCs w:val="32"/>
          <w:lang w:eastAsia="zh-CN"/>
        </w:rPr>
        <w:t>集益镇</w:t>
      </w:r>
      <w:r>
        <w:rPr>
          <w:rFonts w:hint="eastAsia" w:ascii="仿宋_GB2312" w:hAnsi="仿宋_GB2312" w:eastAsia="仿宋_GB2312" w:cs="仿宋_GB2312"/>
          <w:sz w:val="32"/>
          <w:szCs w:val="32"/>
        </w:rPr>
        <w:t>部门2019年部门整体支出绩效评价报告》见附件（附件1）。</w:t>
      </w:r>
    </w:p>
    <w:p w14:paraId="4074180B">
      <w:pPr>
        <w:widowControl/>
        <w:jc w:val="lef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br w:type="page"/>
      </w:r>
    </w:p>
    <w:p w14:paraId="5078CDF6">
      <w:pPr>
        <w:numPr>
          <w:ilvl w:val="0"/>
          <w:numId w:val="5"/>
        </w:numPr>
        <w:spacing w:line="600" w:lineRule="exact"/>
        <w:ind w:firstLine="660" w:firstLineChars="150"/>
        <w:jc w:val="center"/>
        <w:outlineLvl w:val="0"/>
        <w:rPr>
          <w:rStyle w:val="25"/>
          <w:rFonts w:hint="eastAsia" w:ascii="黑体" w:hAnsi="黑体" w:eastAsia="黑体" w:cs="黑体"/>
          <w:b w:val="0"/>
          <w:sz w:val="44"/>
          <w:szCs w:val="44"/>
        </w:rPr>
      </w:pPr>
      <w:bookmarkStart w:id="55" w:name="_Toc15396613"/>
      <w:bookmarkStart w:id="56" w:name="_Toc15377225"/>
      <w:r>
        <w:rPr>
          <w:rFonts w:hint="eastAsia" w:ascii="黑体" w:hAnsi="黑体" w:eastAsia="黑体" w:cs="黑体"/>
          <w:color w:val="000000"/>
          <w:sz w:val="44"/>
          <w:szCs w:val="44"/>
        </w:rPr>
        <w:t>名</w:t>
      </w:r>
      <w:r>
        <w:rPr>
          <w:rStyle w:val="25"/>
          <w:rFonts w:hint="eastAsia" w:ascii="黑体" w:hAnsi="黑体" w:eastAsia="黑体" w:cs="黑体"/>
          <w:b w:val="0"/>
          <w:sz w:val="44"/>
          <w:szCs w:val="44"/>
        </w:rPr>
        <w:t>词解释</w:t>
      </w:r>
      <w:bookmarkEnd w:id="55"/>
      <w:bookmarkEnd w:id="56"/>
    </w:p>
    <w:p w14:paraId="083FE2AA">
      <w:pPr>
        <w:spacing w:line="600" w:lineRule="exact"/>
        <w:jc w:val="left"/>
        <w:rPr>
          <w:rFonts w:hint="eastAsia" w:ascii="仿宋_GB2312" w:hAnsi="仿宋_GB2312" w:eastAsia="仿宋_GB2312" w:cs="仿宋_GB2312"/>
          <w:b/>
          <w:color w:val="000000"/>
          <w:sz w:val="32"/>
          <w:szCs w:val="32"/>
        </w:rPr>
      </w:pPr>
    </w:p>
    <w:p w14:paraId="5954C1A1">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财政拨款收支情况：是指一般公共预算、政府性基金预算、国有资本经营预算拨款收支情况。</w:t>
      </w:r>
    </w:p>
    <w:p w14:paraId="54BE306A">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一般公共预算拨款收入：指县级财政当年拨付的资金。</w:t>
      </w:r>
    </w:p>
    <w:p w14:paraId="3CEF0598">
      <w:pPr>
        <w:pStyle w:val="32"/>
        <w:rPr>
          <w:rFonts w:hint="eastAsia" w:ascii="仿宋_GB2312" w:hAnsi="仿宋_GB2312" w:eastAsia="仿宋_GB2312" w:cs="仿宋_GB2312"/>
          <w:sz w:val="32"/>
          <w:szCs w:val="32"/>
        </w:rPr>
      </w:pPr>
      <w:r>
        <w:rPr>
          <w:rStyle w:val="15"/>
          <w:rFonts w:hint="eastAsia" w:ascii="仿宋_GB2312" w:hAnsi="仿宋_GB2312" w:eastAsia="仿宋_GB2312" w:cs="仿宋_GB2312"/>
          <w:sz w:val="32"/>
          <w:szCs w:val="32"/>
        </w:rPr>
        <w:t>事业收入：指事业单位开展专业业务活动及辅助活动所取得的收入。</w:t>
      </w:r>
    </w:p>
    <w:p w14:paraId="377EF33E">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事业基金弥补收支差额：指事业单位在当年的收入不足以安排当年会出的情况下，使用以前年度积累的事业基金（事业单位当年收支相抵后按国家规定提取、用于弥补以后年度收支差额的基金）弥补本年度收支缺口的资金。</w:t>
      </w:r>
    </w:p>
    <w:p w14:paraId="18EE907E">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上年结转：指以前年度尚未完成，结转到本年仍按原规定用途继续使用的资金。</w:t>
      </w:r>
    </w:p>
    <w:p w14:paraId="2B397445">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一般公共服务（类）人大事务（款）其他人大事务支出（项） 指其它人大事务支出。</w:t>
      </w:r>
    </w:p>
    <w:p w14:paraId="4C11A283">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一般公共服务（类）政府办公室及相关机构事务（款）行政运行（项）指行政单位（包括实行公务员管理的事业单位）的基本支出。</w:t>
      </w:r>
    </w:p>
    <w:p w14:paraId="780A3C4D">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卫生健康支出（类）公共卫生(款)其他公共卫生支出（项）指其他用于公共卫生方面的支出。</w:t>
      </w:r>
    </w:p>
    <w:p w14:paraId="4C1B6D61">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一般公共服务（类）政府办公厅（室）及相关机构事务（款）一般行政管理事务（项）指行政单位（包括实行公务员管理的事业单位）未单独设置项级科目的其他项目支出。</w:t>
      </w:r>
    </w:p>
    <w:p w14:paraId="3F6E5892">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教育支出（类）普通教育（款）其他普通教育支出（项）指其他用于普通教育的支出</w:t>
      </w:r>
    </w:p>
    <w:p w14:paraId="62AAF080">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社会保障和就业支出（类）行政事业单位离退休（款）机关事业单位基本养老保险支出（项）反应机关事业单位实施养老保险制度由单位缴纳的基本养老保险费支出。</w:t>
      </w:r>
    </w:p>
    <w:p w14:paraId="6C9F8F78">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社会保障和就业支出（类）抚恤款（款）义务兵优待（项） 指用于义务兵优待方面的支出。</w:t>
      </w:r>
    </w:p>
    <w:p w14:paraId="2BB40CF9">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社会保障和就业（类）特困人员救助供养（款）农村特困人员救助供养支出（项）指农村特困人员救助供养支出。</w:t>
      </w:r>
    </w:p>
    <w:p w14:paraId="0E924EB8">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卫生健康支出（类）计划生育事务（款）其他计划生育事务支出（项）指其他用与计划生育管理事务方面的支出。</w:t>
      </w:r>
    </w:p>
    <w:p w14:paraId="31CC2595">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支出（类）行政事业单位医疗（款）行政单位医疗（项）指财政部门安排的行政单位（包括实行公务员管理的事业单位）基本医疗保险缴费经费，未参加医疗保险的行政单位的公费医疗经费，按国家规定享有离休人员、红军老战士待遇人员的医疗经费。</w:t>
      </w:r>
    </w:p>
    <w:p w14:paraId="0CBBE8A8">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卫生健康支出（类）老龄卫生健康事务（款）老龄卫生健康事务（项）指老龄卫生健康事务方面的支出。</w:t>
      </w:r>
    </w:p>
    <w:p w14:paraId="3119D60A">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节能环保支出（类）污染防治（款）水体（项）指政府在排水、污水处理、水污染防治、湖库生态环境保护、水源地保护、国土江河综合治理、河流治理与保护、地下水修复与保护等方面的支出。</w:t>
      </w:r>
    </w:p>
    <w:p w14:paraId="1EA7BF94">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城乡社区支出（类）城乡社区公共设施（款）其他城乡社区公共设施支出（项）指其他用于城乡社区公共设施方面的支出。</w:t>
      </w:r>
    </w:p>
    <w:p w14:paraId="3A73D2B0">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城乡社区支出（类）城乡社区环境卫生（款）城乡社区环境卫生（项）指城乡社区道路清扫、垃圾清运与处理、公厕建设与维护、园林绿化等方面的支出。</w:t>
      </w:r>
    </w:p>
    <w:p w14:paraId="76BCF952">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社区支出（类）国有土地的使用权出让收入及对应专项债务收入安排的支出（款）其他国有土地使用权出让收入安排的支出（项）指土地收入用于其他方面的支出。不包括市县级政府当年按规定用土地出让收入向中央和省级政府缴纳的新增建设用地土地有偿使用费的支出。</w:t>
      </w:r>
    </w:p>
    <w:p w14:paraId="702A1462">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农林水支出（类）农业（款）对高校毕业生到基层任职补助（项）指按规定对高校毕业生到基层任职的补助支出。</w:t>
      </w:r>
    </w:p>
    <w:p w14:paraId="1727CE1A">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农林水支出（类）水利（款）水利工程运行与维护（项） 指水利系统用于江、河、湖、滩等治理工程运行与维护方面的支出，以及纳入预算管理的水利工程管理单位的支出。</w:t>
      </w:r>
    </w:p>
    <w:p w14:paraId="471D0D0C">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农林水支出（类）农村综合改革（款）对村民委员会和村党支部的补助（项）指各级财政对村民委员会和村党支部的补助支出，以及支持建立县级基本财力保障机制安排的村级组织运转奖补资金。</w:t>
      </w:r>
    </w:p>
    <w:p w14:paraId="5662EA92">
      <w:pPr>
        <w:pStyle w:val="3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住房保障支出（类）住房改革支出（款）住房公积金（项）指行政事业单位按人力资源和社会保障部、财政部规定的基本工资和津贴补贴以及规定比例为职工缴纳的住房公积金。</w:t>
      </w:r>
    </w:p>
    <w:p w14:paraId="38CADA69">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14:paraId="04734C19">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14:paraId="2ABB57DC">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14:paraId="224B6999">
      <w:pPr>
        <w:pStyle w:val="23"/>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A946529">
      <w:pPr>
        <w:pStyle w:val="23"/>
        <w:spacing w:line="560" w:lineRule="exact"/>
        <w:ind w:firstLine="640" w:firstLineChars="200"/>
        <w:jc w:val="left"/>
        <w:rPr>
          <w:rFonts w:hint="eastAsia" w:ascii="仿宋_GB2312" w:hAnsi="仿宋_GB2312" w:eastAsia="仿宋_GB2312" w:cs="仿宋_GB2312"/>
          <w:b/>
          <w:color w:val="000000"/>
          <w:sz w:val="32"/>
          <w:szCs w:val="32"/>
        </w:rPr>
      </w:pP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7" w:name="_Toc15377226"/>
      <w:r>
        <w:rPr>
          <w:rFonts w:hint="eastAsia" w:ascii="仿宋_GB2312" w:hAnsi="仿宋_GB2312" w:eastAsia="仿宋_GB2312" w:cs="仿宋_GB2312"/>
          <w:b/>
          <w:color w:val="000000"/>
          <w:sz w:val="32"/>
          <w:szCs w:val="32"/>
        </w:rPr>
        <w:br w:type="page"/>
      </w:r>
    </w:p>
    <w:p w14:paraId="0AFBE5E3">
      <w:pPr>
        <w:pStyle w:val="23"/>
        <w:spacing w:line="560" w:lineRule="exact"/>
        <w:jc w:val="center"/>
        <w:rPr>
          <w:rFonts w:hint="eastAsia" w:ascii="黑体" w:hAnsi="黑体" w:eastAsia="黑体" w:cs="黑体"/>
          <w:b w:val="0"/>
          <w:bCs/>
          <w:color w:val="000000"/>
          <w:sz w:val="44"/>
          <w:szCs w:val="44"/>
          <w:lang w:val="en-US" w:eastAsia="zh-CN"/>
        </w:rPr>
      </w:pPr>
      <w:r>
        <w:rPr>
          <w:rFonts w:hint="eastAsia" w:ascii="黑体" w:hAnsi="黑体" w:eastAsia="黑体" w:cs="黑体"/>
          <w:b w:val="0"/>
          <w:bCs/>
          <w:color w:val="000000"/>
          <w:sz w:val="44"/>
          <w:szCs w:val="44"/>
          <w:lang w:eastAsia="zh-CN"/>
        </w:rPr>
        <w:t>第四部分</w:t>
      </w:r>
      <w:r>
        <w:rPr>
          <w:rFonts w:hint="eastAsia" w:ascii="黑体" w:hAnsi="黑体" w:eastAsia="黑体" w:cs="黑体"/>
          <w:b w:val="0"/>
          <w:bCs/>
          <w:color w:val="000000"/>
          <w:sz w:val="44"/>
          <w:szCs w:val="44"/>
          <w:lang w:val="en-US" w:eastAsia="zh-CN"/>
        </w:rPr>
        <w:t xml:space="preserve">   附件</w:t>
      </w:r>
    </w:p>
    <w:p w14:paraId="1D881DA1">
      <w:pPr>
        <w:spacing w:line="600" w:lineRule="exact"/>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6DA26BC2">
      <w:pPr>
        <w:spacing w:line="580" w:lineRule="exact"/>
        <w:jc w:val="center"/>
        <w:rPr>
          <w:rFonts w:hint="eastAsia" w:ascii="仿宋_GB2312" w:hAnsi="仿宋_GB2312" w:eastAsia="仿宋_GB2312" w:cs="仿宋_GB2312"/>
          <w:sz w:val="32"/>
          <w:szCs w:val="32"/>
        </w:rPr>
      </w:pPr>
    </w:p>
    <w:p w14:paraId="15017285">
      <w:pPr>
        <w:spacing w:line="600" w:lineRule="exact"/>
        <w:jc w:val="center"/>
        <w:rPr>
          <w:rFonts w:hint="eastAsia" w:ascii="黑体" w:hAnsi="黑体" w:eastAsia="黑体" w:cs="黑体"/>
          <w:color w:val="000000"/>
          <w:kern w:val="0"/>
          <w:sz w:val="44"/>
          <w:szCs w:val="44"/>
          <w:lang w:eastAsia="zh-CN"/>
        </w:rPr>
      </w:pPr>
      <w:r>
        <w:rPr>
          <w:rFonts w:hint="eastAsia" w:ascii="黑体" w:hAnsi="黑体" w:eastAsia="黑体" w:cs="黑体"/>
          <w:color w:val="000000"/>
          <w:kern w:val="0"/>
          <w:sz w:val="44"/>
          <w:szCs w:val="44"/>
          <w:lang w:eastAsia="zh-CN"/>
        </w:rPr>
        <w:t>井研县集益镇人民政府</w:t>
      </w:r>
    </w:p>
    <w:p w14:paraId="5AFF9E26">
      <w:pPr>
        <w:spacing w:line="600" w:lineRule="exact"/>
        <w:jc w:val="center"/>
        <w:rPr>
          <w:rFonts w:hint="eastAsia" w:ascii="黑体" w:hAnsi="黑体" w:eastAsia="黑体" w:cs="黑体"/>
          <w:color w:val="000000"/>
          <w:kern w:val="0"/>
          <w:sz w:val="44"/>
          <w:szCs w:val="44"/>
          <w:lang w:val="zh-CN"/>
        </w:rPr>
      </w:pPr>
      <w:r>
        <w:rPr>
          <w:rFonts w:hint="eastAsia" w:ascii="黑体" w:hAnsi="黑体" w:eastAsia="黑体" w:cs="黑体"/>
          <w:color w:val="000000"/>
          <w:kern w:val="0"/>
          <w:sz w:val="44"/>
          <w:szCs w:val="44"/>
        </w:rPr>
        <w:t>2019年部门</w:t>
      </w:r>
      <w:r>
        <w:rPr>
          <w:rFonts w:hint="eastAsia" w:ascii="黑体" w:hAnsi="黑体" w:eastAsia="黑体" w:cs="黑体"/>
          <w:color w:val="000000"/>
          <w:kern w:val="0"/>
          <w:sz w:val="44"/>
          <w:szCs w:val="44"/>
          <w:lang w:val="zh-CN"/>
        </w:rPr>
        <w:t>整体支出绩效评价报告</w:t>
      </w:r>
    </w:p>
    <w:p w14:paraId="5B94A610">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p>
    <w:p w14:paraId="24B2B012">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rPr>
        <w:t>一、</w:t>
      </w:r>
      <w:r>
        <w:rPr>
          <w:rFonts w:hint="eastAsia" w:ascii="黑体" w:hAnsi="黑体" w:eastAsia="黑体" w:cs="黑体"/>
          <w:color w:val="000000"/>
          <w:kern w:val="0"/>
          <w:sz w:val="32"/>
          <w:szCs w:val="32"/>
          <w:shd w:val="clear" w:color="auto" w:fill="FFFFFF"/>
          <w:lang w:val="zh-CN"/>
        </w:rPr>
        <w:t>部门（单位）概况</w:t>
      </w:r>
    </w:p>
    <w:p w14:paraId="5ABD4062">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14:paraId="03B7A1BB">
      <w:pPr>
        <w:widowControl/>
        <w:adjustRightInd w:val="0"/>
        <w:snapToGrid w:val="0"/>
        <w:spacing w:line="540" w:lineRule="exact"/>
        <w:ind w:firstLine="800" w:firstLineChars="25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行政内设机构3个：党政办公室（挂群众工作办公室牌子、财政所（2012年恢复））、社会事务经济发展办公室（挂安全生产监督管理办公室、人口和计划生育办公室牌子）、农业技术服务中心。</w:t>
      </w:r>
    </w:p>
    <w:p w14:paraId="080A5B91">
      <w:pPr>
        <w:widowControl/>
        <w:numPr>
          <w:ilvl w:val="0"/>
          <w:numId w:val="6"/>
        </w:numPr>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机构职能。</w:t>
      </w:r>
    </w:p>
    <w:p w14:paraId="1E377691">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党委的主要职责：一是贯彻执行党的路线方针政策和上级党组织及本乡党员代表大会（党员大会）的决议。二是讨论决定本乡经济建设和社会发展中的重大问题。需由乡政权机关或集体经济组织决定的问题，由乡政权机关或集体经济组织依照法律和有关规定作出决定。三是领导乡政权机关和群众组织，支持和保证这些机关和组织依照国家法律法规及各自章程充分行使职权。四是加强乡党委自身建设和以党支部为核心的村级组织建设。五是按照干部管理权限，负责对干部的教育、培养、选拔和监督工作。协助管理上级有关部门驻乡单位的干部。六是领导本乡的社会主义民主法制建设和精神文明建设，做好社会治安综合治理及计划生育工作。七是承担县委交办的工作任务。</w:t>
      </w:r>
    </w:p>
    <w:p w14:paraId="29533737">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乡政府的主要职能：一是落实政策。宣传、落实好党的路线、方针、政策和国家的法律、法规，稳定农村基本经济制度，坚持依法行政，推进政务公开，加强对村民委员会的指导，提高、培育村民委员会自治能力。二是促进发展。科学制订发展规划，营造农村经济发展环境，加强农村市场监督，培育、提升市场功能，搞活市场流通，推广农业技术，完善农业社会化服务体系，引导农民发展现代农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调整产业结构，加强农村劳动力技能培训，引导农村劳动力转移和就业，不断提高社会主义新农村建设水平。三是维护稳定。要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民合法权益，维护农村社会稳定。四是加强管理。加强民政、教育、科技、文化、卫生、计划生育、安全生产、劳动保障和乡村规划等社会管理，加强社会主义精神文明建设，做好防火减灾工作， 加强环境保护，努力改善农村人居环境，不断提高农村人口素质和农民生活质量。五是提供服务。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政府与人民群众的关系。六是承担县政府交办的工作任务。乡事业单位承担的公益性职能主要包括：计划生育技术服务、宣传咨询、人员培训和药具发放；农林牧业生产中关键技术和新品种、新农具的引进、试验、示范；农作物和林木病虫害、动物疫病及农业灾害的监测、预报防治和处置；农作物苗情监测和农牧产品生产过程中的质量安全检测、监测和强制性检验；农业资源、林业资源、农业生态环境和农业投入品使用监测；农业公共信息和培训教育服务；小型水利工程及病害水库的整治；水资源管理和防汛抗旱技术服务；水土保持的预防及水土流失的治理；农机安全检查和事故的预防、报告及处理；乡村机耕道的规划、建设；组织农机进行抗灾抢险和跨区域农机作业；城镇登记失业人员和农村劳动力转移就业人员的职业培训、劳务输出和就业管理服务；企事业单位退休人员的社会化管理服务；广播电视“村村通”工程的建设、运行、维护和节目的安全播出；制定年度农村公益性文化项目实施计划； 开展多种形式的文娱体育活动和宣传教育活动。</w:t>
      </w:r>
    </w:p>
    <w:p w14:paraId="0BD2E925">
      <w:pPr>
        <w:widowControl/>
        <w:numPr>
          <w:ilvl w:val="0"/>
          <w:numId w:val="6"/>
        </w:numPr>
        <w:adjustRightInd w:val="0"/>
        <w:snapToGrid w:val="0"/>
        <w:spacing w:line="580" w:lineRule="exact"/>
        <w:ind w:left="0" w:leftChars="0"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人员概况。</w:t>
      </w:r>
    </w:p>
    <w:p w14:paraId="516F7A3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集益</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行政编制</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人、工勤编制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人、事业编制</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人，合计</w:t>
      </w:r>
      <w:r>
        <w:rPr>
          <w:rFonts w:hint="eastAsia" w:ascii="仿宋_GB2312" w:hAnsi="仿宋_GB2312" w:eastAsia="仿宋_GB2312" w:cs="仿宋_GB2312"/>
          <w:sz w:val="32"/>
          <w:szCs w:val="32"/>
          <w:lang w:val="en-US" w:eastAsia="zh-CN"/>
        </w:rPr>
        <w:t>78</w:t>
      </w:r>
      <w:r>
        <w:rPr>
          <w:rFonts w:hint="eastAsia" w:ascii="仿宋_GB2312" w:hAnsi="仿宋_GB2312" w:eastAsia="仿宋_GB2312" w:cs="仿宋_GB2312"/>
          <w:sz w:val="32"/>
          <w:szCs w:val="32"/>
        </w:rPr>
        <w:t>人编制。设党政办公室、财政所（2012年恢复）、农业技术服务中心、社会事务服务中心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实有人员</w:t>
      </w:r>
      <w:r>
        <w:rPr>
          <w:rFonts w:hint="eastAsia" w:ascii="仿宋_GB2312" w:hAnsi="仿宋_GB2312" w:eastAsia="仿宋_GB2312" w:cs="仿宋_GB2312"/>
          <w:color w:val="000000"/>
          <w:sz w:val="32"/>
          <w:szCs w:val="32"/>
        </w:rPr>
        <w:t>65人，其中：行政编制 30 人，事业编制 35 人。</w:t>
      </w:r>
    </w:p>
    <w:p w14:paraId="3C67FE1E">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二、部门财政资金收支情况</w:t>
      </w:r>
    </w:p>
    <w:p w14:paraId="557BC705">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14:paraId="1AB3C439">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财政拨款收入</w:t>
      </w:r>
      <w:r>
        <w:rPr>
          <w:rFonts w:hint="eastAsia" w:ascii="仿宋_GB2312" w:hAnsi="仿宋_GB2312" w:eastAsia="仿宋_GB2312" w:cs="仿宋_GB2312"/>
          <w:sz w:val="32"/>
          <w:szCs w:val="32"/>
          <w:lang w:val="en-US" w:eastAsia="zh-CN"/>
        </w:rPr>
        <w:t>1890.97</w:t>
      </w:r>
      <w:r>
        <w:rPr>
          <w:rFonts w:hint="eastAsia" w:ascii="仿宋_GB2312" w:hAnsi="仿宋_GB2312" w:eastAsia="仿宋_GB2312" w:cs="仿宋_GB2312"/>
          <w:sz w:val="32"/>
          <w:szCs w:val="32"/>
        </w:rPr>
        <w:t>万元。其中，一般公共服务</w:t>
      </w:r>
      <w:r>
        <w:rPr>
          <w:rFonts w:hint="eastAsia" w:ascii="仿宋_GB2312" w:hAnsi="仿宋_GB2312" w:eastAsia="仿宋_GB2312" w:cs="仿宋_GB2312"/>
          <w:sz w:val="32"/>
          <w:szCs w:val="32"/>
          <w:lang w:val="en-US" w:eastAsia="zh-CN"/>
        </w:rPr>
        <w:t>858.7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45.41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教育支出</w:t>
      </w:r>
      <w:r>
        <w:rPr>
          <w:rFonts w:hint="eastAsia" w:ascii="仿宋_GB2312" w:hAnsi="仿宋_GB2312" w:eastAsia="仿宋_GB2312" w:cs="仿宋_GB2312"/>
          <w:sz w:val="32"/>
          <w:szCs w:val="32"/>
          <w:lang w:val="en-US" w:eastAsia="zh-CN"/>
        </w:rPr>
        <w:t>4.9万元，占0.26%；</w:t>
      </w:r>
      <w:r>
        <w:rPr>
          <w:rFonts w:hint="eastAsia" w:ascii="仿宋_GB2312" w:hAnsi="仿宋_GB2312" w:eastAsia="仿宋_GB2312" w:cs="仿宋_GB2312"/>
          <w:sz w:val="32"/>
          <w:szCs w:val="32"/>
        </w:rPr>
        <w:t>文化体育与传媒</w:t>
      </w:r>
      <w:r>
        <w:rPr>
          <w:rFonts w:hint="eastAsia" w:ascii="仿宋_GB2312" w:hAnsi="仿宋_GB2312" w:eastAsia="仿宋_GB2312" w:cs="仿宋_GB2312"/>
          <w:sz w:val="32"/>
          <w:szCs w:val="32"/>
          <w:lang w:val="en-US" w:eastAsia="zh-CN"/>
        </w:rPr>
        <w:t>40.5</w:t>
      </w:r>
      <w:r>
        <w:rPr>
          <w:rFonts w:hint="eastAsia" w:ascii="仿宋_GB2312" w:hAnsi="仿宋_GB2312" w:eastAsia="仿宋_GB2312" w:cs="仿宋_GB2312"/>
          <w:sz w:val="32"/>
          <w:szCs w:val="32"/>
        </w:rPr>
        <w:t>万元，占2.</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%；社会保障与就业</w:t>
      </w:r>
      <w:r>
        <w:rPr>
          <w:rFonts w:hint="eastAsia" w:ascii="仿宋_GB2312" w:hAnsi="仿宋_GB2312" w:eastAsia="仿宋_GB2312" w:cs="仿宋_GB2312"/>
          <w:sz w:val="32"/>
          <w:szCs w:val="32"/>
          <w:lang w:val="en-US" w:eastAsia="zh-CN"/>
        </w:rPr>
        <w:t>147.31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7.79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50.37</w:t>
      </w:r>
      <w:r>
        <w:rPr>
          <w:rFonts w:hint="eastAsia" w:ascii="仿宋_GB2312" w:hAnsi="仿宋_GB2312" w:eastAsia="仿宋_GB2312" w:cs="仿宋_GB2312"/>
          <w:sz w:val="32"/>
          <w:szCs w:val="32"/>
        </w:rPr>
        <w:t>万元，占2</w:t>
      </w:r>
      <w:r>
        <w:rPr>
          <w:rFonts w:hint="eastAsia" w:ascii="仿宋_GB2312" w:hAnsi="仿宋_GB2312" w:eastAsia="仿宋_GB2312" w:cs="仿宋_GB2312"/>
          <w:sz w:val="32"/>
          <w:szCs w:val="32"/>
          <w:lang w:val="en-US" w:eastAsia="zh-CN"/>
        </w:rPr>
        <w:t>.66</w:t>
      </w:r>
      <w:r>
        <w:rPr>
          <w:rFonts w:hint="eastAsia" w:ascii="仿宋_GB2312" w:hAnsi="仿宋_GB2312" w:eastAsia="仿宋_GB2312" w:cs="仿宋_GB2312"/>
          <w:sz w:val="32"/>
          <w:szCs w:val="32"/>
        </w:rPr>
        <w:t>%；节能环保</w:t>
      </w:r>
      <w:r>
        <w:rPr>
          <w:rFonts w:hint="eastAsia" w:ascii="仿宋_GB2312" w:hAnsi="仿宋_GB2312" w:eastAsia="仿宋_GB2312" w:cs="仿宋_GB2312"/>
          <w:sz w:val="32"/>
          <w:szCs w:val="32"/>
          <w:lang w:val="en-US" w:eastAsia="zh-CN"/>
        </w:rPr>
        <w:t>11.57</w:t>
      </w:r>
      <w:r>
        <w:rPr>
          <w:rFonts w:hint="eastAsia" w:ascii="仿宋_GB2312" w:hAnsi="仿宋_GB2312" w:eastAsia="仿宋_GB2312" w:cs="仿宋_GB2312"/>
          <w:sz w:val="32"/>
          <w:szCs w:val="32"/>
        </w:rPr>
        <w:t>万元，占0.</w:t>
      </w:r>
      <w:r>
        <w:rPr>
          <w:rFonts w:hint="eastAsia" w:ascii="仿宋_GB2312" w:hAnsi="仿宋_GB2312" w:eastAsia="仿宋_GB2312" w:cs="仿宋_GB2312"/>
          <w:sz w:val="32"/>
          <w:szCs w:val="32"/>
          <w:lang w:val="en-US" w:eastAsia="zh-CN"/>
        </w:rPr>
        <w:t>61</w:t>
      </w:r>
      <w:r>
        <w:rPr>
          <w:rFonts w:hint="eastAsia" w:ascii="仿宋_GB2312" w:hAnsi="仿宋_GB2312" w:eastAsia="仿宋_GB2312" w:cs="仿宋_GB2312"/>
          <w:sz w:val="32"/>
          <w:szCs w:val="32"/>
        </w:rPr>
        <w:t>%；城乡社区</w:t>
      </w:r>
      <w:r>
        <w:rPr>
          <w:rFonts w:hint="eastAsia" w:ascii="仿宋_GB2312" w:hAnsi="仿宋_GB2312" w:eastAsia="仿宋_GB2312" w:cs="仿宋_GB2312"/>
          <w:sz w:val="32"/>
          <w:szCs w:val="32"/>
          <w:lang w:val="en-US" w:eastAsia="zh-CN"/>
        </w:rPr>
        <w:t>70.38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3.72</w:t>
      </w:r>
      <w:r>
        <w:rPr>
          <w:rFonts w:hint="eastAsia" w:ascii="仿宋_GB2312" w:hAnsi="仿宋_GB2312" w:eastAsia="仿宋_GB2312" w:cs="仿宋_GB2312"/>
          <w:sz w:val="32"/>
          <w:szCs w:val="32"/>
        </w:rPr>
        <w:t>%；农林水事务</w:t>
      </w:r>
      <w:r>
        <w:rPr>
          <w:rFonts w:hint="eastAsia" w:ascii="仿宋_GB2312" w:hAnsi="仿宋_GB2312" w:eastAsia="仿宋_GB2312" w:cs="仿宋_GB2312"/>
          <w:sz w:val="32"/>
          <w:szCs w:val="32"/>
          <w:lang w:val="en-US" w:eastAsia="zh-CN"/>
        </w:rPr>
        <w:t>575.66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30.44</w:t>
      </w:r>
      <w:r>
        <w:rPr>
          <w:rFonts w:hint="eastAsia" w:ascii="仿宋_GB2312" w:hAnsi="仿宋_GB2312" w:eastAsia="仿宋_GB2312" w:cs="仿宋_GB2312"/>
          <w:sz w:val="32"/>
          <w:szCs w:val="32"/>
        </w:rPr>
        <w:t>%；商业服务业等支出</w:t>
      </w:r>
      <w:r>
        <w:rPr>
          <w:rFonts w:hint="eastAsia" w:ascii="仿宋_GB2312" w:hAnsi="仿宋_GB2312" w:eastAsia="仿宋_GB2312" w:cs="仿宋_GB2312"/>
          <w:sz w:val="32"/>
          <w:szCs w:val="32"/>
          <w:lang w:val="en-US" w:eastAsia="zh-CN"/>
        </w:rPr>
        <w:t>8.6万元，占0.45%；</w:t>
      </w:r>
      <w:r>
        <w:rPr>
          <w:rFonts w:hint="eastAsia" w:ascii="仿宋_GB2312" w:hAnsi="仿宋_GB2312" w:eastAsia="仿宋_GB2312" w:cs="仿宋_GB2312"/>
          <w:sz w:val="32"/>
          <w:szCs w:val="32"/>
        </w:rPr>
        <w:t>住房保障</w:t>
      </w:r>
      <w:r>
        <w:rPr>
          <w:rFonts w:hint="eastAsia" w:ascii="仿宋_GB2312" w:hAnsi="仿宋_GB2312" w:eastAsia="仿宋_GB2312" w:cs="仿宋_GB2312"/>
          <w:sz w:val="32"/>
          <w:szCs w:val="32"/>
          <w:lang w:val="en-US" w:eastAsia="zh-CN"/>
        </w:rPr>
        <w:t>80.27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4.25</w:t>
      </w:r>
      <w:r>
        <w:rPr>
          <w:rFonts w:hint="eastAsia" w:ascii="仿宋_GB2312" w:hAnsi="仿宋_GB2312" w:eastAsia="仿宋_GB2312" w:cs="仿宋_GB2312"/>
          <w:sz w:val="32"/>
          <w:szCs w:val="32"/>
        </w:rPr>
        <w:t>%；政府性基金</w:t>
      </w:r>
      <w:r>
        <w:rPr>
          <w:rFonts w:hint="eastAsia" w:ascii="仿宋_GB2312" w:hAnsi="仿宋_GB2312" w:eastAsia="仿宋_GB2312" w:cs="仿宋_GB2312"/>
          <w:sz w:val="32"/>
          <w:szCs w:val="32"/>
          <w:lang w:val="en-US" w:eastAsia="zh-CN"/>
        </w:rPr>
        <w:t>42.72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2.26</w:t>
      </w:r>
      <w:r>
        <w:rPr>
          <w:rFonts w:hint="eastAsia" w:ascii="仿宋_GB2312" w:hAnsi="仿宋_GB2312" w:eastAsia="仿宋_GB2312" w:cs="仿宋_GB2312"/>
          <w:sz w:val="32"/>
          <w:szCs w:val="32"/>
        </w:rPr>
        <w:t>%。</w:t>
      </w:r>
    </w:p>
    <w:p w14:paraId="77964F98">
      <w:pPr>
        <w:widowControl/>
        <w:numPr>
          <w:ilvl w:val="0"/>
          <w:numId w:val="7"/>
        </w:numPr>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部门财政资金支出情况。</w:t>
      </w:r>
    </w:p>
    <w:p w14:paraId="3F2603F8">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财政拨款支出</w:t>
      </w:r>
      <w:r>
        <w:rPr>
          <w:rFonts w:hint="eastAsia" w:ascii="仿宋_GB2312" w:hAnsi="仿宋_GB2312" w:eastAsia="仿宋_GB2312" w:cs="仿宋_GB2312"/>
          <w:sz w:val="32"/>
          <w:szCs w:val="32"/>
          <w:lang w:val="en-US" w:eastAsia="zh-CN"/>
        </w:rPr>
        <w:t>1890.49</w:t>
      </w:r>
      <w:r>
        <w:rPr>
          <w:rFonts w:hint="eastAsia" w:ascii="仿宋_GB2312" w:hAnsi="仿宋_GB2312" w:eastAsia="仿宋_GB2312" w:cs="仿宋_GB2312"/>
          <w:sz w:val="32"/>
          <w:szCs w:val="32"/>
        </w:rPr>
        <w:t>万元。其中，一般公共服务</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857.92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45.38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教育支出</w:t>
      </w:r>
      <w:r>
        <w:rPr>
          <w:rFonts w:hint="eastAsia" w:ascii="仿宋_GB2312" w:hAnsi="仿宋_GB2312" w:eastAsia="仿宋_GB2312" w:cs="仿宋_GB2312"/>
          <w:sz w:val="32"/>
          <w:szCs w:val="32"/>
          <w:lang w:val="en-US" w:eastAsia="zh-CN"/>
        </w:rPr>
        <w:t>4.9万元，占0.26%；</w:t>
      </w:r>
      <w:r>
        <w:rPr>
          <w:rFonts w:hint="eastAsia" w:ascii="仿宋_GB2312" w:hAnsi="仿宋_GB2312" w:eastAsia="仿宋_GB2312" w:cs="仿宋_GB2312"/>
          <w:sz w:val="32"/>
          <w:szCs w:val="32"/>
        </w:rPr>
        <w:t>文化体育与传媒</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40.5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2.14</w:t>
      </w:r>
      <w:r>
        <w:rPr>
          <w:rFonts w:hint="eastAsia" w:ascii="仿宋_GB2312" w:hAnsi="仿宋_GB2312" w:eastAsia="仿宋_GB2312" w:cs="仿宋_GB2312"/>
          <w:sz w:val="32"/>
          <w:szCs w:val="32"/>
        </w:rPr>
        <w:t>%；社会保障与就业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147.3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7.79</w:t>
      </w:r>
      <w:r>
        <w:rPr>
          <w:rFonts w:hint="eastAsia" w:ascii="仿宋_GB2312" w:hAnsi="仿宋_GB2312" w:eastAsia="仿宋_GB2312" w:cs="仿宋_GB2312"/>
          <w:sz w:val="32"/>
          <w:szCs w:val="32"/>
        </w:rPr>
        <w:t>%；医疗卫生与计划生育</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50.38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2.66</w:t>
      </w:r>
      <w:r>
        <w:rPr>
          <w:rFonts w:hint="eastAsia" w:ascii="仿宋_GB2312" w:hAnsi="仿宋_GB2312" w:eastAsia="仿宋_GB2312" w:cs="仿宋_GB2312"/>
          <w:sz w:val="32"/>
          <w:szCs w:val="32"/>
        </w:rPr>
        <w:t>%；节能环保</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16.87</w:t>
      </w:r>
      <w:r>
        <w:rPr>
          <w:rFonts w:hint="eastAsia" w:ascii="仿宋_GB2312" w:hAnsi="仿宋_GB2312" w:eastAsia="仿宋_GB2312" w:cs="仿宋_GB2312"/>
          <w:sz w:val="32"/>
          <w:szCs w:val="32"/>
        </w:rPr>
        <w:t>万元，占0.</w:t>
      </w:r>
      <w:r>
        <w:rPr>
          <w:rFonts w:hint="eastAsia" w:ascii="仿宋_GB2312" w:hAnsi="仿宋_GB2312" w:eastAsia="仿宋_GB2312" w:cs="仿宋_GB2312"/>
          <w:sz w:val="32"/>
          <w:szCs w:val="32"/>
          <w:lang w:val="en-US" w:eastAsia="zh-CN"/>
        </w:rPr>
        <w:t>89</w:t>
      </w:r>
      <w:r>
        <w:rPr>
          <w:rFonts w:hint="eastAsia" w:ascii="仿宋_GB2312" w:hAnsi="仿宋_GB2312" w:eastAsia="仿宋_GB2312" w:cs="仿宋_GB2312"/>
          <w:sz w:val="32"/>
          <w:szCs w:val="32"/>
        </w:rPr>
        <w:t>%；城乡社区支出</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73.37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3.88</w:t>
      </w:r>
      <w:r>
        <w:rPr>
          <w:rFonts w:hint="eastAsia" w:ascii="仿宋_GB2312" w:hAnsi="仿宋_GB2312" w:eastAsia="仿宋_GB2312" w:cs="仿宋_GB2312"/>
          <w:sz w:val="32"/>
          <w:szCs w:val="32"/>
        </w:rPr>
        <w:t>%；农林水事务</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530.66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28.07</w:t>
      </w:r>
      <w:r>
        <w:rPr>
          <w:rFonts w:hint="eastAsia" w:ascii="仿宋_GB2312" w:hAnsi="仿宋_GB2312" w:eastAsia="仿宋_GB2312" w:cs="仿宋_GB2312"/>
          <w:sz w:val="32"/>
          <w:szCs w:val="32"/>
        </w:rPr>
        <w:t>%；商业服务业等支出</w:t>
      </w:r>
      <w:r>
        <w:rPr>
          <w:rFonts w:hint="eastAsia" w:ascii="仿宋_GB2312" w:hAnsi="仿宋_GB2312" w:eastAsia="仿宋_GB2312" w:cs="仿宋_GB2312"/>
          <w:sz w:val="32"/>
          <w:szCs w:val="32"/>
          <w:lang w:val="en-US" w:eastAsia="zh-CN"/>
        </w:rPr>
        <w:t>8.6万元，占0.45%；</w:t>
      </w:r>
      <w:r>
        <w:rPr>
          <w:rFonts w:hint="eastAsia" w:ascii="仿宋_GB2312" w:hAnsi="仿宋_GB2312" w:eastAsia="仿宋_GB2312" w:cs="仿宋_GB2312"/>
          <w:sz w:val="32"/>
          <w:szCs w:val="32"/>
        </w:rPr>
        <w:t>住房保障</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80.27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4.25</w:t>
      </w:r>
      <w:r>
        <w:rPr>
          <w:rFonts w:hint="eastAsia" w:ascii="仿宋_GB2312" w:hAnsi="仿宋_GB2312" w:eastAsia="仿宋_GB2312" w:cs="仿宋_GB2312"/>
          <w:sz w:val="32"/>
          <w:szCs w:val="32"/>
        </w:rPr>
        <w:t>%；政府性基金</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73.72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w:t>
      </w:r>
    </w:p>
    <w:p w14:paraId="7899F91C">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三、部门整体预算绩效管理情况</w:t>
      </w:r>
    </w:p>
    <w:p w14:paraId="3474263B">
      <w:pPr>
        <w:pStyle w:val="34"/>
        <w:numPr>
          <w:ilvl w:val="0"/>
          <w:numId w:val="8"/>
        </w:numPr>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预决算编制情况。</w:t>
      </w:r>
    </w:p>
    <w:p w14:paraId="64EE0018">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报送时效：①基础信息更新，严格按照县级部门预算编制通知和有关要求，按时完成基础、项目库报送工作。②预算草案报送，严格按照县级部门预算编制通知和有关要求，按时完成预算编制工作，并按时提交部门预算草案。</w:t>
      </w:r>
    </w:p>
    <w:p w14:paraId="555C644F">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2、编制质量：①预算编制准确。②预算执行调整。③部门预算审查，根据县预算草案审查结果进行考核。</w:t>
      </w:r>
    </w:p>
    <w:p w14:paraId="1E78C3F0">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3、绩效目标填报：能及时完成绩效目标编制。</w:t>
      </w:r>
    </w:p>
    <w:p w14:paraId="70BDE393">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4、专项预算提前细化。</w:t>
      </w:r>
    </w:p>
    <w:p w14:paraId="436EBD7A">
      <w:pPr>
        <w:pStyle w:val="34"/>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执行管理情况。</w:t>
      </w:r>
    </w:p>
    <w:p w14:paraId="265D2BC7">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1、绩效分配：按规定项目能进行绩效分配。</w:t>
      </w:r>
    </w:p>
    <w:p w14:paraId="3C9FEB57">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2、行进度：各项支出达到本部门应达到的执行进度。</w:t>
      </w:r>
    </w:p>
    <w:p w14:paraId="4F24741E">
      <w:pPr>
        <w:widowControl/>
        <w:adjustRightInd w:val="0"/>
        <w:snapToGrid w:val="0"/>
        <w:spacing w:line="540" w:lineRule="exact"/>
        <w:ind w:firstLine="640" w:firstLineChars="200"/>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3、预算调整：按规定执行财政预算中期评估制度。</w:t>
      </w:r>
    </w:p>
    <w:p w14:paraId="62CD5ADC">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4、“三公”经费预算执行</w:t>
      </w:r>
      <w:r>
        <w:rPr>
          <w:rFonts w:hint="eastAsia" w:ascii="仿宋_GB2312" w:hAnsi="仿宋_GB2312" w:eastAsia="仿宋_GB2312" w:cs="仿宋_GB2312"/>
          <w:color w:val="000000"/>
          <w:kern w:val="0"/>
          <w:sz w:val="32"/>
          <w:szCs w:val="32"/>
          <w:shd w:val="clear" w:color="auto" w:fill="FFFFFF"/>
          <w:lang w:val="en-US" w:eastAsia="zh-CN"/>
        </w:rPr>
        <w:t>2019年8.69万元，</w:t>
      </w:r>
      <w:r>
        <w:rPr>
          <w:rFonts w:hint="eastAsia" w:ascii="仿宋_GB2312" w:hAnsi="仿宋_GB2312" w:eastAsia="仿宋_GB2312" w:cs="仿宋_GB2312"/>
          <w:color w:val="000000"/>
          <w:kern w:val="0"/>
          <w:sz w:val="32"/>
          <w:szCs w:val="32"/>
          <w:shd w:val="clear" w:color="auto" w:fill="FFFFFF"/>
          <w:lang w:val="zh-CN"/>
        </w:rPr>
        <w:t>2018年4</w:t>
      </w:r>
      <w:r>
        <w:rPr>
          <w:rFonts w:hint="eastAsia" w:ascii="仿宋_GB2312" w:hAnsi="仿宋_GB2312" w:eastAsia="仿宋_GB2312" w:cs="仿宋_GB2312"/>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zh-CN"/>
        </w:rPr>
        <w:t>5</w:t>
      </w:r>
      <w:r>
        <w:rPr>
          <w:rFonts w:hint="eastAsia" w:ascii="仿宋_GB2312" w:hAnsi="仿宋_GB2312" w:eastAsia="仿宋_GB2312" w:cs="仿宋_GB2312"/>
          <w:color w:val="000000"/>
          <w:kern w:val="0"/>
          <w:sz w:val="32"/>
          <w:szCs w:val="32"/>
          <w:shd w:val="clear" w:color="auto" w:fill="FFFFFF"/>
          <w:lang w:val="en-US" w:eastAsia="zh-CN"/>
        </w:rPr>
        <w:t>1万</w:t>
      </w:r>
      <w:r>
        <w:rPr>
          <w:rFonts w:hint="eastAsia" w:ascii="仿宋_GB2312" w:hAnsi="仿宋_GB2312" w:eastAsia="仿宋_GB2312" w:cs="仿宋_GB2312"/>
          <w:color w:val="000000"/>
          <w:kern w:val="0"/>
          <w:sz w:val="32"/>
          <w:szCs w:val="32"/>
          <w:shd w:val="clear" w:color="auto" w:fill="FFFFFF"/>
          <w:lang w:val="zh-CN"/>
        </w:rPr>
        <w:t>元，增加</w:t>
      </w:r>
      <w:r>
        <w:rPr>
          <w:rFonts w:hint="eastAsia" w:ascii="仿宋_GB2312" w:hAnsi="仿宋_GB2312" w:eastAsia="仿宋_GB2312" w:cs="仿宋_GB2312"/>
          <w:color w:val="000000"/>
          <w:kern w:val="0"/>
          <w:sz w:val="32"/>
          <w:szCs w:val="32"/>
          <w:shd w:val="clear" w:color="auto" w:fill="FFFFFF"/>
          <w:lang w:val="en-US" w:eastAsia="zh-CN"/>
        </w:rPr>
        <w:t>4.18万元</w:t>
      </w:r>
      <w:r>
        <w:rPr>
          <w:rFonts w:hint="eastAsia" w:ascii="仿宋_GB2312" w:hAnsi="仿宋_GB2312" w:eastAsia="仿宋_GB2312" w:cs="仿宋_GB2312"/>
          <w:color w:val="000000"/>
          <w:kern w:val="0"/>
          <w:sz w:val="32"/>
          <w:szCs w:val="32"/>
          <w:shd w:val="clear" w:color="auto" w:fill="FFFFFF"/>
          <w:lang w:val="zh-CN"/>
        </w:rPr>
        <w:t>，增长</w:t>
      </w:r>
      <w:r>
        <w:rPr>
          <w:rFonts w:hint="eastAsia" w:ascii="仿宋_GB2312" w:hAnsi="仿宋_GB2312" w:eastAsia="仿宋_GB2312" w:cs="仿宋_GB2312"/>
          <w:color w:val="000000"/>
          <w:kern w:val="0"/>
          <w:sz w:val="32"/>
          <w:szCs w:val="32"/>
          <w:shd w:val="clear" w:color="auto" w:fill="FFFFFF"/>
          <w:lang w:val="en-US" w:eastAsia="zh-CN"/>
        </w:rPr>
        <w:t>92.68</w:t>
      </w:r>
      <w:r>
        <w:rPr>
          <w:rFonts w:hint="eastAsia" w:ascii="仿宋_GB2312" w:hAnsi="仿宋_GB2312" w:eastAsia="仿宋_GB2312" w:cs="仿宋_GB2312"/>
          <w:color w:val="000000"/>
          <w:kern w:val="0"/>
          <w:sz w:val="32"/>
          <w:szCs w:val="32"/>
          <w:shd w:val="clear" w:color="auto" w:fill="FFFFFF"/>
          <w:lang w:val="zh-CN"/>
        </w:rPr>
        <w:t>%，主要原因是机构改革，金峰乡并入。</w:t>
      </w:r>
    </w:p>
    <w:p w14:paraId="6C20E1E6">
      <w:pPr>
        <w:pStyle w:val="34"/>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支出绩效情况</w:t>
      </w:r>
    </w:p>
    <w:p w14:paraId="5F5A79A1">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1、机关运行保障。</w:t>
      </w:r>
      <w:r>
        <w:rPr>
          <w:rFonts w:hint="eastAsia" w:ascii="仿宋_GB2312" w:hAnsi="仿宋_GB2312" w:eastAsia="仿宋_GB2312" w:cs="仿宋_GB2312"/>
          <w:color w:val="000000"/>
          <w:kern w:val="0"/>
          <w:sz w:val="32"/>
          <w:szCs w:val="32"/>
          <w:shd w:val="clear" w:color="auto" w:fill="FFFFFF"/>
          <w:lang w:val="en-US" w:eastAsia="zh-CN"/>
        </w:rPr>
        <w:t>2019年机关运行支出为82.17万元，</w:t>
      </w:r>
      <w:r>
        <w:rPr>
          <w:rFonts w:hint="eastAsia" w:ascii="仿宋_GB2312" w:hAnsi="仿宋_GB2312" w:eastAsia="仿宋_GB2312" w:cs="仿宋_GB2312"/>
          <w:color w:val="000000"/>
          <w:kern w:val="0"/>
          <w:sz w:val="32"/>
          <w:szCs w:val="32"/>
          <w:shd w:val="clear" w:color="auto" w:fill="FFFFFF"/>
          <w:lang w:val="zh-CN"/>
        </w:rPr>
        <w:t>2018年机关运行支出为</w:t>
      </w:r>
      <w:r>
        <w:rPr>
          <w:rFonts w:hint="eastAsia" w:ascii="仿宋_GB2312" w:hAnsi="仿宋_GB2312" w:eastAsia="仿宋_GB2312" w:cs="仿宋_GB2312"/>
          <w:color w:val="000000"/>
          <w:kern w:val="0"/>
          <w:sz w:val="32"/>
          <w:szCs w:val="32"/>
          <w:shd w:val="clear" w:color="auto" w:fill="FFFFFF"/>
          <w:lang w:val="en-US" w:eastAsia="zh-CN"/>
        </w:rPr>
        <w:t>25.65</w:t>
      </w:r>
      <w:r>
        <w:rPr>
          <w:rFonts w:hint="eastAsia" w:ascii="仿宋_GB2312" w:hAnsi="仿宋_GB2312" w:eastAsia="仿宋_GB2312" w:cs="仿宋_GB2312"/>
          <w:color w:val="000000"/>
          <w:kern w:val="0"/>
          <w:sz w:val="32"/>
          <w:szCs w:val="32"/>
          <w:shd w:val="clear" w:color="auto" w:fill="FFFFFF"/>
          <w:lang w:val="zh-CN"/>
        </w:rPr>
        <w:t>元，与上年相比增加支出</w:t>
      </w:r>
      <w:r>
        <w:rPr>
          <w:rFonts w:hint="eastAsia" w:ascii="仿宋_GB2312" w:hAnsi="仿宋_GB2312" w:eastAsia="仿宋_GB2312" w:cs="仿宋_GB2312"/>
          <w:color w:val="000000"/>
          <w:kern w:val="0"/>
          <w:sz w:val="32"/>
          <w:szCs w:val="32"/>
          <w:shd w:val="clear" w:color="auto" w:fill="FFFFFF"/>
          <w:lang w:val="en-US" w:eastAsia="zh-CN"/>
        </w:rPr>
        <w:t>56.52</w:t>
      </w:r>
      <w:r>
        <w:rPr>
          <w:rFonts w:hint="eastAsia" w:ascii="仿宋_GB2312" w:hAnsi="仿宋_GB2312" w:eastAsia="仿宋_GB2312" w:cs="仿宋_GB2312"/>
          <w:color w:val="000000"/>
          <w:kern w:val="0"/>
          <w:sz w:val="32"/>
          <w:szCs w:val="32"/>
          <w:shd w:val="clear" w:color="auto" w:fill="FFFFFF"/>
          <w:lang w:val="zh-CN"/>
        </w:rPr>
        <w:t>元，增加比例为</w:t>
      </w:r>
      <w:r>
        <w:rPr>
          <w:rFonts w:hint="eastAsia" w:ascii="仿宋_GB2312" w:hAnsi="仿宋_GB2312" w:eastAsia="仿宋_GB2312" w:cs="仿宋_GB2312"/>
          <w:color w:val="000000"/>
          <w:kern w:val="0"/>
          <w:sz w:val="32"/>
          <w:szCs w:val="32"/>
          <w:shd w:val="clear" w:color="auto" w:fill="FFFFFF"/>
          <w:lang w:val="en-US" w:eastAsia="zh-CN"/>
        </w:rPr>
        <w:t>220.4</w:t>
      </w:r>
      <w:r>
        <w:rPr>
          <w:rFonts w:hint="eastAsia" w:ascii="仿宋_GB2312" w:hAnsi="仿宋_GB2312" w:eastAsia="仿宋_GB2312" w:cs="仿宋_GB2312"/>
          <w:color w:val="000000"/>
          <w:kern w:val="0"/>
          <w:sz w:val="32"/>
          <w:szCs w:val="32"/>
          <w:shd w:val="clear" w:color="auto" w:fill="FFFFFF"/>
          <w:lang w:val="zh-CN"/>
        </w:rPr>
        <w:t>%，主要是机构改革，金峰乡并入。各部门能全面履行为民服务、为民办事、高效从政，为全乡人民经济收入的不断增长，提高人民群众的物质文化生活提供有力的保障。</w:t>
      </w:r>
    </w:p>
    <w:p w14:paraId="2A407E6D">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2、机关厉行节约。严格执行“三公经费”预算，认真执行中央八项规定和省、市、县相关规定，做到廉洁行政。</w:t>
      </w:r>
    </w:p>
    <w:p w14:paraId="12D5E556">
      <w:pPr>
        <w:widowControl/>
        <w:adjustRightInd w:val="0"/>
        <w:snapToGrid w:val="0"/>
        <w:spacing w:line="540" w:lineRule="exact"/>
        <w:ind w:firstLine="720"/>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四、专项预算项目支出绩效。</w:t>
      </w:r>
    </w:p>
    <w:p w14:paraId="59E0923B">
      <w:pPr>
        <w:widowControl/>
        <w:adjustRightInd w:val="0"/>
        <w:snapToGrid w:val="0"/>
        <w:spacing w:line="540" w:lineRule="exact"/>
        <w:ind w:firstLine="72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（一）项目资金管理情况。</w:t>
      </w:r>
    </w:p>
    <w:p w14:paraId="0CFD962E">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制定了项目资金管理办法、中长期规划等建设制度。为我镇经济建设稳步增长打下了基础，同时也为全外公人民物质文化生活的逐步提高奠定了坚实的基础。</w:t>
      </w:r>
    </w:p>
    <w:p w14:paraId="30663C93">
      <w:pPr>
        <w:widowControl/>
        <w:adjustRightInd w:val="0"/>
        <w:snapToGrid w:val="0"/>
        <w:spacing w:line="540" w:lineRule="exact"/>
        <w:ind w:firstLine="72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（二）绩效目标完成情况。</w:t>
      </w:r>
    </w:p>
    <w:p w14:paraId="1A45A1A2">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事一议、乡村振兴等项目实施完成后，农村的生产生活条件得到了极大的改善，党群、干群关系进一步密切了，农民参与村内公益事业建设的热情得到了提高，解决了农产品的生产和运输难的问题，大大降低了农产品的生产、运输成本等。</w:t>
      </w:r>
    </w:p>
    <w:p w14:paraId="42291711">
      <w:pPr>
        <w:widowControl/>
        <w:adjustRightInd w:val="0"/>
        <w:snapToGrid w:val="0"/>
        <w:spacing w:line="540" w:lineRule="exact"/>
        <w:ind w:firstLine="640" w:firstLineChars="200"/>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五、财务管理情况。</w:t>
      </w:r>
    </w:p>
    <w:p w14:paraId="6F7EC00A">
      <w:pPr>
        <w:widowControl/>
        <w:adjustRightInd w:val="0"/>
        <w:snapToGrid w:val="0"/>
        <w:spacing w:line="540" w:lineRule="exact"/>
        <w:ind w:firstLine="643" w:firstLineChars="20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（一）制度建立情况</w:t>
      </w:r>
    </w:p>
    <w:p w14:paraId="097DC035">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我镇按照要求建立</w:t>
      </w:r>
      <w:r>
        <w:rPr>
          <w:rFonts w:hint="eastAsia" w:ascii="仿宋_GB2312" w:hAnsi="仿宋_GB2312" w:eastAsia="仿宋_GB2312" w:cs="仿宋_GB2312"/>
          <w:sz w:val="32"/>
          <w:szCs w:val="32"/>
        </w:rPr>
        <w:t>健全</w:t>
      </w:r>
      <w:r>
        <w:rPr>
          <w:rFonts w:hint="eastAsia" w:ascii="仿宋_GB2312" w:hAnsi="仿宋_GB2312" w:eastAsia="仿宋_GB2312" w:cs="仿宋_GB2312"/>
          <w:color w:val="000000"/>
          <w:kern w:val="0"/>
          <w:sz w:val="32"/>
          <w:szCs w:val="32"/>
          <w:shd w:val="clear" w:color="auto" w:fill="FFFFFF"/>
          <w:lang w:val="zh-CN"/>
        </w:rPr>
        <w:t>了财政所人员岗位制度、</w:t>
      </w:r>
      <w:r>
        <w:rPr>
          <w:rFonts w:hint="eastAsia" w:ascii="仿宋_GB2312" w:hAnsi="仿宋_GB2312" w:eastAsia="仿宋_GB2312" w:cs="仿宋_GB2312"/>
          <w:sz w:val="32"/>
          <w:szCs w:val="32"/>
        </w:rPr>
        <w:t>公务卡报账制度、支农资金管理制度、固定资产管理制度及定期财产清理制度等；完善财政监督管理制度，做到环环有监督、节节操作透明；加大保密制度实施力度，确保财政工作稳定和谐；创新财政信息化管理制度，加大财政信息材料安全性保障。</w:t>
      </w:r>
    </w:p>
    <w:p w14:paraId="35483515">
      <w:pPr>
        <w:widowControl/>
        <w:adjustRightInd w:val="0"/>
        <w:snapToGrid w:val="0"/>
        <w:spacing w:line="540" w:lineRule="exact"/>
        <w:ind w:firstLine="72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（二）会计核算和账务管理情况</w:t>
      </w:r>
    </w:p>
    <w:p w14:paraId="2BC9B0DF">
      <w:pPr>
        <w:spacing w:line="65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日常账务处理做到及时、准确，日清月结，及时归档；在财政拨款和补贴账务处理上，严格按照规定程序，专款专用；按规定支付“三公经费”；充分利用公务卡改革做好规范账务处理等基础工作。全面按照上级文件、会议要求，规范财政账务处理工作。</w:t>
      </w:r>
    </w:p>
    <w:p w14:paraId="04CAFA84">
      <w:pPr>
        <w:widowControl/>
        <w:adjustRightInd w:val="0"/>
        <w:snapToGrid w:val="0"/>
        <w:spacing w:line="540" w:lineRule="exact"/>
        <w:ind w:firstLine="72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（三）政府采购制度执行情况</w:t>
      </w:r>
    </w:p>
    <w:p w14:paraId="3F724EB6">
      <w:pPr>
        <w:widowControl/>
        <w:adjustRightInd w:val="0"/>
        <w:snapToGrid w:val="0"/>
        <w:spacing w:line="540" w:lineRule="exact"/>
        <w:ind w:firstLine="72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我</w:t>
      </w:r>
      <w:r>
        <w:rPr>
          <w:rFonts w:hint="eastAsia" w:ascii="仿宋_GB2312" w:hAnsi="仿宋_GB2312" w:eastAsia="仿宋_GB2312" w:cs="仿宋_GB2312"/>
          <w:kern w:val="0"/>
          <w:sz w:val="32"/>
          <w:szCs w:val="32"/>
          <w:shd w:val="clear" w:color="auto" w:fill="FFFFFF"/>
          <w:lang w:eastAsia="zh-CN"/>
        </w:rPr>
        <w:t>镇</w:t>
      </w:r>
      <w:r>
        <w:rPr>
          <w:rFonts w:hint="eastAsia" w:ascii="仿宋_GB2312" w:hAnsi="仿宋_GB2312" w:eastAsia="仿宋_GB2312" w:cs="仿宋_GB2312"/>
          <w:kern w:val="0"/>
          <w:sz w:val="32"/>
          <w:szCs w:val="32"/>
          <w:shd w:val="clear" w:color="auto" w:fill="FFFFFF"/>
        </w:rPr>
        <w:t>所有物资采购及工程实施，都按照政府采购要求进行实施。</w:t>
      </w:r>
    </w:p>
    <w:p w14:paraId="6778CE90">
      <w:pPr>
        <w:widowControl/>
        <w:adjustRightInd w:val="0"/>
        <w:snapToGrid w:val="0"/>
        <w:spacing w:line="540" w:lineRule="exact"/>
        <w:ind w:firstLine="720"/>
        <w:jc w:val="left"/>
        <w:rPr>
          <w:rFonts w:hint="eastAsia" w:ascii="楷体_GB2312" w:hAnsi="楷体_GB2312" w:eastAsia="楷体_GB2312" w:cs="楷体_GB2312"/>
          <w:b/>
          <w:bCs/>
          <w:kern w:val="0"/>
          <w:sz w:val="32"/>
          <w:szCs w:val="32"/>
          <w:shd w:val="clear" w:color="auto" w:fill="FFFFFF"/>
          <w:lang w:eastAsia="zh-CN"/>
        </w:rPr>
      </w:pPr>
      <w:r>
        <w:rPr>
          <w:rFonts w:hint="eastAsia" w:ascii="楷体_GB2312" w:hAnsi="楷体_GB2312" w:eastAsia="楷体_GB2312" w:cs="楷体_GB2312"/>
          <w:b/>
          <w:bCs/>
          <w:kern w:val="0"/>
          <w:sz w:val="32"/>
          <w:szCs w:val="32"/>
          <w:shd w:val="clear" w:color="auto" w:fill="FFFFFF"/>
          <w:lang w:eastAsia="zh-CN"/>
        </w:rPr>
        <w:t>（四）政府财务信息公开情况</w:t>
      </w:r>
    </w:p>
    <w:p w14:paraId="00A753C5">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政府财务信息，均按照上级政府及主管部门的要求及时准确在互联网上公开。</w:t>
      </w:r>
    </w:p>
    <w:p w14:paraId="6E8C03B0">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lang w:eastAsia="zh-CN"/>
        </w:rPr>
        <w:t>六</w:t>
      </w:r>
      <w:r>
        <w:rPr>
          <w:rFonts w:hint="eastAsia" w:ascii="黑体" w:hAnsi="黑体" w:eastAsia="黑体" w:cs="黑体"/>
          <w:color w:val="000000"/>
          <w:kern w:val="0"/>
          <w:sz w:val="32"/>
          <w:szCs w:val="32"/>
          <w:shd w:val="clear" w:color="auto" w:fill="FFFFFF"/>
        </w:rPr>
        <w:t>、评价结论及建议</w:t>
      </w:r>
    </w:p>
    <w:p w14:paraId="222868D1">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14:paraId="7AB5DE0B">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我镇在201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年部门预算支出的各项经费收支过程中，严格按照部门预算要求进行实施，总体情况良好。</w:t>
      </w:r>
    </w:p>
    <w:p w14:paraId="5629442D">
      <w:pPr>
        <w:widowControl/>
        <w:adjustRightInd w:val="0"/>
        <w:snapToGrid w:val="0"/>
        <w:spacing w:line="540" w:lineRule="exact"/>
        <w:ind w:firstLine="72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（二）存在问题：</w:t>
      </w:r>
    </w:p>
    <w:p w14:paraId="7071A721">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年初预算只是对基本运转部分做了保障预算，对于一些突发性、临时性和重点工作的预算缺少预见性。</w:t>
      </w:r>
    </w:p>
    <w:p w14:paraId="719970DA">
      <w:pPr>
        <w:widowControl/>
        <w:adjustRightInd w:val="0"/>
        <w:snapToGrid w:val="0"/>
        <w:spacing w:line="540" w:lineRule="exact"/>
        <w:ind w:firstLine="720"/>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（三）改进建议：</w:t>
      </w:r>
    </w:p>
    <w:p w14:paraId="63A599C8">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1、应加强财政绩效评价工作培训，提高绩效评价质量。</w:t>
      </w:r>
    </w:p>
    <w:p w14:paraId="21E9A7D1">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2、及时进行中期预算执行评估，确保政府的正常运转。</w:t>
      </w:r>
    </w:p>
    <w:p w14:paraId="356C6A06">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3、应</w:t>
      </w:r>
      <w:r>
        <w:rPr>
          <w:rFonts w:hint="eastAsia" w:ascii="仿宋_GB2312" w:hAnsi="仿宋_GB2312" w:eastAsia="仿宋_GB2312" w:cs="仿宋_GB2312"/>
          <w:sz w:val="32"/>
          <w:szCs w:val="32"/>
          <w:lang w:val="zh-CN"/>
        </w:rPr>
        <w:t>配备适应电算化的年青人从事财务工作。</w:t>
      </w:r>
    </w:p>
    <w:p w14:paraId="4599CFA7">
      <w:pPr>
        <w:spacing w:line="580" w:lineRule="exact"/>
        <w:ind w:firstLine="640" w:firstLineChars="200"/>
        <w:rPr>
          <w:rFonts w:hint="eastAsia" w:ascii="仿宋_GB2312" w:hAnsi="仿宋_GB2312" w:eastAsia="仿宋_GB2312" w:cs="仿宋_GB2312"/>
          <w:sz w:val="32"/>
          <w:szCs w:val="32"/>
        </w:rPr>
      </w:pPr>
    </w:p>
    <w:p w14:paraId="3EACA280">
      <w:pPr>
        <w:spacing w:line="580" w:lineRule="exact"/>
        <w:ind w:firstLine="640" w:firstLineChars="200"/>
        <w:rPr>
          <w:rFonts w:hint="eastAsia" w:ascii="仿宋_GB2312" w:hAnsi="仿宋_GB2312" w:eastAsia="仿宋_GB2312" w:cs="仿宋_GB2312"/>
          <w:sz w:val="32"/>
          <w:szCs w:val="32"/>
        </w:rPr>
      </w:pPr>
    </w:p>
    <w:p w14:paraId="4D070040">
      <w:pPr>
        <w:spacing w:line="580" w:lineRule="exact"/>
        <w:ind w:firstLine="640" w:firstLineChars="200"/>
        <w:rPr>
          <w:rFonts w:hint="eastAsia" w:ascii="仿宋_GB2312" w:hAnsi="仿宋_GB2312" w:eastAsia="仿宋_GB2312" w:cs="仿宋_GB2312"/>
          <w:sz w:val="32"/>
          <w:szCs w:val="32"/>
        </w:rPr>
      </w:pPr>
    </w:p>
    <w:p w14:paraId="4B162534">
      <w:pPr>
        <w:spacing w:line="580" w:lineRule="exact"/>
        <w:ind w:firstLine="640" w:firstLineChars="200"/>
        <w:rPr>
          <w:rFonts w:hint="eastAsia" w:ascii="仿宋_GB2312" w:hAnsi="仿宋_GB2312" w:eastAsia="仿宋_GB2312" w:cs="仿宋_GB2312"/>
          <w:sz w:val="32"/>
          <w:szCs w:val="32"/>
        </w:rPr>
      </w:pPr>
    </w:p>
    <w:p w14:paraId="525C66A7">
      <w:pPr>
        <w:spacing w:line="580" w:lineRule="exact"/>
        <w:ind w:firstLine="640" w:firstLineChars="200"/>
        <w:rPr>
          <w:rFonts w:hint="eastAsia" w:ascii="仿宋_GB2312" w:hAnsi="仿宋_GB2312" w:eastAsia="仿宋_GB2312" w:cs="仿宋_GB2312"/>
          <w:sz w:val="32"/>
          <w:szCs w:val="32"/>
        </w:rPr>
      </w:pPr>
    </w:p>
    <w:p w14:paraId="778ACCE7">
      <w:pPr>
        <w:spacing w:line="580" w:lineRule="exact"/>
        <w:ind w:firstLine="640" w:firstLineChars="200"/>
        <w:rPr>
          <w:rFonts w:hint="eastAsia" w:ascii="仿宋_GB2312" w:hAnsi="仿宋_GB2312" w:eastAsia="仿宋_GB2312" w:cs="仿宋_GB2312"/>
          <w:sz w:val="32"/>
          <w:szCs w:val="32"/>
        </w:rPr>
      </w:pPr>
    </w:p>
    <w:tbl>
      <w:tblPr>
        <w:tblStyle w:val="12"/>
        <w:tblW w:w="83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04"/>
        <w:gridCol w:w="1102"/>
        <w:gridCol w:w="1424"/>
        <w:gridCol w:w="2665"/>
        <w:gridCol w:w="2080"/>
        <w:gridCol w:w="525"/>
      </w:tblGrid>
      <w:tr w14:paraId="2CA6D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2" w:hRule="atLeast"/>
        </w:trPr>
        <w:tc>
          <w:tcPr>
            <w:tcW w:w="8300" w:type="dxa"/>
            <w:gridSpan w:val="6"/>
            <w:vAlign w:val="center"/>
          </w:tcPr>
          <w:p w14:paraId="38A0476A">
            <w:pPr>
              <w:widowControl/>
              <w:jc w:val="center"/>
              <w:textAlignment w:val="center"/>
              <w:rPr>
                <w:rFonts w:hint="eastAsia" w:ascii="仿宋_GB2312" w:hAnsi="仿宋_GB2312" w:eastAsia="仿宋_GB2312" w:cs="仿宋_GB2312"/>
                <w:color w:val="000000"/>
                <w:sz w:val="32"/>
                <w:szCs w:val="32"/>
              </w:rPr>
            </w:pPr>
            <w:r>
              <w:rPr>
                <w:rFonts w:hint="eastAsia" w:asciiTheme="majorEastAsia" w:hAnsiTheme="majorEastAsia" w:eastAsiaTheme="majorEastAsia" w:cstheme="majorEastAsia"/>
                <w:b/>
                <w:bCs/>
                <w:color w:val="000000"/>
                <w:kern w:val="0"/>
                <w:sz w:val="44"/>
                <w:szCs w:val="44"/>
              </w:rPr>
              <w:t>部门整体支出绩效评价指标体系</w:t>
            </w:r>
          </w:p>
        </w:tc>
      </w:tr>
      <w:tr w14:paraId="26E7B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04" w:type="dxa"/>
            <w:vAlign w:val="center"/>
          </w:tcPr>
          <w:p w14:paraId="58F784A4">
            <w:pPr>
              <w:jc w:val="center"/>
              <w:rPr>
                <w:rFonts w:hint="eastAsia" w:ascii="仿宋_GB2312" w:hAnsi="仿宋_GB2312" w:eastAsia="仿宋_GB2312" w:cs="仿宋_GB2312"/>
                <w:b/>
                <w:color w:val="000000"/>
                <w:sz w:val="32"/>
                <w:szCs w:val="32"/>
              </w:rPr>
            </w:pPr>
          </w:p>
        </w:tc>
        <w:tc>
          <w:tcPr>
            <w:tcW w:w="1102" w:type="dxa"/>
            <w:vAlign w:val="center"/>
          </w:tcPr>
          <w:p w14:paraId="349667FD">
            <w:pPr>
              <w:jc w:val="center"/>
              <w:rPr>
                <w:rFonts w:hint="eastAsia" w:ascii="仿宋_GB2312" w:hAnsi="仿宋_GB2312" w:eastAsia="仿宋_GB2312" w:cs="仿宋_GB2312"/>
                <w:b/>
                <w:color w:val="000000"/>
                <w:sz w:val="32"/>
                <w:szCs w:val="32"/>
              </w:rPr>
            </w:pPr>
          </w:p>
        </w:tc>
        <w:tc>
          <w:tcPr>
            <w:tcW w:w="1424" w:type="dxa"/>
            <w:vAlign w:val="center"/>
          </w:tcPr>
          <w:p w14:paraId="01A70785">
            <w:pPr>
              <w:jc w:val="center"/>
              <w:rPr>
                <w:rFonts w:hint="eastAsia" w:ascii="仿宋_GB2312" w:hAnsi="仿宋_GB2312" w:eastAsia="仿宋_GB2312" w:cs="仿宋_GB2312"/>
                <w:b/>
                <w:color w:val="000000"/>
                <w:sz w:val="32"/>
                <w:szCs w:val="32"/>
              </w:rPr>
            </w:pPr>
          </w:p>
        </w:tc>
        <w:tc>
          <w:tcPr>
            <w:tcW w:w="2665" w:type="dxa"/>
            <w:vAlign w:val="center"/>
          </w:tcPr>
          <w:p w14:paraId="34B48ABC">
            <w:pPr>
              <w:jc w:val="center"/>
              <w:rPr>
                <w:rFonts w:hint="eastAsia" w:ascii="仿宋_GB2312" w:hAnsi="仿宋_GB2312" w:eastAsia="仿宋_GB2312" w:cs="仿宋_GB2312"/>
                <w:b/>
                <w:color w:val="000000"/>
                <w:sz w:val="32"/>
                <w:szCs w:val="32"/>
              </w:rPr>
            </w:pPr>
          </w:p>
        </w:tc>
        <w:tc>
          <w:tcPr>
            <w:tcW w:w="2080" w:type="dxa"/>
            <w:vAlign w:val="center"/>
          </w:tcPr>
          <w:p w14:paraId="5A8B540C">
            <w:pPr>
              <w:jc w:val="center"/>
              <w:rPr>
                <w:rFonts w:hint="eastAsia" w:ascii="仿宋_GB2312" w:hAnsi="仿宋_GB2312" w:eastAsia="仿宋_GB2312" w:cs="仿宋_GB2312"/>
                <w:b/>
                <w:color w:val="000000"/>
                <w:sz w:val="32"/>
                <w:szCs w:val="32"/>
              </w:rPr>
            </w:pPr>
          </w:p>
        </w:tc>
        <w:tc>
          <w:tcPr>
            <w:tcW w:w="525" w:type="dxa"/>
            <w:vAlign w:val="center"/>
          </w:tcPr>
          <w:p w14:paraId="5FC68ABD">
            <w:pPr>
              <w:rPr>
                <w:rFonts w:hint="eastAsia" w:ascii="仿宋_GB2312" w:hAnsi="仿宋_GB2312" w:eastAsia="仿宋_GB2312" w:cs="仿宋_GB2312"/>
                <w:color w:val="000000"/>
                <w:sz w:val="32"/>
                <w:szCs w:val="32"/>
              </w:rPr>
            </w:pPr>
          </w:p>
        </w:tc>
      </w:tr>
      <w:tr w14:paraId="6B7D2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9" w:hRule="atLeast"/>
        </w:trPr>
        <w:tc>
          <w:tcPr>
            <w:tcW w:w="504" w:type="dxa"/>
            <w:tcBorders>
              <w:top w:val="single" w:color="000000" w:sz="4" w:space="0"/>
              <w:left w:val="single" w:color="000000" w:sz="4" w:space="0"/>
              <w:bottom w:val="single" w:color="000000" w:sz="4" w:space="0"/>
              <w:right w:val="single" w:color="000000" w:sz="4" w:space="0"/>
            </w:tcBorders>
            <w:vAlign w:val="center"/>
          </w:tcPr>
          <w:p w14:paraId="622B7F73">
            <w:pPr>
              <w:widowControl/>
              <w:jc w:val="center"/>
              <w:textAlignment w:val="center"/>
              <w:rPr>
                <w:rFonts w:hint="eastAsia" w:asciiTheme="minorEastAsia" w:hAnsiTheme="minorEastAsia" w:eastAsiaTheme="minorEastAsia" w:cstheme="minorEastAsia"/>
                <w:b/>
                <w:color w:val="000000"/>
                <w:sz w:val="18"/>
                <w:szCs w:val="18"/>
              </w:rPr>
            </w:pPr>
            <w:r>
              <w:rPr>
                <w:rFonts w:hint="eastAsia" w:asciiTheme="minorEastAsia" w:hAnsiTheme="minorEastAsia" w:eastAsiaTheme="minorEastAsia" w:cstheme="minorEastAsia"/>
                <w:b/>
                <w:color w:val="000000"/>
                <w:kern w:val="0"/>
                <w:sz w:val="18"/>
                <w:szCs w:val="18"/>
              </w:rPr>
              <w:t>一级指标</w:t>
            </w:r>
          </w:p>
        </w:tc>
        <w:tc>
          <w:tcPr>
            <w:tcW w:w="1102" w:type="dxa"/>
            <w:tcBorders>
              <w:top w:val="single" w:color="000000" w:sz="4" w:space="0"/>
              <w:left w:val="single" w:color="000000" w:sz="4" w:space="0"/>
              <w:bottom w:val="single" w:color="000000" w:sz="4" w:space="0"/>
              <w:right w:val="single" w:color="000000" w:sz="4" w:space="0"/>
            </w:tcBorders>
            <w:vAlign w:val="center"/>
          </w:tcPr>
          <w:p w14:paraId="5E686F4E">
            <w:pPr>
              <w:widowControl/>
              <w:jc w:val="center"/>
              <w:textAlignment w:val="center"/>
              <w:rPr>
                <w:rFonts w:hint="eastAsia" w:asciiTheme="minorEastAsia" w:hAnsiTheme="minorEastAsia" w:eastAsiaTheme="minorEastAsia" w:cstheme="minorEastAsia"/>
                <w:b/>
                <w:color w:val="000000"/>
                <w:sz w:val="18"/>
                <w:szCs w:val="18"/>
              </w:rPr>
            </w:pPr>
            <w:r>
              <w:rPr>
                <w:rFonts w:hint="eastAsia" w:asciiTheme="minorEastAsia" w:hAnsiTheme="minorEastAsia" w:eastAsiaTheme="minorEastAsia" w:cstheme="minorEastAsia"/>
                <w:b/>
                <w:color w:val="000000"/>
                <w:kern w:val="0"/>
                <w:sz w:val="18"/>
                <w:szCs w:val="18"/>
              </w:rPr>
              <w:t>二级指标</w:t>
            </w:r>
          </w:p>
        </w:tc>
        <w:tc>
          <w:tcPr>
            <w:tcW w:w="1424" w:type="dxa"/>
            <w:tcBorders>
              <w:top w:val="single" w:color="000000" w:sz="4" w:space="0"/>
              <w:left w:val="single" w:color="000000" w:sz="4" w:space="0"/>
              <w:bottom w:val="single" w:color="000000" w:sz="4" w:space="0"/>
              <w:right w:val="single" w:color="000000" w:sz="4" w:space="0"/>
            </w:tcBorders>
            <w:vAlign w:val="center"/>
          </w:tcPr>
          <w:p w14:paraId="1897A659">
            <w:pPr>
              <w:widowControl/>
              <w:jc w:val="center"/>
              <w:textAlignment w:val="center"/>
              <w:rPr>
                <w:rFonts w:hint="eastAsia" w:asciiTheme="minorEastAsia" w:hAnsiTheme="minorEastAsia" w:eastAsiaTheme="minorEastAsia" w:cstheme="minorEastAsia"/>
                <w:b/>
                <w:color w:val="000000"/>
                <w:sz w:val="18"/>
                <w:szCs w:val="18"/>
              </w:rPr>
            </w:pPr>
            <w:r>
              <w:rPr>
                <w:rFonts w:hint="eastAsia" w:asciiTheme="minorEastAsia" w:hAnsiTheme="minorEastAsia" w:eastAsiaTheme="minorEastAsia" w:cstheme="minorEastAsia"/>
                <w:b/>
                <w:color w:val="000000"/>
                <w:kern w:val="0"/>
                <w:sz w:val="18"/>
                <w:szCs w:val="18"/>
              </w:rPr>
              <w:t>三级指标</w:t>
            </w:r>
          </w:p>
        </w:tc>
        <w:tc>
          <w:tcPr>
            <w:tcW w:w="2665" w:type="dxa"/>
            <w:tcBorders>
              <w:top w:val="single" w:color="000000" w:sz="4" w:space="0"/>
              <w:left w:val="single" w:color="000000" w:sz="4" w:space="0"/>
              <w:bottom w:val="single" w:color="000000" w:sz="4" w:space="0"/>
              <w:right w:val="single" w:color="000000" w:sz="4" w:space="0"/>
            </w:tcBorders>
            <w:vAlign w:val="center"/>
          </w:tcPr>
          <w:p w14:paraId="4E9B56B1">
            <w:pPr>
              <w:widowControl/>
              <w:jc w:val="center"/>
              <w:textAlignment w:val="center"/>
              <w:rPr>
                <w:rFonts w:hint="eastAsia" w:asciiTheme="minorEastAsia" w:hAnsiTheme="minorEastAsia" w:eastAsiaTheme="minorEastAsia" w:cstheme="minorEastAsia"/>
                <w:b/>
                <w:color w:val="000000"/>
                <w:sz w:val="18"/>
                <w:szCs w:val="18"/>
              </w:rPr>
            </w:pPr>
            <w:r>
              <w:rPr>
                <w:rFonts w:hint="eastAsia" w:asciiTheme="minorEastAsia" w:hAnsiTheme="minorEastAsia" w:eastAsiaTheme="minorEastAsia" w:cstheme="minorEastAsia"/>
                <w:b/>
                <w:color w:val="000000"/>
                <w:kern w:val="0"/>
                <w:sz w:val="18"/>
                <w:szCs w:val="18"/>
              </w:rPr>
              <w:t>指标解释</w:t>
            </w:r>
          </w:p>
        </w:tc>
        <w:tc>
          <w:tcPr>
            <w:tcW w:w="2080" w:type="dxa"/>
            <w:tcBorders>
              <w:top w:val="single" w:color="000000" w:sz="4" w:space="0"/>
              <w:left w:val="single" w:color="000000" w:sz="4" w:space="0"/>
              <w:bottom w:val="single" w:color="000000" w:sz="4" w:space="0"/>
              <w:right w:val="single" w:color="000000" w:sz="4" w:space="0"/>
            </w:tcBorders>
            <w:vAlign w:val="center"/>
          </w:tcPr>
          <w:p w14:paraId="292CDA86">
            <w:pPr>
              <w:widowControl/>
              <w:jc w:val="center"/>
              <w:textAlignment w:val="center"/>
              <w:rPr>
                <w:rFonts w:hint="eastAsia" w:asciiTheme="minorEastAsia" w:hAnsiTheme="minorEastAsia" w:eastAsiaTheme="minorEastAsia" w:cstheme="minorEastAsia"/>
                <w:b/>
                <w:color w:val="000000"/>
                <w:sz w:val="18"/>
                <w:szCs w:val="18"/>
              </w:rPr>
            </w:pPr>
            <w:r>
              <w:rPr>
                <w:rFonts w:hint="eastAsia" w:asciiTheme="minorEastAsia" w:hAnsiTheme="minorEastAsia" w:eastAsiaTheme="minorEastAsia" w:cstheme="minorEastAsia"/>
                <w:b/>
                <w:color w:val="000000"/>
                <w:kern w:val="0"/>
                <w:sz w:val="18"/>
                <w:szCs w:val="18"/>
              </w:rPr>
              <w:t>备 注</w:t>
            </w:r>
          </w:p>
        </w:tc>
        <w:tc>
          <w:tcPr>
            <w:tcW w:w="525" w:type="dxa"/>
            <w:tcBorders>
              <w:top w:val="single" w:color="000000" w:sz="4" w:space="0"/>
              <w:left w:val="single" w:color="000000" w:sz="4" w:space="0"/>
              <w:bottom w:val="single" w:color="000000" w:sz="4" w:space="0"/>
              <w:right w:val="single" w:color="000000" w:sz="4" w:space="0"/>
            </w:tcBorders>
            <w:vAlign w:val="center"/>
          </w:tcPr>
          <w:p w14:paraId="75BC0EFB">
            <w:pPr>
              <w:widowControl/>
              <w:jc w:val="center"/>
              <w:textAlignment w:val="center"/>
              <w:rPr>
                <w:rFonts w:hint="eastAsia" w:asciiTheme="minorEastAsia" w:hAnsiTheme="minorEastAsia" w:eastAsiaTheme="minorEastAsia" w:cstheme="minorEastAsia"/>
                <w:b/>
                <w:color w:val="000000"/>
                <w:sz w:val="18"/>
                <w:szCs w:val="18"/>
              </w:rPr>
            </w:pPr>
            <w:r>
              <w:rPr>
                <w:rFonts w:hint="eastAsia" w:asciiTheme="minorEastAsia" w:hAnsiTheme="minorEastAsia" w:eastAsiaTheme="minorEastAsia" w:cstheme="minorEastAsia"/>
                <w:b/>
                <w:color w:val="000000"/>
                <w:kern w:val="0"/>
                <w:sz w:val="18"/>
                <w:szCs w:val="18"/>
              </w:rPr>
              <w:t>评价得分</w:t>
            </w:r>
          </w:p>
        </w:tc>
      </w:tr>
      <w:tr w14:paraId="6B7D4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6" w:hRule="atLeast"/>
        </w:trPr>
        <w:tc>
          <w:tcPr>
            <w:tcW w:w="504" w:type="dxa"/>
            <w:vMerge w:val="restart"/>
            <w:tcBorders>
              <w:top w:val="single" w:color="000000" w:sz="4" w:space="0"/>
              <w:left w:val="single" w:color="000000" w:sz="4" w:space="0"/>
              <w:bottom w:val="single" w:color="000000" w:sz="4" w:space="0"/>
              <w:right w:val="single" w:color="000000" w:sz="4" w:space="0"/>
            </w:tcBorders>
            <w:vAlign w:val="center"/>
          </w:tcPr>
          <w:p w14:paraId="1443BB2D">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预算编制</w:t>
            </w:r>
            <w:r>
              <w:rPr>
                <w:rFonts w:hint="eastAsia" w:asciiTheme="minorEastAsia" w:hAnsiTheme="minorEastAsia" w:eastAsiaTheme="minorEastAsia" w:cstheme="minorEastAsia"/>
                <w:color w:val="000000"/>
                <w:kern w:val="0"/>
                <w:sz w:val="18"/>
                <w:szCs w:val="18"/>
              </w:rPr>
              <w:br w:type="textWrapping"/>
            </w:r>
            <w:r>
              <w:rPr>
                <w:rFonts w:hint="eastAsia" w:asciiTheme="minorEastAsia" w:hAnsiTheme="minorEastAsia" w:eastAsiaTheme="minorEastAsia" w:cstheme="minorEastAsia"/>
                <w:color w:val="000000"/>
                <w:kern w:val="0"/>
                <w:sz w:val="18"/>
                <w:szCs w:val="18"/>
              </w:rPr>
              <w:t>（1</w:t>
            </w:r>
            <w:r>
              <w:rPr>
                <w:rStyle w:val="35"/>
                <w:rFonts w:hint="eastAsia" w:asciiTheme="minorEastAsia" w:hAnsiTheme="minorEastAsia" w:eastAsiaTheme="minorEastAsia" w:cstheme="minorEastAsia"/>
                <w:sz w:val="18"/>
                <w:szCs w:val="18"/>
              </w:rPr>
              <w:t>0分）</w:t>
            </w:r>
          </w:p>
        </w:tc>
        <w:tc>
          <w:tcPr>
            <w:tcW w:w="1102" w:type="dxa"/>
            <w:tcBorders>
              <w:top w:val="single" w:color="000000" w:sz="4" w:space="0"/>
              <w:left w:val="single" w:color="000000" w:sz="4" w:space="0"/>
              <w:bottom w:val="single" w:color="000000" w:sz="4" w:space="0"/>
              <w:right w:val="single" w:color="000000" w:sz="4" w:space="0"/>
            </w:tcBorders>
            <w:vAlign w:val="center"/>
          </w:tcPr>
          <w:p w14:paraId="12740557">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报送时效（1分）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08A4AE1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基础信息更新（1分）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47ED078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部门是否按照市级部门预算编制通知和有关要求，按时完成基础、项目库报送工作</w:t>
            </w:r>
          </w:p>
        </w:tc>
        <w:tc>
          <w:tcPr>
            <w:tcW w:w="2080" w:type="dxa"/>
            <w:tcBorders>
              <w:top w:val="single" w:color="000000" w:sz="4" w:space="0"/>
              <w:left w:val="single" w:color="000000" w:sz="4" w:space="0"/>
              <w:bottom w:val="single" w:color="000000" w:sz="4" w:space="0"/>
              <w:right w:val="single" w:color="000000" w:sz="4" w:space="0"/>
            </w:tcBorders>
            <w:vAlign w:val="center"/>
          </w:tcPr>
          <w:p w14:paraId="6BB28D5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超过规定5个工作日内扣0.5分，</w:t>
            </w:r>
            <w:r>
              <w:rPr>
                <w:rStyle w:val="35"/>
                <w:rFonts w:hint="eastAsia" w:asciiTheme="minorEastAsia" w:hAnsiTheme="minorEastAsia" w:eastAsiaTheme="minorEastAsia" w:cstheme="minorEastAsia"/>
                <w:sz w:val="18"/>
                <w:szCs w:val="18"/>
              </w:rPr>
              <w:t>10个工作日内扣1分，以此类推，直至扣完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29F265A6">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w:t>
            </w:r>
          </w:p>
        </w:tc>
      </w:tr>
      <w:tr w14:paraId="51D03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03"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0E621238">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7A86C12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编制质量（2分）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0D8564E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预算编制准确（1分）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5020EDF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（预算资金总来源-中期评估调整取消资金-预算结余注销资金）÷预算资金总来源×指标分值</w:t>
            </w:r>
          </w:p>
        </w:tc>
        <w:tc>
          <w:tcPr>
            <w:tcW w:w="2080" w:type="dxa"/>
            <w:tcBorders>
              <w:top w:val="single" w:color="000000" w:sz="4" w:space="0"/>
              <w:left w:val="single" w:color="000000" w:sz="4" w:space="0"/>
              <w:bottom w:val="single" w:color="000000" w:sz="4" w:space="0"/>
              <w:right w:val="single" w:color="000000" w:sz="4" w:space="0"/>
            </w:tcBorders>
            <w:vAlign w:val="center"/>
          </w:tcPr>
          <w:p w14:paraId="3430F38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其中：预算资金总来源是指市级年初预算与执行中追加预算（不含当年上级专款）总和</w:t>
            </w:r>
          </w:p>
        </w:tc>
        <w:tc>
          <w:tcPr>
            <w:tcW w:w="525" w:type="dxa"/>
            <w:tcBorders>
              <w:top w:val="single" w:color="000000" w:sz="4" w:space="0"/>
              <w:left w:val="single" w:color="000000" w:sz="4" w:space="0"/>
              <w:bottom w:val="single" w:color="000000" w:sz="4" w:space="0"/>
              <w:right w:val="single" w:color="000000" w:sz="4" w:space="0"/>
            </w:tcBorders>
            <w:vAlign w:val="center"/>
          </w:tcPr>
          <w:p w14:paraId="287DB7C5">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w:t>
            </w:r>
          </w:p>
        </w:tc>
      </w:tr>
      <w:tr w14:paraId="691A1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7"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2C0B1F33">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3FBFC9D7">
            <w:pPr>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0A0FB46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部门预算审查（1分）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79B52A1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根据市人大财经工委对预算草案审查结果进行考核</w:t>
            </w:r>
          </w:p>
        </w:tc>
        <w:tc>
          <w:tcPr>
            <w:tcW w:w="2080" w:type="dxa"/>
            <w:tcBorders>
              <w:top w:val="single" w:color="000000" w:sz="4" w:space="0"/>
              <w:left w:val="single" w:color="000000" w:sz="4" w:space="0"/>
              <w:bottom w:val="single" w:color="000000" w:sz="4" w:space="0"/>
              <w:right w:val="single" w:color="000000" w:sz="4" w:space="0"/>
            </w:tcBorders>
            <w:vAlign w:val="center"/>
          </w:tcPr>
          <w:p w14:paraId="3373974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对预工委审查后提出并确需修改的问题，每个问题扣0.02分，直至扣完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0794AF05">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w:t>
            </w:r>
          </w:p>
        </w:tc>
      </w:tr>
      <w:tr w14:paraId="077BF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79"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32CA2660">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725C938B">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绩效目标（5分）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1146064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部门整体绩效目标（2分）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F272E3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部门整体绩效目标编制完整、合理</w:t>
            </w:r>
          </w:p>
        </w:tc>
        <w:tc>
          <w:tcPr>
            <w:tcW w:w="2080" w:type="dxa"/>
            <w:tcBorders>
              <w:top w:val="single" w:color="000000" w:sz="4" w:space="0"/>
              <w:left w:val="single" w:color="000000" w:sz="4" w:space="0"/>
              <w:bottom w:val="single" w:color="000000" w:sz="4" w:space="0"/>
              <w:right w:val="single" w:color="000000" w:sz="4" w:space="0"/>
            </w:tcBorders>
            <w:vAlign w:val="center"/>
          </w:tcPr>
          <w:p w14:paraId="71E2FDA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部门整体绩效目标能完整、合理反映部门年度职责履行情况的得分，否则不得分</w:t>
            </w:r>
          </w:p>
        </w:tc>
        <w:tc>
          <w:tcPr>
            <w:tcW w:w="525" w:type="dxa"/>
            <w:tcBorders>
              <w:top w:val="single" w:color="000000" w:sz="4" w:space="0"/>
              <w:left w:val="single" w:color="000000" w:sz="4" w:space="0"/>
              <w:bottom w:val="single" w:color="000000" w:sz="4" w:space="0"/>
              <w:right w:val="single" w:color="000000" w:sz="4" w:space="0"/>
            </w:tcBorders>
            <w:vAlign w:val="center"/>
          </w:tcPr>
          <w:p w14:paraId="67E344FA">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484AC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35"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7591CCBA">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0294AC94">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6B0A5E05">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重点项目绩效目标（3分）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2E91F0D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项目绩效目标编制明确、量化</w:t>
            </w:r>
          </w:p>
        </w:tc>
        <w:tc>
          <w:tcPr>
            <w:tcW w:w="2080" w:type="dxa"/>
            <w:tcBorders>
              <w:top w:val="single" w:color="000000" w:sz="4" w:space="0"/>
              <w:left w:val="single" w:color="000000" w:sz="4" w:space="0"/>
              <w:bottom w:val="single" w:color="000000" w:sz="4" w:space="0"/>
              <w:right w:val="single" w:color="000000" w:sz="4" w:space="0"/>
            </w:tcBorders>
            <w:vAlign w:val="center"/>
          </w:tcPr>
          <w:p w14:paraId="0BBE970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项目支出绩效目标编制不明确和量化的发现一个口0</w:t>
            </w:r>
            <w:r>
              <w:rPr>
                <w:rStyle w:val="35"/>
                <w:rFonts w:hint="eastAsia" w:asciiTheme="minorEastAsia" w:hAnsiTheme="minorEastAsia" w:eastAsiaTheme="minorEastAsia" w:cstheme="minorEastAsia"/>
                <w:sz w:val="18"/>
                <w:szCs w:val="18"/>
              </w:rPr>
              <w:t>.5分，直至扣完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55A60327">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3</w:t>
            </w:r>
          </w:p>
        </w:tc>
      </w:tr>
      <w:tr w14:paraId="7518C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8"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6373DA97">
            <w:pPr>
              <w:jc w:val="center"/>
              <w:rPr>
                <w:rFonts w:hint="eastAsia" w:asciiTheme="minorEastAsia" w:hAnsiTheme="minorEastAsia" w:eastAsiaTheme="minorEastAsia" w:cstheme="minorEastAsia"/>
                <w:color w:val="000000"/>
                <w:sz w:val="18"/>
                <w:szCs w:val="18"/>
              </w:rPr>
            </w:pPr>
          </w:p>
        </w:tc>
        <w:tc>
          <w:tcPr>
            <w:tcW w:w="1102" w:type="dxa"/>
            <w:tcBorders>
              <w:top w:val="single" w:color="000000" w:sz="4" w:space="0"/>
              <w:left w:val="single" w:color="000000" w:sz="4" w:space="0"/>
              <w:bottom w:val="single" w:color="000000" w:sz="4" w:space="0"/>
              <w:right w:val="single" w:color="000000" w:sz="4" w:space="0"/>
            </w:tcBorders>
            <w:vAlign w:val="center"/>
          </w:tcPr>
          <w:p w14:paraId="5BC1B82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转移支付提前下达（1分）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16991E3B">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转移支付提前下达（1分）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392A68B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按规定提前下达转移支付</w:t>
            </w:r>
          </w:p>
        </w:tc>
        <w:tc>
          <w:tcPr>
            <w:tcW w:w="2080" w:type="dxa"/>
            <w:tcBorders>
              <w:top w:val="single" w:color="000000" w:sz="4" w:space="0"/>
              <w:left w:val="single" w:color="000000" w:sz="4" w:space="0"/>
              <w:bottom w:val="single" w:color="000000" w:sz="4" w:space="0"/>
              <w:right w:val="single" w:color="000000" w:sz="4" w:space="0"/>
            </w:tcBorders>
            <w:vAlign w:val="center"/>
          </w:tcPr>
          <w:p w14:paraId="0C37E3F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未按规定提前下达转移支付的，按比例进行扣分</w:t>
            </w:r>
          </w:p>
        </w:tc>
        <w:tc>
          <w:tcPr>
            <w:tcW w:w="525" w:type="dxa"/>
            <w:tcBorders>
              <w:top w:val="single" w:color="000000" w:sz="4" w:space="0"/>
              <w:left w:val="single" w:color="000000" w:sz="4" w:space="0"/>
              <w:bottom w:val="single" w:color="000000" w:sz="4" w:space="0"/>
              <w:right w:val="single" w:color="000000" w:sz="4" w:space="0"/>
            </w:tcBorders>
            <w:vAlign w:val="center"/>
          </w:tcPr>
          <w:p w14:paraId="0FDC682B">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w:t>
            </w:r>
          </w:p>
        </w:tc>
      </w:tr>
      <w:tr w14:paraId="3D716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8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09654B76">
            <w:pPr>
              <w:jc w:val="center"/>
              <w:rPr>
                <w:rFonts w:hint="eastAsia" w:asciiTheme="minorEastAsia" w:hAnsiTheme="minorEastAsia" w:eastAsiaTheme="minorEastAsia" w:cstheme="minorEastAsia"/>
                <w:color w:val="000000"/>
                <w:sz w:val="18"/>
                <w:szCs w:val="18"/>
              </w:rPr>
            </w:pPr>
          </w:p>
        </w:tc>
        <w:tc>
          <w:tcPr>
            <w:tcW w:w="1102" w:type="dxa"/>
            <w:tcBorders>
              <w:top w:val="single" w:color="000000" w:sz="4" w:space="0"/>
              <w:left w:val="single" w:color="000000" w:sz="4" w:space="0"/>
              <w:bottom w:val="single" w:color="000000" w:sz="4" w:space="0"/>
              <w:right w:val="single" w:color="000000" w:sz="4" w:space="0"/>
            </w:tcBorders>
            <w:vAlign w:val="center"/>
          </w:tcPr>
          <w:p w14:paraId="663F89A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专项转移支付分地区分项目编制（1分）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5BC732A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专项转移支付分地区分项目编制（1分）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5E65DC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按规定分地区分项目编制专项转移支付</w:t>
            </w:r>
          </w:p>
        </w:tc>
        <w:tc>
          <w:tcPr>
            <w:tcW w:w="2080" w:type="dxa"/>
            <w:tcBorders>
              <w:top w:val="single" w:color="000000" w:sz="4" w:space="0"/>
              <w:left w:val="single" w:color="000000" w:sz="4" w:space="0"/>
              <w:bottom w:val="single" w:color="000000" w:sz="4" w:space="0"/>
              <w:right w:val="single" w:color="000000" w:sz="4" w:space="0"/>
            </w:tcBorders>
            <w:vAlign w:val="center"/>
          </w:tcPr>
          <w:p w14:paraId="64F05FFB">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未按规定编制的，按比例进行扣分</w:t>
            </w:r>
          </w:p>
        </w:tc>
        <w:tc>
          <w:tcPr>
            <w:tcW w:w="525" w:type="dxa"/>
            <w:tcBorders>
              <w:top w:val="single" w:color="000000" w:sz="4" w:space="0"/>
              <w:left w:val="single" w:color="000000" w:sz="4" w:space="0"/>
              <w:bottom w:val="single" w:color="000000" w:sz="4" w:space="0"/>
              <w:right w:val="single" w:color="000000" w:sz="4" w:space="0"/>
            </w:tcBorders>
            <w:vAlign w:val="center"/>
          </w:tcPr>
          <w:p w14:paraId="218B65B2">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w:t>
            </w:r>
          </w:p>
        </w:tc>
      </w:tr>
      <w:tr w14:paraId="505E7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8" w:hRule="atLeast"/>
        </w:trPr>
        <w:tc>
          <w:tcPr>
            <w:tcW w:w="504" w:type="dxa"/>
            <w:vMerge w:val="restart"/>
            <w:tcBorders>
              <w:top w:val="single" w:color="000000" w:sz="4" w:space="0"/>
              <w:left w:val="single" w:color="000000" w:sz="4" w:space="0"/>
              <w:bottom w:val="single" w:color="000000" w:sz="4" w:space="0"/>
              <w:right w:val="single" w:color="000000" w:sz="4" w:space="0"/>
            </w:tcBorders>
            <w:vAlign w:val="center"/>
          </w:tcPr>
          <w:p w14:paraId="0CB26CCC">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预算执行</w:t>
            </w:r>
            <w:r>
              <w:rPr>
                <w:rFonts w:hint="eastAsia" w:asciiTheme="minorEastAsia" w:hAnsiTheme="minorEastAsia" w:eastAsiaTheme="minorEastAsia" w:cstheme="minorEastAsia"/>
                <w:color w:val="000000"/>
                <w:kern w:val="0"/>
                <w:sz w:val="18"/>
                <w:szCs w:val="18"/>
              </w:rPr>
              <w:br w:type="textWrapping"/>
            </w:r>
            <w:r>
              <w:rPr>
                <w:rFonts w:hint="eastAsia" w:asciiTheme="minorEastAsia" w:hAnsiTheme="minorEastAsia" w:eastAsiaTheme="minorEastAsia" w:cstheme="minorEastAsia"/>
                <w:color w:val="000000"/>
                <w:kern w:val="0"/>
                <w:sz w:val="18"/>
                <w:szCs w:val="18"/>
              </w:rPr>
              <w:t>（2</w:t>
            </w:r>
            <w:r>
              <w:rPr>
                <w:rStyle w:val="35"/>
                <w:rFonts w:hint="eastAsia" w:asciiTheme="minorEastAsia" w:hAnsiTheme="minorEastAsia" w:eastAsiaTheme="minorEastAsia" w:cstheme="minorEastAsia"/>
                <w:sz w:val="18"/>
                <w:szCs w:val="18"/>
              </w:rPr>
              <w:t>0分）</w:t>
            </w: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4F673E6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执行进度（10分）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14A4378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省级财力专项预算分配时限（4分）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0C26112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按规定及时分配省级财力专项预算</w:t>
            </w:r>
          </w:p>
        </w:tc>
        <w:tc>
          <w:tcPr>
            <w:tcW w:w="2080" w:type="dxa"/>
            <w:tcBorders>
              <w:top w:val="single" w:color="000000" w:sz="4" w:space="0"/>
              <w:left w:val="single" w:color="000000" w:sz="4" w:space="0"/>
              <w:bottom w:val="single" w:color="000000" w:sz="4" w:space="0"/>
              <w:right w:val="single" w:color="000000" w:sz="4" w:space="0"/>
            </w:tcBorders>
            <w:vAlign w:val="center"/>
          </w:tcPr>
          <w:p w14:paraId="4DCF875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按《预算法》规定时限完成分配的考核得分，否则不得分</w:t>
            </w:r>
          </w:p>
        </w:tc>
        <w:tc>
          <w:tcPr>
            <w:tcW w:w="525" w:type="dxa"/>
            <w:tcBorders>
              <w:top w:val="single" w:color="000000" w:sz="4" w:space="0"/>
              <w:left w:val="single" w:color="000000" w:sz="4" w:space="0"/>
              <w:bottom w:val="single" w:color="000000" w:sz="4" w:space="0"/>
              <w:right w:val="single" w:color="000000" w:sz="4" w:space="0"/>
            </w:tcBorders>
            <w:vAlign w:val="center"/>
          </w:tcPr>
          <w:p w14:paraId="69361514">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4</w:t>
            </w:r>
          </w:p>
        </w:tc>
      </w:tr>
      <w:tr w14:paraId="31434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07"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4C637087">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67240108">
            <w:pPr>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359067E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中央专款分配合规率（3分）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1E8175A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按《预算法》规定在一个月内分配中央专款</w:t>
            </w:r>
          </w:p>
        </w:tc>
        <w:tc>
          <w:tcPr>
            <w:tcW w:w="2080" w:type="dxa"/>
            <w:tcBorders>
              <w:top w:val="single" w:color="000000" w:sz="4" w:space="0"/>
              <w:left w:val="single" w:color="000000" w:sz="4" w:space="0"/>
              <w:bottom w:val="single" w:color="000000" w:sz="4" w:space="0"/>
              <w:right w:val="single" w:color="000000" w:sz="4" w:space="0"/>
            </w:tcBorders>
            <w:vAlign w:val="center"/>
          </w:tcPr>
          <w:p w14:paraId="6D2E318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w:t>
            </w:r>
            <w:r>
              <w:rPr>
                <w:rStyle w:val="35"/>
                <w:rFonts w:hint="eastAsia" w:asciiTheme="minorEastAsia" w:hAnsiTheme="minorEastAsia" w:eastAsiaTheme="minorEastAsia" w:cstheme="minorEastAsia"/>
                <w:sz w:val="18"/>
                <w:szCs w:val="18"/>
              </w:rPr>
              <w:t>-未按规定时间在一个月内分配的中央专款规模÷中央专款总规模）×指标分值</w:t>
            </w:r>
          </w:p>
        </w:tc>
        <w:tc>
          <w:tcPr>
            <w:tcW w:w="525" w:type="dxa"/>
            <w:tcBorders>
              <w:top w:val="single" w:color="000000" w:sz="4" w:space="0"/>
              <w:left w:val="single" w:color="000000" w:sz="4" w:space="0"/>
              <w:bottom w:val="single" w:color="000000" w:sz="4" w:space="0"/>
              <w:right w:val="single" w:color="000000" w:sz="4" w:space="0"/>
            </w:tcBorders>
            <w:vAlign w:val="center"/>
          </w:tcPr>
          <w:p w14:paraId="16C1EA17">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3</w:t>
            </w:r>
          </w:p>
        </w:tc>
      </w:tr>
      <w:tr w14:paraId="31868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572735EC">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02C5B13A">
            <w:pPr>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09E23B8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部门预算执行进度（3分）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66D400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部门按要求严格预算执行管理</w:t>
            </w:r>
          </w:p>
        </w:tc>
        <w:tc>
          <w:tcPr>
            <w:tcW w:w="2080" w:type="dxa"/>
            <w:tcBorders>
              <w:top w:val="single" w:color="000000" w:sz="4" w:space="0"/>
              <w:left w:val="single" w:color="000000" w:sz="4" w:space="0"/>
              <w:bottom w:val="single" w:color="000000" w:sz="4" w:space="0"/>
              <w:right w:val="single" w:color="000000" w:sz="4" w:space="0"/>
            </w:tcBorders>
            <w:vAlign w:val="center"/>
          </w:tcPr>
          <w:p w14:paraId="36D2F10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部门预算实际列支数÷部门预算总额×指标分值</w:t>
            </w:r>
          </w:p>
        </w:tc>
        <w:tc>
          <w:tcPr>
            <w:tcW w:w="525" w:type="dxa"/>
            <w:tcBorders>
              <w:top w:val="single" w:color="000000" w:sz="4" w:space="0"/>
              <w:left w:val="single" w:color="000000" w:sz="4" w:space="0"/>
              <w:bottom w:val="single" w:color="000000" w:sz="4" w:space="0"/>
              <w:right w:val="single" w:color="000000" w:sz="4" w:space="0"/>
            </w:tcBorders>
            <w:vAlign w:val="center"/>
          </w:tcPr>
          <w:p w14:paraId="2A2C4504">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3</w:t>
            </w:r>
          </w:p>
        </w:tc>
      </w:tr>
      <w:tr w14:paraId="482DF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8"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2EBA024F">
            <w:pPr>
              <w:jc w:val="center"/>
              <w:rPr>
                <w:rFonts w:hint="eastAsia" w:asciiTheme="minorEastAsia" w:hAnsiTheme="minorEastAsia" w:eastAsiaTheme="minorEastAsia" w:cstheme="minorEastAsia"/>
                <w:color w:val="000000"/>
                <w:sz w:val="18"/>
                <w:szCs w:val="18"/>
              </w:rPr>
            </w:pPr>
          </w:p>
        </w:tc>
        <w:tc>
          <w:tcPr>
            <w:tcW w:w="1102" w:type="dxa"/>
            <w:tcBorders>
              <w:top w:val="single" w:color="000000" w:sz="4" w:space="0"/>
              <w:left w:val="single" w:color="000000" w:sz="4" w:space="0"/>
              <w:bottom w:val="single" w:color="000000" w:sz="4" w:space="0"/>
              <w:right w:val="single" w:color="000000" w:sz="4" w:space="0"/>
            </w:tcBorders>
            <w:vAlign w:val="center"/>
          </w:tcPr>
          <w:p w14:paraId="73F1F1EB">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预算调整（4分）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121F172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执行中期评估（4分）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0C045C10">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部门中期评估调整取消资金÷(中期评估调整取消资金+预算结余注销资金×指标分值</w:t>
            </w:r>
          </w:p>
        </w:tc>
        <w:tc>
          <w:tcPr>
            <w:tcW w:w="2080" w:type="dxa"/>
            <w:tcBorders>
              <w:top w:val="single" w:color="000000" w:sz="4" w:space="0"/>
              <w:left w:val="single" w:color="000000" w:sz="4" w:space="0"/>
              <w:bottom w:val="single" w:color="000000" w:sz="4" w:space="0"/>
              <w:right w:val="single" w:color="000000" w:sz="4" w:space="0"/>
            </w:tcBorders>
            <w:vAlign w:val="center"/>
          </w:tcPr>
          <w:p w14:paraId="0346B58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当中期评估调整取消资金与结余注销资金之和为零时，得满分</w:t>
            </w:r>
          </w:p>
        </w:tc>
        <w:tc>
          <w:tcPr>
            <w:tcW w:w="525" w:type="dxa"/>
            <w:tcBorders>
              <w:top w:val="single" w:color="000000" w:sz="4" w:space="0"/>
              <w:left w:val="single" w:color="000000" w:sz="4" w:space="0"/>
              <w:bottom w:val="single" w:color="000000" w:sz="4" w:space="0"/>
              <w:right w:val="single" w:color="000000" w:sz="4" w:space="0"/>
            </w:tcBorders>
            <w:vAlign w:val="center"/>
          </w:tcPr>
          <w:p w14:paraId="13D91205">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4</w:t>
            </w:r>
          </w:p>
        </w:tc>
      </w:tr>
      <w:tr w14:paraId="3845E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2"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6DE9D1DF">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48759F3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行政成本（6分）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775A5AF0">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节能降耗（3分）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05A28905">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严格执行节能降耗</w:t>
            </w:r>
          </w:p>
        </w:tc>
        <w:tc>
          <w:tcPr>
            <w:tcW w:w="2080" w:type="dxa"/>
            <w:tcBorders>
              <w:top w:val="single" w:color="000000" w:sz="4" w:space="0"/>
              <w:left w:val="single" w:color="000000" w:sz="4" w:space="0"/>
              <w:bottom w:val="single" w:color="000000" w:sz="4" w:space="0"/>
              <w:right w:val="single" w:color="000000" w:sz="4" w:space="0"/>
            </w:tcBorders>
            <w:vAlign w:val="center"/>
          </w:tcPr>
          <w:p w14:paraId="083E69B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根据机关事务管理局节能考核换算得分</w:t>
            </w:r>
          </w:p>
        </w:tc>
        <w:tc>
          <w:tcPr>
            <w:tcW w:w="525" w:type="dxa"/>
            <w:tcBorders>
              <w:top w:val="single" w:color="000000" w:sz="4" w:space="0"/>
              <w:left w:val="single" w:color="000000" w:sz="4" w:space="0"/>
              <w:bottom w:val="single" w:color="000000" w:sz="4" w:space="0"/>
              <w:right w:val="single" w:color="000000" w:sz="4" w:space="0"/>
            </w:tcBorders>
            <w:vAlign w:val="center"/>
          </w:tcPr>
          <w:p w14:paraId="0592DAC7">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3</w:t>
            </w:r>
          </w:p>
        </w:tc>
      </w:tr>
      <w:tr w14:paraId="58625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63"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7252A5F4">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77AC0AD2">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4C758F2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“三公”经费（3分）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29F0165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严格执行“三公经费”预算</w:t>
            </w:r>
          </w:p>
        </w:tc>
        <w:tc>
          <w:tcPr>
            <w:tcW w:w="2080" w:type="dxa"/>
            <w:tcBorders>
              <w:top w:val="single" w:color="000000" w:sz="4" w:space="0"/>
              <w:left w:val="single" w:color="000000" w:sz="4" w:space="0"/>
              <w:bottom w:val="single" w:color="000000" w:sz="4" w:space="0"/>
              <w:right w:val="single" w:color="000000" w:sz="4" w:space="0"/>
            </w:tcBorders>
            <w:vAlign w:val="center"/>
          </w:tcPr>
          <w:p w14:paraId="24D7EFA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部门“三公”经费决算数一项超预算扣1分，两项超预算扣</w:t>
            </w:r>
            <w:r>
              <w:rPr>
                <w:rStyle w:val="35"/>
                <w:rFonts w:hint="eastAsia" w:asciiTheme="minorEastAsia" w:hAnsiTheme="minorEastAsia" w:eastAsiaTheme="minorEastAsia" w:cstheme="minorEastAsia"/>
                <w:sz w:val="18"/>
                <w:szCs w:val="18"/>
              </w:rPr>
              <w:t>2分，以此类推，直至扣完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391B40D0">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3</w:t>
            </w:r>
          </w:p>
        </w:tc>
      </w:tr>
      <w:tr w14:paraId="17637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8" w:hRule="atLeast"/>
        </w:trPr>
        <w:tc>
          <w:tcPr>
            <w:tcW w:w="504" w:type="dxa"/>
            <w:vMerge w:val="restart"/>
            <w:tcBorders>
              <w:top w:val="single" w:color="000000" w:sz="4" w:space="0"/>
              <w:left w:val="single" w:color="000000" w:sz="4" w:space="0"/>
              <w:bottom w:val="single" w:color="000000" w:sz="4" w:space="0"/>
              <w:right w:val="single" w:color="000000" w:sz="4" w:space="0"/>
            </w:tcBorders>
            <w:vAlign w:val="center"/>
          </w:tcPr>
          <w:p w14:paraId="75C9C33E">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综合管理（40分）</w:t>
            </w:r>
          </w:p>
        </w:tc>
        <w:tc>
          <w:tcPr>
            <w:tcW w:w="1102" w:type="dxa"/>
            <w:tcBorders>
              <w:left w:val="single" w:color="000000" w:sz="4" w:space="0"/>
              <w:bottom w:val="single" w:color="000000" w:sz="4" w:space="0"/>
              <w:right w:val="single" w:color="000000" w:sz="4" w:space="0"/>
            </w:tcBorders>
            <w:vAlign w:val="center"/>
          </w:tcPr>
          <w:p w14:paraId="6C3E178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债务管理（2分）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76A8931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债务还本付息（2分）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30349030">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按规定做好政府性债务还本付息工作</w:t>
            </w:r>
          </w:p>
        </w:tc>
        <w:tc>
          <w:tcPr>
            <w:tcW w:w="2080" w:type="dxa"/>
            <w:tcBorders>
              <w:top w:val="single" w:color="000000" w:sz="4" w:space="0"/>
              <w:left w:val="single" w:color="000000" w:sz="4" w:space="0"/>
              <w:bottom w:val="single" w:color="000000" w:sz="4" w:space="0"/>
              <w:right w:val="single" w:color="000000" w:sz="4" w:space="0"/>
            </w:tcBorders>
            <w:vAlign w:val="center"/>
          </w:tcPr>
          <w:p w14:paraId="2611065B">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实际还本付息金额÷应付金额×指标分值</w:t>
            </w:r>
          </w:p>
        </w:tc>
        <w:tc>
          <w:tcPr>
            <w:tcW w:w="525" w:type="dxa"/>
            <w:tcBorders>
              <w:top w:val="single" w:color="000000" w:sz="4" w:space="0"/>
              <w:left w:val="single" w:color="000000" w:sz="4" w:space="0"/>
              <w:bottom w:val="single" w:color="000000" w:sz="4" w:space="0"/>
              <w:right w:val="single" w:color="000000" w:sz="4" w:space="0"/>
            </w:tcBorders>
            <w:vAlign w:val="center"/>
          </w:tcPr>
          <w:p w14:paraId="427EF6C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无债务</w:t>
            </w:r>
          </w:p>
        </w:tc>
      </w:tr>
      <w:tr w14:paraId="60AF9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94"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5AA95900">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68FA8C54">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非税收入执收情况（4分）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360CDCB3">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非税收入征收情况（2分）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966BA2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是否按照规定的项目、标准、征收方式执收非税收入、非税收入项目设立的权限和缓减免的依据，对非税收入进行缓减免</w:t>
            </w:r>
          </w:p>
        </w:tc>
        <w:tc>
          <w:tcPr>
            <w:tcW w:w="2080" w:type="dxa"/>
            <w:tcBorders>
              <w:top w:val="single" w:color="000000" w:sz="4" w:space="0"/>
              <w:left w:val="single" w:color="000000" w:sz="4" w:space="0"/>
              <w:bottom w:val="single" w:color="000000" w:sz="4" w:space="0"/>
              <w:right w:val="single" w:color="000000" w:sz="4" w:space="0"/>
            </w:tcBorders>
            <w:vAlign w:val="center"/>
          </w:tcPr>
          <w:p w14:paraId="5ECE989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发现有未按规定的非税收入项目、标准执收非税收入或有违反规定缓减免非税收入的，发现一次扣0.5分，直至扣完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08B03C2A">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无</w:t>
            </w:r>
          </w:p>
        </w:tc>
      </w:tr>
      <w:tr w14:paraId="4CA93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36"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42C140AF">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75AB3F24">
            <w:pPr>
              <w:jc w:val="center"/>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BAFC95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非税收入上缴情况（2分）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2DCE81B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是否及时足额将非税收入缴入财政</w:t>
            </w:r>
          </w:p>
        </w:tc>
        <w:tc>
          <w:tcPr>
            <w:tcW w:w="2080" w:type="dxa"/>
            <w:tcBorders>
              <w:top w:val="single" w:color="000000" w:sz="4" w:space="0"/>
              <w:left w:val="single" w:color="000000" w:sz="4" w:space="0"/>
              <w:bottom w:val="single" w:color="000000" w:sz="4" w:space="0"/>
              <w:right w:val="single" w:color="000000" w:sz="4" w:space="0"/>
            </w:tcBorders>
            <w:vAlign w:val="center"/>
          </w:tcPr>
          <w:p w14:paraId="5CF2810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发现未及时足额将非税收入缴入财政的或则截留、挪用非税收入的，发现一次扣0.5分，直至扣完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0A7AC026">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无</w:t>
            </w:r>
          </w:p>
        </w:tc>
      </w:tr>
      <w:tr w14:paraId="737FF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6B88D2D7">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008093FA">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政府采购实施计划（4分）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0F0DF2B7">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政府采购实施计划编制（2分）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4E8033F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实施计划与政府采购预算的一致性</w:t>
            </w:r>
          </w:p>
        </w:tc>
        <w:tc>
          <w:tcPr>
            <w:tcW w:w="2080" w:type="dxa"/>
            <w:tcBorders>
              <w:top w:val="single" w:color="000000" w:sz="4" w:space="0"/>
              <w:left w:val="single" w:color="000000" w:sz="4" w:space="0"/>
              <w:bottom w:val="single" w:color="000000" w:sz="4" w:space="0"/>
              <w:right w:val="single" w:color="000000" w:sz="4" w:space="0"/>
            </w:tcBorders>
            <w:vAlign w:val="center"/>
          </w:tcPr>
          <w:p w14:paraId="1814810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（1-调整或细化资金/政府采购预算资金）×分值</w:t>
            </w:r>
          </w:p>
        </w:tc>
        <w:tc>
          <w:tcPr>
            <w:tcW w:w="525" w:type="dxa"/>
            <w:tcBorders>
              <w:top w:val="single" w:color="000000" w:sz="4" w:space="0"/>
              <w:left w:val="single" w:color="000000" w:sz="4" w:space="0"/>
              <w:bottom w:val="single" w:color="000000" w:sz="4" w:space="0"/>
              <w:right w:val="single" w:color="000000" w:sz="4" w:space="0"/>
            </w:tcBorders>
            <w:vAlign w:val="center"/>
          </w:tcPr>
          <w:p w14:paraId="1573938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5CA13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78"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7CD7F0AE">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2FA81449">
            <w:pPr>
              <w:jc w:val="center"/>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3C8F09E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政府采购实施计划执行（2分）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49FA0BD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执行的实施计划与备案的实施计划的一致性</w:t>
            </w:r>
          </w:p>
        </w:tc>
        <w:tc>
          <w:tcPr>
            <w:tcW w:w="2080" w:type="dxa"/>
            <w:tcBorders>
              <w:top w:val="single" w:color="000000" w:sz="4" w:space="0"/>
              <w:left w:val="single" w:color="000000" w:sz="4" w:space="0"/>
              <w:bottom w:val="single" w:color="000000" w:sz="4" w:space="0"/>
              <w:right w:val="single" w:color="000000" w:sz="4" w:space="0"/>
            </w:tcBorders>
            <w:vAlign w:val="center"/>
          </w:tcPr>
          <w:p w14:paraId="30BC57E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（1-实施计划本案后的调整或细化资金/实施计划备案后的资金）×分值</w:t>
            </w:r>
          </w:p>
        </w:tc>
        <w:tc>
          <w:tcPr>
            <w:tcW w:w="525" w:type="dxa"/>
            <w:tcBorders>
              <w:top w:val="single" w:color="000000" w:sz="4" w:space="0"/>
              <w:left w:val="single" w:color="000000" w:sz="4" w:space="0"/>
              <w:bottom w:val="single" w:color="000000" w:sz="4" w:space="0"/>
              <w:right w:val="single" w:color="000000" w:sz="4" w:space="0"/>
            </w:tcBorders>
            <w:vAlign w:val="center"/>
          </w:tcPr>
          <w:p w14:paraId="7CE23F0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31B7E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52"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18AB6061">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6859B48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资产管理（6分）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75CCE0B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资产管理信息系统建设情况（2分）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42AE5A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考核部门和单位将国有资产纳入资产信息系统管理情况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7349034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①未将所属单位国有资产纳入系统管理，每少一个单位扣1分。②未将资产变动情况及时录入系统，每次扣0.5分。③未落实人员负责管理系统，扣1分</w:t>
            </w:r>
          </w:p>
        </w:tc>
        <w:tc>
          <w:tcPr>
            <w:tcW w:w="525" w:type="dxa"/>
            <w:tcBorders>
              <w:top w:val="single" w:color="000000" w:sz="4" w:space="0"/>
              <w:left w:val="single" w:color="000000" w:sz="4" w:space="0"/>
              <w:bottom w:val="single" w:color="000000" w:sz="4" w:space="0"/>
              <w:right w:val="single" w:color="000000" w:sz="4" w:space="0"/>
            </w:tcBorders>
            <w:vAlign w:val="center"/>
          </w:tcPr>
          <w:p w14:paraId="706062DA">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0D170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94"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558F15A1">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718A8F44">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619FDC1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行政事业单位资产清查开展情况（2分）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5F61843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考核行政事业单位按要求及时、准确、全面开展资产清查工作情况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09566F4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①未在规定时间内完成资产清查任务，扣1分。②资产清查结果与财政组织复核的结果误差超过10%的，扣1分。③未及时更新资产管理信息系统，导致系统资产数据与上报财政的资产清查结果不一致，扣1分</w:t>
            </w:r>
          </w:p>
        </w:tc>
        <w:tc>
          <w:tcPr>
            <w:tcW w:w="525" w:type="dxa"/>
            <w:tcBorders>
              <w:top w:val="single" w:color="000000" w:sz="4" w:space="0"/>
              <w:left w:val="single" w:color="000000" w:sz="4" w:space="0"/>
              <w:bottom w:val="single" w:color="000000" w:sz="4" w:space="0"/>
              <w:right w:val="single" w:color="000000" w:sz="4" w:space="0"/>
            </w:tcBorders>
            <w:vAlign w:val="center"/>
          </w:tcPr>
          <w:p w14:paraId="1E1C353E">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57DF7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1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485D6D7C">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1AC284CE">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0C1D8B2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行政事业单位资产报表上报情况（2分）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3CEF036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考核行政事业单位上报国有资产报表数据的真实性、准确性、全面性</w:t>
            </w:r>
          </w:p>
        </w:tc>
        <w:tc>
          <w:tcPr>
            <w:tcW w:w="2080" w:type="dxa"/>
            <w:tcBorders>
              <w:top w:val="single" w:color="000000" w:sz="4" w:space="0"/>
              <w:left w:val="single" w:color="000000" w:sz="4" w:space="0"/>
              <w:bottom w:val="single" w:color="000000" w:sz="4" w:space="0"/>
              <w:right w:val="single" w:color="000000" w:sz="4" w:space="0"/>
            </w:tcBorders>
            <w:vAlign w:val="center"/>
          </w:tcPr>
          <w:p w14:paraId="3FEE46A0">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①未落实专人负责资产报表，未及时上报资产报表，扣1分。②报表填报不规范，内容不完整，数据不真实，扣1分。③未提交分析报告，对资产变动情况未作分析说明，扣1分</w:t>
            </w:r>
          </w:p>
        </w:tc>
        <w:tc>
          <w:tcPr>
            <w:tcW w:w="525" w:type="dxa"/>
            <w:tcBorders>
              <w:top w:val="single" w:color="000000" w:sz="4" w:space="0"/>
              <w:left w:val="single" w:color="000000" w:sz="4" w:space="0"/>
              <w:bottom w:val="single" w:color="000000" w:sz="4" w:space="0"/>
              <w:right w:val="single" w:color="000000" w:sz="4" w:space="0"/>
            </w:tcBorders>
            <w:vAlign w:val="center"/>
          </w:tcPr>
          <w:p w14:paraId="0352CBC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638C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1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3366E8A6">
            <w:pPr>
              <w:jc w:val="center"/>
              <w:rPr>
                <w:rFonts w:hint="eastAsia" w:asciiTheme="minorEastAsia" w:hAnsiTheme="minorEastAsia" w:eastAsiaTheme="minorEastAsia" w:cstheme="minorEastAsia"/>
                <w:color w:val="000000"/>
                <w:sz w:val="18"/>
                <w:szCs w:val="18"/>
              </w:rPr>
            </w:pPr>
          </w:p>
        </w:tc>
        <w:tc>
          <w:tcPr>
            <w:tcW w:w="1102" w:type="dxa"/>
            <w:tcBorders>
              <w:left w:val="single" w:color="000000" w:sz="4" w:space="0"/>
              <w:bottom w:val="single" w:color="000000" w:sz="4" w:space="0"/>
              <w:right w:val="single" w:color="000000" w:sz="4" w:space="0"/>
            </w:tcBorders>
            <w:vAlign w:val="center"/>
          </w:tcPr>
          <w:p w14:paraId="6EE2034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内控制度管理（2分）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7A542540">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内部控制制度健全完整（2分）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311F104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考核部门内部控制制度的设置和执行情况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6DF82E8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内部控制制度健全完整并执行良好的得分，否则不得分。在本年度内因内控制度不健全或执行不到位，造成单位出现廉政风险或发生重大责任事故的不得分</w:t>
            </w:r>
          </w:p>
        </w:tc>
        <w:tc>
          <w:tcPr>
            <w:tcW w:w="525" w:type="dxa"/>
            <w:tcBorders>
              <w:top w:val="single" w:color="000000" w:sz="4" w:space="0"/>
              <w:left w:val="single" w:color="000000" w:sz="4" w:space="0"/>
              <w:bottom w:val="single" w:color="000000" w:sz="4" w:space="0"/>
              <w:right w:val="single" w:color="000000" w:sz="4" w:space="0"/>
            </w:tcBorders>
            <w:vAlign w:val="center"/>
          </w:tcPr>
          <w:p w14:paraId="1FDA88DB">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66406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94"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548FE5AA">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6227AEB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信息公开（6分）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75265217">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预算公开（2分）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34A8E8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除涉密信息外，各部门要在财政部门批复后二十日内向社会公开本部门预算（含所有财政资金安排的“三公”经费、机关运行经费的安排、使用情况等）</w:t>
            </w:r>
          </w:p>
        </w:tc>
        <w:tc>
          <w:tcPr>
            <w:tcW w:w="2080" w:type="dxa"/>
            <w:tcBorders>
              <w:top w:val="single" w:color="000000" w:sz="4" w:space="0"/>
              <w:left w:val="single" w:color="000000" w:sz="4" w:space="0"/>
              <w:bottom w:val="single" w:color="000000" w:sz="4" w:space="0"/>
              <w:right w:val="single" w:color="000000" w:sz="4" w:space="0"/>
            </w:tcBorders>
            <w:vAlign w:val="center"/>
          </w:tcPr>
          <w:p w14:paraId="5F1AD2A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按市级财政通知要求公开预算，未按要求公开的，发现一处口0.5分，直至扣完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0AB6B912">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5BBEA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94"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22D905DE">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02CFCE85">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C6400E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决算公开（2分）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3070DA85">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除涉密信息外，各部门要在财政部门批复后二十日内向社会公开本部门决算（含所有财政资金安排的“三公”经费、机关运行经费的安排、使用情况等）</w:t>
            </w:r>
          </w:p>
        </w:tc>
        <w:tc>
          <w:tcPr>
            <w:tcW w:w="2080" w:type="dxa"/>
            <w:tcBorders>
              <w:top w:val="single" w:color="000000" w:sz="4" w:space="0"/>
              <w:left w:val="single" w:color="000000" w:sz="4" w:space="0"/>
              <w:bottom w:val="single" w:color="000000" w:sz="4" w:space="0"/>
              <w:right w:val="single" w:color="000000" w:sz="4" w:space="0"/>
            </w:tcBorders>
            <w:vAlign w:val="center"/>
          </w:tcPr>
          <w:p w14:paraId="0FF93E17">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未按要求公开的，发现一处扣0.5分，直至扣完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2FDEB386">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6467B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032502E6">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6EC0DC2B">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59999F83">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绩效信息公开（2分）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7676AA2B">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按要求公开部门整体支出绩效自评报告及其他按要求应公开的绩效信息</w:t>
            </w:r>
          </w:p>
        </w:tc>
        <w:tc>
          <w:tcPr>
            <w:tcW w:w="2080" w:type="dxa"/>
            <w:tcBorders>
              <w:top w:val="single" w:color="000000" w:sz="4" w:space="0"/>
              <w:left w:val="single" w:color="000000" w:sz="4" w:space="0"/>
              <w:bottom w:val="single" w:color="000000" w:sz="4" w:space="0"/>
              <w:right w:val="single" w:color="000000" w:sz="4" w:space="0"/>
            </w:tcBorders>
            <w:vAlign w:val="center"/>
          </w:tcPr>
          <w:p w14:paraId="080F0A6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未按要求公开的，发现一处扣0.5分，直至扣完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380FB493">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71E3A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15"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30B1345B">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31BCC52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绩效评价（10分）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2D41245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评价项目覆盖率（2分）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269AA7E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部门实施绩效评价项目数量占部门申报绩效目标项目数量的比重，用以反映和考核部门实施绩效评价项目资金覆盖情况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0B9EE30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评价覆盖率=实施绩效评价项目数量/申报绩效目标数量×100%</w:t>
            </w:r>
          </w:p>
        </w:tc>
        <w:tc>
          <w:tcPr>
            <w:tcW w:w="525" w:type="dxa"/>
            <w:tcBorders>
              <w:top w:val="single" w:color="000000" w:sz="4" w:space="0"/>
              <w:left w:val="single" w:color="000000" w:sz="4" w:space="0"/>
              <w:bottom w:val="single" w:color="000000" w:sz="4" w:space="0"/>
              <w:right w:val="single" w:color="000000" w:sz="4" w:space="0"/>
            </w:tcBorders>
            <w:vAlign w:val="center"/>
          </w:tcPr>
          <w:p w14:paraId="29DABAEE">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6D458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3"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648D9743">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772509D5">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09F4CD5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评价层次（2分）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2C17F783">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部门（单位）是否对下级预算单位开展整体绩效评价</w:t>
            </w:r>
          </w:p>
        </w:tc>
        <w:tc>
          <w:tcPr>
            <w:tcW w:w="2080" w:type="dxa"/>
            <w:tcBorders>
              <w:top w:val="single" w:color="000000" w:sz="4" w:space="0"/>
              <w:left w:val="single" w:color="000000" w:sz="4" w:space="0"/>
              <w:bottom w:val="single" w:color="000000" w:sz="4" w:space="0"/>
              <w:right w:val="single" w:color="000000" w:sz="4" w:space="0"/>
            </w:tcBorders>
            <w:vAlign w:val="center"/>
          </w:tcPr>
          <w:p w14:paraId="0AB4C87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实施评价下级预算单位的得分，否则不得分</w:t>
            </w:r>
          </w:p>
        </w:tc>
        <w:tc>
          <w:tcPr>
            <w:tcW w:w="525" w:type="dxa"/>
            <w:tcBorders>
              <w:top w:val="single" w:color="000000" w:sz="4" w:space="0"/>
              <w:left w:val="single" w:color="000000" w:sz="4" w:space="0"/>
              <w:bottom w:val="single" w:color="000000" w:sz="4" w:space="0"/>
              <w:right w:val="single" w:color="000000" w:sz="4" w:space="0"/>
            </w:tcBorders>
            <w:vAlign w:val="center"/>
          </w:tcPr>
          <w:p w14:paraId="5D29C66E">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2B0BF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6"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77365C73">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09DC9BC6">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7A7DAF0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评价结果报告（2分）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CC9A3BA">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部门是否按要求向财政部门报告自评报告等相关绩效信息</w:t>
            </w:r>
          </w:p>
        </w:tc>
        <w:tc>
          <w:tcPr>
            <w:tcW w:w="2080" w:type="dxa"/>
            <w:tcBorders>
              <w:top w:val="single" w:color="000000" w:sz="4" w:space="0"/>
              <w:left w:val="single" w:color="000000" w:sz="4" w:space="0"/>
              <w:bottom w:val="single" w:color="000000" w:sz="4" w:space="0"/>
              <w:right w:val="single" w:color="000000" w:sz="4" w:space="0"/>
            </w:tcBorders>
            <w:vAlign w:val="center"/>
          </w:tcPr>
          <w:p w14:paraId="4515868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未按要求报送的，发现一处扣0.5分，直至扣完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7F8F0D60">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47881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39"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7DC2B954">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2BDFF3B6">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9345BE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整改完成率（4分）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D926B0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部门是否按要求针对绩效评价发现问题制定整改措施，并整改落实到位</w:t>
            </w:r>
          </w:p>
        </w:tc>
        <w:tc>
          <w:tcPr>
            <w:tcW w:w="2080" w:type="dxa"/>
            <w:tcBorders>
              <w:top w:val="single" w:color="000000" w:sz="4" w:space="0"/>
              <w:left w:val="single" w:color="000000" w:sz="4" w:space="0"/>
              <w:bottom w:val="single" w:color="000000" w:sz="4" w:space="0"/>
              <w:right w:val="single" w:color="000000" w:sz="4" w:space="0"/>
            </w:tcBorders>
            <w:vAlign w:val="center"/>
          </w:tcPr>
          <w:p w14:paraId="3E0A2541">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完成率=应制定整改措施的项目数量/部门实际制定整改措施项目数量×100%</w:t>
            </w:r>
          </w:p>
        </w:tc>
        <w:tc>
          <w:tcPr>
            <w:tcW w:w="525" w:type="dxa"/>
            <w:tcBorders>
              <w:top w:val="single" w:color="000000" w:sz="4" w:space="0"/>
              <w:left w:val="single" w:color="000000" w:sz="4" w:space="0"/>
              <w:bottom w:val="single" w:color="000000" w:sz="4" w:space="0"/>
              <w:right w:val="single" w:color="000000" w:sz="4" w:space="0"/>
            </w:tcBorders>
            <w:vAlign w:val="center"/>
          </w:tcPr>
          <w:p w14:paraId="09F047DC">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4</w:t>
            </w:r>
          </w:p>
        </w:tc>
      </w:tr>
      <w:tr w14:paraId="421B3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07"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37D8DA5C">
            <w:pPr>
              <w:jc w:val="center"/>
              <w:rPr>
                <w:rFonts w:hint="eastAsia" w:asciiTheme="minorEastAsia" w:hAnsiTheme="minorEastAsia" w:eastAsiaTheme="minorEastAsia" w:cstheme="minorEastAsia"/>
                <w:color w:val="000000"/>
                <w:sz w:val="18"/>
                <w:szCs w:val="18"/>
              </w:rPr>
            </w:pP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347ECB0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依法接受财政监督（6分）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24CBFA83">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是否按要求开展自查自纠（2分）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1E5E330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根据相关自查自纠报告、报表报送时效和质量进行考核</w:t>
            </w:r>
          </w:p>
        </w:tc>
        <w:tc>
          <w:tcPr>
            <w:tcW w:w="2080" w:type="dxa"/>
            <w:tcBorders>
              <w:top w:val="single" w:color="000000" w:sz="4" w:space="0"/>
              <w:left w:val="single" w:color="000000" w:sz="4" w:space="0"/>
              <w:bottom w:val="single" w:color="000000" w:sz="4" w:space="0"/>
              <w:right w:val="single" w:color="000000" w:sz="4" w:space="0"/>
            </w:tcBorders>
            <w:vAlign w:val="center"/>
          </w:tcPr>
          <w:p w14:paraId="36E1123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未在规定时间内报送自查自纠相关材料（包括：纸质和电子版）的，扣0.5分；报告内容不完整，扣1分；报表质量差（如：数据、逻辑、勾稽关系错误）等扣0.5分；直至扣完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35BE49D2">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2989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7"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155AA9A6">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155661C8">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6FA14110">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重点检查发现违规违纪问题（2分）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1F4047B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根据检查组提供的工作底稿、检查报告等资料进行考核</w:t>
            </w:r>
          </w:p>
        </w:tc>
        <w:tc>
          <w:tcPr>
            <w:tcW w:w="2080" w:type="dxa"/>
            <w:tcBorders>
              <w:top w:val="single" w:color="000000" w:sz="4" w:space="0"/>
              <w:left w:val="single" w:color="000000" w:sz="4" w:space="0"/>
              <w:bottom w:val="single" w:color="000000" w:sz="4" w:space="0"/>
              <w:right w:val="single" w:color="000000" w:sz="4" w:space="0"/>
            </w:tcBorders>
            <w:vAlign w:val="center"/>
          </w:tcPr>
          <w:p w14:paraId="35419624">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专项检查发现的违纪违规问题，每个问题扣0.5分，直至扣完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7B40E6BD">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29A5A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8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7B36A235">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55320C4E">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5DA4B8F">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存在问题整改是否到位（2分）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6E2B22B3">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根据相关整改报告、凭证依据等相关证明材料进行考核</w:t>
            </w:r>
          </w:p>
        </w:tc>
        <w:tc>
          <w:tcPr>
            <w:tcW w:w="2080" w:type="dxa"/>
            <w:tcBorders>
              <w:top w:val="single" w:color="000000" w:sz="4" w:space="0"/>
              <w:left w:val="single" w:color="000000" w:sz="4" w:space="0"/>
              <w:bottom w:val="single" w:color="000000" w:sz="4" w:space="0"/>
              <w:right w:val="single" w:color="000000" w:sz="4" w:space="0"/>
            </w:tcBorders>
            <w:vAlign w:val="center"/>
          </w:tcPr>
          <w:p w14:paraId="7FDC106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未在规定时间内完成整改，并提供相关证明材料的，每个问题扣0.5分，直至扣完</w:t>
            </w:r>
          </w:p>
        </w:tc>
        <w:tc>
          <w:tcPr>
            <w:tcW w:w="525" w:type="dxa"/>
            <w:tcBorders>
              <w:top w:val="single" w:color="000000" w:sz="4" w:space="0"/>
              <w:left w:val="single" w:color="000000" w:sz="4" w:space="0"/>
              <w:bottom w:val="single" w:color="000000" w:sz="4" w:space="0"/>
              <w:right w:val="single" w:color="000000" w:sz="4" w:space="0"/>
            </w:tcBorders>
            <w:vAlign w:val="center"/>
          </w:tcPr>
          <w:p w14:paraId="71C34553">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2</w:t>
            </w:r>
          </w:p>
        </w:tc>
      </w:tr>
      <w:tr w14:paraId="22BF8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6" w:hRule="atLeast"/>
        </w:trPr>
        <w:tc>
          <w:tcPr>
            <w:tcW w:w="504" w:type="dxa"/>
            <w:vMerge w:val="restart"/>
            <w:tcBorders>
              <w:top w:val="single" w:color="000000" w:sz="4" w:space="0"/>
              <w:left w:val="single" w:color="000000" w:sz="4" w:space="0"/>
              <w:bottom w:val="single" w:color="000000" w:sz="4" w:space="0"/>
              <w:right w:val="single" w:color="000000" w:sz="4" w:space="0"/>
            </w:tcBorders>
            <w:vAlign w:val="center"/>
          </w:tcPr>
          <w:p w14:paraId="1F2A0582">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整体效益（30分）</w:t>
            </w:r>
          </w:p>
        </w:tc>
        <w:tc>
          <w:tcPr>
            <w:tcW w:w="1102" w:type="dxa"/>
            <w:vMerge w:val="restart"/>
            <w:tcBorders>
              <w:top w:val="single" w:color="000000" w:sz="4" w:space="0"/>
              <w:left w:val="single" w:color="000000" w:sz="4" w:space="0"/>
              <w:bottom w:val="single" w:color="000000" w:sz="4" w:space="0"/>
              <w:right w:val="single" w:color="000000" w:sz="4" w:space="0"/>
            </w:tcBorders>
            <w:vAlign w:val="center"/>
          </w:tcPr>
          <w:p w14:paraId="7D41F4C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部门整体绩效（30分）</w:t>
            </w:r>
          </w:p>
        </w:tc>
        <w:tc>
          <w:tcPr>
            <w:tcW w:w="1424" w:type="dxa"/>
            <w:tcBorders>
              <w:top w:val="single" w:color="000000" w:sz="4" w:space="0"/>
              <w:left w:val="single" w:color="000000" w:sz="4" w:space="0"/>
              <w:bottom w:val="single" w:color="000000" w:sz="4" w:space="0"/>
              <w:right w:val="single" w:color="000000" w:sz="4" w:space="0"/>
            </w:tcBorders>
            <w:vAlign w:val="center"/>
          </w:tcPr>
          <w:p w14:paraId="517D37AC">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部门职责履行结果（10分）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7EF4A48E">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履行法定职责，完成市委、市政府决策部署和重大工作任务完成情况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4AD4B6F6">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根据市政府部门绩效评估结果换算</w:t>
            </w:r>
          </w:p>
        </w:tc>
        <w:tc>
          <w:tcPr>
            <w:tcW w:w="525" w:type="dxa"/>
            <w:tcBorders>
              <w:top w:val="single" w:color="000000" w:sz="4" w:space="0"/>
              <w:left w:val="single" w:color="000000" w:sz="4" w:space="0"/>
              <w:bottom w:val="single" w:color="000000" w:sz="4" w:space="0"/>
              <w:right w:val="single" w:color="000000" w:sz="4" w:space="0"/>
            </w:tcBorders>
            <w:vAlign w:val="center"/>
          </w:tcPr>
          <w:p w14:paraId="694C6E45">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10</w:t>
            </w:r>
          </w:p>
        </w:tc>
      </w:tr>
      <w:tr w14:paraId="45274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5904304C">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1DCEB584">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C4AF839">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重点项目绩效评价结果（10分）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31CE0B53">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部门实施重大项目的经济、社会效益</w:t>
            </w:r>
          </w:p>
        </w:tc>
        <w:tc>
          <w:tcPr>
            <w:tcW w:w="2080" w:type="dxa"/>
            <w:tcBorders>
              <w:top w:val="single" w:color="000000" w:sz="4" w:space="0"/>
              <w:left w:val="single" w:color="000000" w:sz="4" w:space="0"/>
              <w:bottom w:val="single" w:color="000000" w:sz="4" w:space="0"/>
              <w:right w:val="single" w:color="000000" w:sz="4" w:space="0"/>
            </w:tcBorders>
            <w:vAlign w:val="center"/>
          </w:tcPr>
          <w:p w14:paraId="30658B8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根据市级财政部门组织实施项目绩效评价结果换算</w:t>
            </w:r>
          </w:p>
        </w:tc>
        <w:tc>
          <w:tcPr>
            <w:tcW w:w="525" w:type="dxa"/>
            <w:tcBorders>
              <w:top w:val="single" w:color="000000" w:sz="4" w:space="0"/>
              <w:left w:val="single" w:color="000000" w:sz="4" w:space="0"/>
              <w:bottom w:val="single" w:color="000000" w:sz="4" w:space="0"/>
              <w:right w:val="single" w:color="000000" w:sz="4" w:space="0"/>
            </w:tcBorders>
            <w:vAlign w:val="center"/>
          </w:tcPr>
          <w:p w14:paraId="28CC5DB1">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10</w:t>
            </w:r>
          </w:p>
        </w:tc>
      </w:tr>
      <w:tr w14:paraId="5842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3"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14:paraId="42DFF5E0">
            <w:pPr>
              <w:jc w:val="center"/>
              <w:rPr>
                <w:rFonts w:hint="eastAsia" w:asciiTheme="minorEastAsia" w:hAnsiTheme="minorEastAsia" w:eastAsiaTheme="minorEastAsia" w:cstheme="minorEastAsia"/>
                <w:color w:val="000000"/>
                <w:sz w:val="18"/>
                <w:szCs w:val="18"/>
              </w:rPr>
            </w:pPr>
          </w:p>
        </w:tc>
        <w:tc>
          <w:tcPr>
            <w:tcW w:w="1102" w:type="dxa"/>
            <w:vMerge w:val="continue"/>
            <w:tcBorders>
              <w:top w:val="single" w:color="000000" w:sz="4" w:space="0"/>
              <w:left w:val="single" w:color="000000" w:sz="4" w:space="0"/>
              <w:bottom w:val="single" w:color="000000" w:sz="4" w:space="0"/>
              <w:right w:val="single" w:color="000000" w:sz="4" w:space="0"/>
            </w:tcBorders>
            <w:vAlign w:val="center"/>
          </w:tcPr>
          <w:p w14:paraId="6F6365FE">
            <w:pPr>
              <w:jc w:val="left"/>
              <w:rPr>
                <w:rFonts w:hint="eastAsia" w:asciiTheme="minorEastAsia" w:hAnsiTheme="minorEastAsia" w:eastAsiaTheme="minorEastAsia" w:cstheme="minorEastAsia"/>
                <w:color w:val="000000"/>
                <w:sz w:val="18"/>
                <w:szCs w:val="18"/>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0CEAA37D">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服务对象满意度（10分）</w:t>
            </w:r>
          </w:p>
        </w:tc>
        <w:tc>
          <w:tcPr>
            <w:tcW w:w="2665" w:type="dxa"/>
            <w:tcBorders>
              <w:top w:val="single" w:color="000000" w:sz="4" w:space="0"/>
              <w:left w:val="single" w:color="000000" w:sz="4" w:space="0"/>
              <w:bottom w:val="single" w:color="000000" w:sz="4" w:space="0"/>
              <w:right w:val="single" w:color="000000" w:sz="4" w:space="0"/>
            </w:tcBorders>
            <w:vAlign w:val="center"/>
          </w:tcPr>
          <w:p w14:paraId="7B73D362">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密切联系群众、服务群众情况，办理人大代表建议、政协提案情况，妥善处理群众来信来访、化解社会矛盾情况，加强政风行风建设、解决损害群众利益情况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43F83678">
            <w:pPr>
              <w:widowControl/>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根据市政府部门绩效评估结果换算</w:t>
            </w:r>
          </w:p>
        </w:tc>
        <w:tc>
          <w:tcPr>
            <w:tcW w:w="525" w:type="dxa"/>
            <w:tcBorders>
              <w:top w:val="single" w:color="000000" w:sz="4" w:space="0"/>
              <w:left w:val="single" w:color="000000" w:sz="4" w:space="0"/>
              <w:bottom w:val="single" w:color="000000" w:sz="4" w:space="0"/>
              <w:right w:val="single" w:color="000000" w:sz="4" w:space="0"/>
            </w:tcBorders>
            <w:vAlign w:val="center"/>
          </w:tcPr>
          <w:p w14:paraId="0808AE4A">
            <w:pPr>
              <w:widowControl/>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10</w:t>
            </w:r>
          </w:p>
        </w:tc>
      </w:tr>
    </w:tbl>
    <w:p w14:paraId="61EEE95B">
      <w:pPr>
        <w:spacing w:line="600" w:lineRule="exact"/>
        <w:jc w:val="center"/>
        <w:outlineLvl w:val="0"/>
        <w:rPr>
          <w:rStyle w:val="25"/>
          <w:rFonts w:hint="eastAsia" w:ascii="黑体" w:hAnsi="黑体" w:eastAsia="黑体" w:cs="黑体"/>
          <w:b w:val="0"/>
          <w:sz w:val="44"/>
          <w:szCs w:val="44"/>
        </w:rPr>
      </w:pPr>
      <w:bookmarkStart w:id="58" w:name="_Toc15396618"/>
      <w:r>
        <w:rPr>
          <w:rFonts w:hint="eastAsia" w:ascii="黑体" w:hAnsi="黑体" w:eastAsia="黑体" w:cs="黑体"/>
          <w:color w:val="000000"/>
          <w:sz w:val="44"/>
          <w:szCs w:val="44"/>
        </w:rPr>
        <w:t>第</w:t>
      </w:r>
      <w:r>
        <w:rPr>
          <w:rStyle w:val="25"/>
          <w:rFonts w:hint="eastAsia" w:ascii="黑体" w:hAnsi="黑体" w:eastAsia="黑体" w:cs="黑体"/>
          <w:b w:val="0"/>
          <w:sz w:val="44"/>
          <w:szCs w:val="44"/>
        </w:rPr>
        <w:t>五部分 附表</w:t>
      </w:r>
      <w:bookmarkEnd w:id="57"/>
      <w:bookmarkEnd w:id="58"/>
    </w:p>
    <w:p w14:paraId="784373B2">
      <w:pPr>
        <w:spacing w:line="600" w:lineRule="exact"/>
        <w:jc w:val="center"/>
        <w:outlineLvl w:val="0"/>
        <w:rPr>
          <w:rFonts w:hint="eastAsia" w:ascii="仿宋_GB2312" w:hAnsi="仿宋_GB2312" w:eastAsia="仿宋_GB2312" w:cs="仿宋_GB2312"/>
          <w:b/>
          <w:color w:val="000000"/>
          <w:sz w:val="32"/>
          <w:szCs w:val="32"/>
        </w:rPr>
      </w:pPr>
    </w:p>
    <w:p w14:paraId="0A4441DA">
      <w:pPr>
        <w:pStyle w:val="3"/>
        <w:rPr>
          <w:rFonts w:hint="eastAsia" w:ascii="仿宋_GB2312" w:hAnsi="仿宋_GB2312" w:eastAsia="仿宋_GB2312" w:cs="仿宋_GB2312"/>
          <w:color w:val="000000"/>
          <w:sz w:val="32"/>
          <w:szCs w:val="32"/>
        </w:rPr>
      </w:pPr>
      <w:bookmarkStart w:id="59" w:name="_Toc15396619"/>
      <w:r>
        <w:rPr>
          <w:rFonts w:hint="eastAsia" w:ascii="仿宋_GB2312" w:hAnsi="仿宋_GB2312" w:eastAsia="仿宋_GB2312" w:cs="仿宋_GB2312"/>
          <w:b w:val="0"/>
          <w:color w:val="000000"/>
          <w:sz w:val="32"/>
          <w:szCs w:val="32"/>
        </w:rPr>
        <w:t>一、收</w:t>
      </w:r>
      <w:r>
        <w:rPr>
          <w:rStyle w:val="26"/>
          <w:rFonts w:hint="eastAsia" w:ascii="仿宋_GB2312" w:hAnsi="仿宋_GB2312" w:eastAsia="仿宋_GB2312" w:cs="仿宋_GB2312"/>
          <w:b w:val="0"/>
          <w:bCs w:val="0"/>
          <w:sz w:val="32"/>
          <w:szCs w:val="32"/>
        </w:rPr>
        <w:t>入支出决算总表</w:t>
      </w:r>
      <w:bookmarkEnd w:id="59"/>
    </w:p>
    <w:p w14:paraId="1D14A071">
      <w:pPr>
        <w:pStyle w:val="3"/>
        <w:rPr>
          <w:rFonts w:hint="eastAsia" w:ascii="仿宋_GB2312" w:hAnsi="仿宋_GB2312" w:eastAsia="仿宋_GB2312" w:cs="仿宋_GB2312"/>
          <w:color w:val="000000"/>
          <w:sz w:val="32"/>
          <w:szCs w:val="32"/>
        </w:rPr>
      </w:pPr>
      <w:bookmarkStart w:id="60" w:name="_Toc15396620"/>
      <w:r>
        <w:rPr>
          <w:rFonts w:hint="eastAsia" w:ascii="仿宋_GB2312" w:hAnsi="仿宋_GB2312" w:eastAsia="仿宋_GB2312" w:cs="仿宋_GB2312"/>
          <w:b w:val="0"/>
          <w:color w:val="000000"/>
          <w:sz w:val="32"/>
          <w:szCs w:val="32"/>
        </w:rPr>
        <w:t>二、收</w:t>
      </w:r>
      <w:r>
        <w:rPr>
          <w:rStyle w:val="26"/>
          <w:rFonts w:hint="eastAsia" w:ascii="仿宋_GB2312" w:hAnsi="仿宋_GB2312" w:eastAsia="仿宋_GB2312" w:cs="仿宋_GB2312"/>
          <w:b w:val="0"/>
          <w:bCs w:val="0"/>
          <w:sz w:val="32"/>
          <w:szCs w:val="32"/>
        </w:rPr>
        <w:t>入决算表</w:t>
      </w:r>
      <w:bookmarkEnd w:id="60"/>
    </w:p>
    <w:p w14:paraId="288DA665">
      <w:pPr>
        <w:pStyle w:val="3"/>
        <w:rPr>
          <w:rFonts w:hint="eastAsia" w:ascii="仿宋_GB2312" w:hAnsi="仿宋_GB2312" w:eastAsia="仿宋_GB2312" w:cs="仿宋_GB2312"/>
          <w:color w:val="000000"/>
          <w:sz w:val="32"/>
          <w:szCs w:val="32"/>
        </w:rPr>
      </w:pPr>
      <w:bookmarkStart w:id="61" w:name="_Toc15396621"/>
      <w:r>
        <w:rPr>
          <w:rStyle w:val="26"/>
          <w:rFonts w:hint="eastAsia" w:ascii="仿宋_GB2312" w:hAnsi="仿宋_GB2312" w:eastAsia="仿宋_GB2312" w:cs="仿宋_GB2312"/>
          <w:b w:val="0"/>
          <w:bCs w:val="0"/>
          <w:sz w:val="32"/>
          <w:szCs w:val="32"/>
        </w:rPr>
        <w:t>三、</w:t>
      </w:r>
      <w:r>
        <w:rPr>
          <w:rFonts w:hint="eastAsia" w:ascii="仿宋_GB2312" w:hAnsi="仿宋_GB2312" w:eastAsia="仿宋_GB2312" w:cs="仿宋_GB2312"/>
          <w:b w:val="0"/>
          <w:color w:val="000000"/>
          <w:sz w:val="32"/>
          <w:szCs w:val="32"/>
        </w:rPr>
        <w:t>支</w:t>
      </w:r>
      <w:r>
        <w:rPr>
          <w:rStyle w:val="26"/>
          <w:rFonts w:hint="eastAsia" w:ascii="仿宋_GB2312" w:hAnsi="仿宋_GB2312" w:eastAsia="仿宋_GB2312" w:cs="仿宋_GB2312"/>
          <w:b w:val="0"/>
          <w:bCs w:val="0"/>
          <w:sz w:val="32"/>
          <w:szCs w:val="32"/>
        </w:rPr>
        <w:t>出决算表</w:t>
      </w:r>
      <w:bookmarkEnd w:id="61"/>
    </w:p>
    <w:p w14:paraId="5631C485">
      <w:pPr>
        <w:pStyle w:val="3"/>
        <w:rPr>
          <w:rFonts w:hint="eastAsia" w:ascii="仿宋_GB2312" w:hAnsi="仿宋_GB2312" w:eastAsia="仿宋_GB2312" w:cs="仿宋_GB2312"/>
          <w:b w:val="0"/>
          <w:color w:val="000000"/>
          <w:sz w:val="32"/>
          <w:szCs w:val="32"/>
        </w:rPr>
      </w:pPr>
      <w:bookmarkStart w:id="62" w:name="_Toc15396622"/>
      <w:r>
        <w:rPr>
          <w:rStyle w:val="26"/>
          <w:rFonts w:hint="eastAsia" w:ascii="仿宋_GB2312" w:hAnsi="仿宋_GB2312" w:eastAsia="仿宋_GB2312" w:cs="仿宋_GB2312"/>
          <w:b w:val="0"/>
          <w:bCs w:val="0"/>
          <w:sz w:val="32"/>
          <w:szCs w:val="32"/>
        </w:rPr>
        <w:t>四、</w:t>
      </w:r>
      <w:r>
        <w:rPr>
          <w:rFonts w:hint="eastAsia" w:ascii="仿宋_GB2312" w:hAnsi="仿宋_GB2312" w:eastAsia="仿宋_GB2312" w:cs="仿宋_GB2312"/>
          <w:b w:val="0"/>
          <w:color w:val="000000"/>
          <w:sz w:val="32"/>
          <w:szCs w:val="32"/>
        </w:rPr>
        <w:t>财</w:t>
      </w:r>
      <w:r>
        <w:rPr>
          <w:rStyle w:val="26"/>
          <w:rFonts w:hint="eastAsia" w:ascii="仿宋_GB2312" w:hAnsi="仿宋_GB2312" w:eastAsia="仿宋_GB2312" w:cs="仿宋_GB2312"/>
          <w:b w:val="0"/>
          <w:bCs w:val="0"/>
          <w:sz w:val="32"/>
          <w:szCs w:val="32"/>
        </w:rPr>
        <w:t>政拨款收入支出决算总表</w:t>
      </w:r>
      <w:bookmarkEnd w:id="62"/>
    </w:p>
    <w:p w14:paraId="6CBB9C86">
      <w:pPr>
        <w:pStyle w:val="3"/>
        <w:rPr>
          <w:rStyle w:val="26"/>
          <w:rFonts w:hint="eastAsia" w:ascii="仿宋_GB2312" w:hAnsi="仿宋_GB2312" w:eastAsia="仿宋_GB2312" w:cs="仿宋_GB2312"/>
          <w:b w:val="0"/>
          <w:bCs w:val="0"/>
          <w:sz w:val="32"/>
          <w:szCs w:val="32"/>
        </w:rPr>
      </w:pPr>
      <w:bookmarkStart w:id="63" w:name="_Toc15396623"/>
      <w:r>
        <w:rPr>
          <w:rStyle w:val="26"/>
          <w:rFonts w:hint="eastAsia" w:ascii="仿宋_GB2312" w:hAnsi="仿宋_GB2312" w:eastAsia="仿宋_GB2312" w:cs="仿宋_GB2312"/>
          <w:b w:val="0"/>
          <w:bCs w:val="0"/>
          <w:sz w:val="32"/>
          <w:szCs w:val="32"/>
        </w:rPr>
        <w:t>五、</w:t>
      </w:r>
      <w:r>
        <w:rPr>
          <w:rFonts w:hint="eastAsia" w:ascii="仿宋_GB2312" w:hAnsi="仿宋_GB2312" w:eastAsia="仿宋_GB2312" w:cs="仿宋_GB2312"/>
          <w:b w:val="0"/>
          <w:color w:val="000000"/>
          <w:sz w:val="32"/>
          <w:szCs w:val="32"/>
        </w:rPr>
        <w:t>财</w:t>
      </w:r>
      <w:r>
        <w:rPr>
          <w:rStyle w:val="26"/>
          <w:rFonts w:hint="eastAsia" w:ascii="仿宋_GB2312" w:hAnsi="仿宋_GB2312" w:eastAsia="仿宋_GB2312" w:cs="仿宋_GB2312"/>
          <w:b w:val="0"/>
          <w:bCs w:val="0"/>
          <w:sz w:val="32"/>
          <w:szCs w:val="32"/>
        </w:rPr>
        <w:t>政拨款支出决算明细表</w:t>
      </w:r>
      <w:bookmarkEnd w:id="63"/>
      <w:bookmarkStart w:id="64" w:name="_Toc15396624"/>
    </w:p>
    <w:p w14:paraId="58F202CD">
      <w:pPr>
        <w:pStyle w:val="3"/>
        <w:rPr>
          <w:rFonts w:hint="eastAsia" w:ascii="仿宋_GB2312" w:hAnsi="仿宋_GB2312" w:eastAsia="仿宋_GB2312" w:cs="仿宋_GB2312"/>
          <w:color w:val="000000"/>
          <w:sz w:val="32"/>
          <w:szCs w:val="32"/>
        </w:rPr>
      </w:pPr>
      <w:r>
        <w:rPr>
          <w:rStyle w:val="26"/>
          <w:rFonts w:hint="eastAsia" w:ascii="仿宋_GB2312" w:hAnsi="仿宋_GB2312" w:eastAsia="仿宋_GB2312" w:cs="仿宋_GB2312"/>
          <w:b w:val="0"/>
          <w:bCs w:val="0"/>
          <w:sz w:val="32"/>
          <w:szCs w:val="32"/>
        </w:rPr>
        <w:t>六、</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般公共预算财政拨款支出决算表</w:t>
      </w:r>
      <w:bookmarkEnd w:id="64"/>
    </w:p>
    <w:p w14:paraId="4B2BA23A">
      <w:pPr>
        <w:pStyle w:val="3"/>
        <w:rPr>
          <w:rFonts w:hint="eastAsia" w:ascii="仿宋_GB2312" w:hAnsi="仿宋_GB2312" w:eastAsia="仿宋_GB2312" w:cs="仿宋_GB2312"/>
          <w:color w:val="000000"/>
          <w:sz w:val="32"/>
          <w:szCs w:val="32"/>
        </w:rPr>
      </w:pPr>
      <w:bookmarkStart w:id="65" w:name="_Toc15396625"/>
      <w:r>
        <w:rPr>
          <w:rStyle w:val="26"/>
          <w:rFonts w:hint="eastAsia" w:ascii="仿宋_GB2312" w:hAnsi="仿宋_GB2312" w:eastAsia="仿宋_GB2312" w:cs="仿宋_GB2312"/>
          <w:b w:val="0"/>
          <w:bCs w:val="0"/>
          <w:sz w:val="32"/>
          <w:szCs w:val="32"/>
        </w:rPr>
        <w:t>七、</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般公共预算财政拨款支出决算明细表</w:t>
      </w:r>
      <w:bookmarkEnd w:id="65"/>
    </w:p>
    <w:p w14:paraId="285BFE50">
      <w:pPr>
        <w:pStyle w:val="3"/>
        <w:rPr>
          <w:rFonts w:hint="eastAsia" w:ascii="仿宋_GB2312" w:hAnsi="仿宋_GB2312" w:eastAsia="仿宋_GB2312" w:cs="仿宋_GB2312"/>
          <w:color w:val="000000"/>
          <w:sz w:val="32"/>
          <w:szCs w:val="32"/>
        </w:rPr>
      </w:pPr>
      <w:bookmarkStart w:id="66" w:name="_Toc15396626"/>
      <w:r>
        <w:rPr>
          <w:rStyle w:val="26"/>
          <w:rFonts w:hint="eastAsia" w:ascii="仿宋_GB2312" w:hAnsi="仿宋_GB2312" w:eastAsia="仿宋_GB2312" w:cs="仿宋_GB2312"/>
          <w:b w:val="0"/>
          <w:bCs w:val="0"/>
          <w:sz w:val="32"/>
          <w:szCs w:val="32"/>
        </w:rPr>
        <w:t>八、</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般公共预算财政拨款基本支出决算表</w:t>
      </w:r>
      <w:bookmarkEnd w:id="66"/>
    </w:p>
    <w:p w14:paraId="626240EC">
      <w:pPr>
        <w:pStyle w:val="3"/>
        <w:rPr>
          <w:rFonts w:hint="eastAsia" w:ascii="仿宋_GB2312" w:hAnsi="仿宋_GB2312" w:eastAsia="仿宋_GB2312" w:cs="仿宋_GB2312"/>
          <w:color w:val="000000"/>
          <w:sz w:val="32"/>
          <w:szCs w:val="32"/>
        </w:rPr>
      </w:pPr>
      <w:bookmarkStart w:id="67" w:name="_Toc15396627"/>
      <w:r>
        <w:rPr>
          <w:rStyle w:val="26"/>
          <w:rFonts w:hint="eastAsia" w:ascii="仿宋_GB2312" w:hAnsi="仿宋_GB2312" w:eastAsia="仿宋_GB2312" w:cs="仿宋_GB2312"/>
          <w:b w:val="0"/>
          <w:bCs w:val="0"/>
          <w:sz w:val="32"/>
          <w:szCs w:val="32"/>
        </w:rPr>
        <w:t>九、</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般公共预算财政拨款项目支出决算表</w:t>
      </w:r>
      <w:bookmarkEnd w:id="67"/>
    </w:p>
    <w:p w14:paraId="281895B0">
      <w:pPr>
        <w:pStyle w:val="3"/>
        <w:rPr>
          <w:rFonts w:hint="eastAsia" w:ascii="仿宋_GB2312" w:hAnsi="仿宋_GB2312" w:eastAsia="仿宋_GB2312" w:cs="仿宋_GB2312"/>
          <w:color w:val="000000"/>
          <w:sz w:val="32"/>
          <w:szCs w:val="32"/>
        </w:rPr>
      </w:pPr>
      <w:bookmarkStart w:id="68" w:name="_Toc15396628"/>
      <w:r>
        <w:rPr>
          <w:rStyle w:val="26"/>
          <w:rFonts w:hint="eastAsia" w:ascii="仿宋_GB2312" w:hAnsi="仿宋_GB2312" w:eastAsia="仿宋_GB2312" w:cs="仿宋_GB2312"/>
          <w:b w:val="0"/>
          <w:bCs w:val="0"/>
          <w:sz w:val="32"/>
          <w:szCs w:val="32"/>
        </w:rPr>
        <w:t>十、</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般公共预算财政拨款“三公”经费支出决算表</w:t>
      </w:r>
      <w:bookmarkEnd w:id="68"/>
    </w:p>
    <w:p w14:paraId="640F4003">
      <w:pPr>
        <w:pStyle w:val="3"/>
        <w:rPr>
          <w:rFonts w:hint="eastAsia" w:ascii="仿宋_GB2312" w:hAnsi="仿宋_GB2312" w:eastAsia="仿宋_GB2312" w:cs="仿宋_GB2312"/>
          <w:color w:val="000000"/>
          <w:sz w:val="32"/>
          <w:szCs w:val="32"/>
        </w:rPr>
      </w:pPr>
      <w:bookmarkStart w:id="69" w:name="_Toc15396629"/>
      <w:r>
        <w:rPr>
          <w:rStyle w:val="26"/>
          <w:rFonts w:hint="eastAsia" w:ascii="仿宋_GB2312" w:hAnsi="仿宋_GB2312" w:eastAsia="仿宋_GB2312" w:cs="仿宋_GB2312"/>
          <w:b w:val="0"/>
          <w:bCs w:val="0"/>
          <w:sz w:val="32"/>
          <w:szCs w:val="32"/>
        </w:rPr>
        <w:t>十一、</w:t>
      </w:r>
      <w:r>
        <w:rPr>
          <w:rFonts w:hint="eastAsia" w:ascii="仿宋_GB2312" w:hAnsi="仿宋_GB2312" w:eastAsia="仿宋_GB2312" w:cs="仿宋_GB2312"/>
          <w:b w:val="0"/>
          <w:color w:val="000000"/>
          <w:sz w:val="32"/>
          <w:szCs w:val="32"/>
        </w:rPr>
        <w:t>政</w:t>
      </w:r>
      <w:r>
        <w:rPr>
          <w:rStyle w:val="26"/>
          <w:rFonts w:hint="eastAsia" w:ascii="仿宋_GB2312" w:hAnsi="仿宋_GB2312" w:eastAsia="仿宋_GB2312" w:cs="仿宋_GB2312"/>
          <w:b w:val="0"/>
          <w:bCs w:val="0"/>
          <w:sz w:val="32"/>
          <w:szCs w:val="32"/>
        </w:rPr>
        <w:t>府性基金预算财政拨款收入支出决算表</w:t>
      </w:r>
      <w:bookmarkEnd w:id="69"/>
    </w:p>
    <w:p w14:paraId="53BA9381">
      <w:pPr>
        <w:pStyle w:val="3"/>
        <w:rPr>
          <w:rFonts w:hint="eastAsia" w:ascii="仿宋_GB2312" w:hAnsi="仿宋_GB2312" w:eastAsia="仿宋_GB2312" w:cs="仿宋_GB2312"/>
          <w:color w:val="000000"/>
          <w:sz w:val="32"/>
          <w:szCs w:val="32"/>
        </w:rPr>
      </w:pPr>
      <w:bookmarkStart w:id="70" w:name="_Toc15396630"/>
      <w:r>
        <w:rPr>
          <w:rStyle w:val="26"/>
          <w:rFonts w:hint="eastAsia" w:ascii="仿宋_GB2312" w:hAnsi="仿宋_GB2312" w:eastAsia="仿宋_GB2312" w:cs="仿宋_GB2312"/>
          <w:b w:val="0"/>
          <w:bCs w:val="0"/>
          <w:sz w:val="32"/>
          <w:szCs w:val="32"/>
        </w:rPr>
        <w:t>十二、</w:t>
      </w:r>
      <w:r>
        <w:rPr>
          <w:rFonts w:hint="eastAsia" w:ascii="仿宋_GB2312" w:hAnsi="仿宋_GB2312" w:eastAsia="仿宋_GB2312" w:cs="仿宋_GB2312"/>
          <w:b w:val="0"/>
          <w:color w:val="000000"/>
          <w:sz w:val="32"/>
          <w:szCs w:val="32"/>
        </w:rPr>
        <w:t>政</w:t>
      </w:r>
      <w:r>
        <w:rPr>
          <w:rStyle w:val="26"/>
          <w:rFonts w:hint="eastAsia" w:ascii="仿宋_GB2312" w:hAnsi="仿宋_GB2312" w:eastAsia="仿宋_GB2312" w:cs="仿宋_GB2312"/>
          <w:b w:val="0"/>
          <w:bCs w:val="0"/>
          <w:sz w:val="32"/>
          <w:szCs w:val="32"/>
        </w:rPr>
        <w:t>府性基金预算财政拨款“三公”经费支出决算表</w:t>
      </w:r>
      <w:bookmarkEnd w:id="70"/>
    </w:p>
    <w:p w14:paraId="7EF8C191">
      <w:pPr>
        <w:pStyle w:val="3"/>
        <w:rPr>
          <w:rFonts w:hint="eastAsia" w:ascii="仿宋_GB2312" w:hAnsi="仿宋_GB2312" w:eastAsia="仿宋_GB2312" w:cs="仿宋_GB2312"/>
          <w:color w:val="000000" w:themeColor="text1"/>
          <w:sz w:val="32"/>
          <w:szCs w:val="32"/>
          <w14:textFill>
            <w14:solidFill>
              <w14:schemeClr w14:val="tx1"/>
            </w14:solidFill>
          </w14:textFill>
        </w:rPr>
      </w:pPr>
      <w:bookmarkStart w:id="71" w:name="_Toc15396631"/>
      <w:r>
        <w:rPr>
          <w:rStyle w:val="26"/>
          <w:rFonts w:hint="eastAsia" w:ascii="仿宋_GB2312" w:hAnsi="仿宋_GB2312" w:eastAsia="仿宋_GB2312" w:cs="仿宋_GB2312"/>
          <w:b w:val="0"/>
          <w:bCs w:val="0"/>
          <w:sz w:val="32"/>
          <w:szCs w:val="32"/>
        </w:rPr>
        <w:t>十三、</w:t>
      </w:r>
      <w:r>
        <w:rPr>
          <w:rFonts w:hint="eastAsia" w:ascii="仿宋_GB2312" w:hAnsi="仿宋_GB2312" w:eastAsia="仿宋_GB2312" w:cs="仿宋_GB2312"/>
          <w:b w:val="0"/>
          <w:color w:val="000000"/>
          <w:sz w:val="32"/>
          <w:szCs w:val="32"/>
        </w:rPr>
        <w:t>国</w:t>
      </w:r>
      <w:r>
        <w:rPr>
          <w:rStyle w:val="26"/>
          <w:rFonts w:hint="eastAsia" w:ascii="仿宋_GB2312" w:hAnsi="仿宋_GB2312" w:eastAsia="仿宋_GB2312" w:cs="仿宋_GB2312"/>
          <w:b w:val="0"/>
          <w:bCs w:val="0"/>
          <w:sz w:val="32"/>
          <w:szCs w:val="32"/>
        </w:rPr>
        <w:t>有资本经营预算支出决算表</w:t>
      </w:r>
      <w:bookmarkEnd w:id="71"/>
    </w:p>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051EC">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14:paraId="44A25AD3">
                              <w:pPr>
                                <w:pStyle w:val="8"/>
                                <w:jc w:val="center"/>
                              </w:pPr>
                              <w:r>
                                <w:fldChar w:fldCharType="begin"/>
                              </w:r>
                              <w:r>
                                <w:instrText xml:space="preserve">PAGE   \* MERGEFORMAT</w:instrText>
                              </w:r>
                              <w:r>
                                <w:fldChar w:fldCharType="separate"/>
                              </w:r>
                              <w:r>
                                <w:rPr>
                                  <w:lang w:val="zh-CN"/>
                                </w:rPr>
                                <w:t>24</w:t>
                              </w:r>
                              <w:r>
                                <w:fldChar w:fldCharType="end"/>
                              </w:r>
                            </w:p>
                          </w:sdtContent>
                        </w:sdt>
                        <w:p w14:paraId="0A129139"/>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14:paraId="44A25AD3">
                        <w:pPr>
                          <w:pStyle w:val="8"/>
                          <w:jc w:val="center"/>
                        </w:pPr>
                        <w:r>
                          <w:fldChar w:fldCharType="begin"/>
                        </w:r>
                        <w:r>
                          <w:instrText xml:space="preserve">PAGE   \* MERGEFORMAT</w:instrText>
                        </w:r>
                        <w:r>
                          <w:fldChar w:fldCharType="separate"/>
                        </w:r>
                        <w:r>
                          <w:rPr>
                            <w:lang w:val="zh-CN"/>
                          </w:rPr>
                          <w:t>24</w:t>
                        </w:r>
                        <w:r>
                          <w:fldChar w:fldCharType="end"/>
                        </w:r>
                      </w:p>
                    </w:sdtContent>
                  </w:sdt>
                  <w:p w14:paraId="0A129139"/>
                </w:txbxContent>
              </v:textbox>
            </v:shape>
          </w:pict>
        </mc:Fallback>
      </mc:AlternateContent>
    </w:r>
  </w:p>
  <w:p w14:paraId="78ADE799">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234FB">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D42FB6">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AD42FB6">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0FD3E">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869EC"/>
    <w:multiLevelType w:val="singleLevel"/>
    <w:tmpl w:val="C0D869EC"/>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92CDCD0"/>
    <w:multiLevelType w:val="singleLevel"/>
    <w:tmpl w:val="192CDCD0"/>
    <w:lvl w:ilvl="0" w:tentative="0">
      <w:start w:val="2"/>
      <w:numFmt w:val="chineseCounting"/>
      <w:suff w:val="nothing"/>
      <w:lvlText w:val="（%1）"/>
      <w:lvlJc w:val="left"/>
      <w:rPr>
        <w:rFonts w:hint="eastAsia"/>
      </w:rPr>
    </w:lvl>
  </w:abstractNum>
  <w:abstractNum w:abstractNumId="5">
    <w:nsid w:val="5B63281F"/>
    <w:multiLevelType w:val="multilevel"/>
    <w:tmpl w:val="5B63281F"/>
    <w:lvl w:ilvl="0" w:tentative="0">
      <w:start w:val="1"/>
      <w:numFmt w:val="decimal"/>
      <w:pStyle w:val="32"/>
      <w:suff w:val="nothing"/>
      <w:lvlText w:val="%1."/>
      <w:lvlJc w:val="left"/>
      <w:pPr>
        <w:ind w:left="-5" w:firstLine="635"/>
      </w:pPr>
      <w:rPr>
        <w:rFonts w:hint="eastAsia"/>
      </w:rPr>
    </w:lvl>
    <w:lvl w:ilvl="1" w:tentative="0">
      <w:start w:val="1"/>
      <w:numFmt w:val="lowerLetter"/>
      <w:lvlText w:val="%2)"/>
      <w:lvlJc w:val="left"/>
      <w:pPr>
        <w:ind w:left="1160" w:hanging="420"/>
      </w:pPr>
    </w:lvl>
    <w:lvl w:ilvl="2" w:tentative="0">
      <w:start w:val="1"/>
      <w:numFmt w:val="lowerRoman"/>
      <w:lvlText w:val="%3."/>
      <w:lvlJc w:val="right"/>
      <w:pPr>
        <w:ind w:left="1580" w:hanging="420"/>
      </w:pPr>
    </w:lvl>
    <w:lvl w:ilvl="3" w:tentative="0">
      <w:start w:val="1"/>
      <w:numFmt w:val="decimal"/>
      <w:lvlText w:val="%4."/>
      <w:lvlJc w:val="left"/>
      <w:pPr>
        <w:ind w:left="2000" w:hanging="420"/>
      </w:pPr>
    </w:lvl>
    <w:lvl w:ilvl="4" w:tentative="0">
      <w:start w:val="1"/>
      <w:numFmt w:val="lowerLetter"/>
      <w:lvlText w:val="%5)"/>
      <w:lvlJc w:val="left"/>
      <w:pPr>
        <w:ind w:left="2420" w:hanging="420"/>
      </w:pPr>
    </w:lvl>
    <w:lvl w:ilvl="5" w:tentative="0">
      <w:start w:val="1"/>
      <w:numFmt w:val="lowerRoman"/>
      <w:lvlText w:val="%6."/>
      <w:lvlJc w:val="right"/>
      <w:pPr>
        <w:ind w:left="2840" w:hanging="420"/>
      </w:pPr>
    </w:lvl>
    <w:lvl w:ilvl="6" w:tentative="0">
      <w:start w:val="1"/>
      <w:numFmt w:val="decimal"/>
      <w:lvlText w:val="%7."/>
      <w:lvlJc w:val="left"/>
      <w:pPr>
        <w:ind w:left="3260" w:hanging="420"/>
      </w:pPr>
    </w:lvl>
    <w:lvl w:ilvl="7" w:tentative="0">
      <w:start w:val="1"/>
      <w:numFmt w:val="lowerLetter"/>
      <w:lvlText w:val="%8)"/>
      <w:lvlJc w:val="left"/>
      <w:pPr>
        <w:ind w:left="3680" w:hanging="420"/>
      </w:pPr>
    </w:lvl>
    <w:lvl w:ilvl="8" w:tentative="0">
      <w:start w:val="1"/>
      <w:numFmt w:val="lowerRoman"/>
      <w:lvlText w:val="%9."/>
      <w:lvlJc w:val="right"/>
      <w:pPr>
        <w:ind w:left="4100" w:hanging="420"/>
      </w:pPr>
    </w:lvl>
  </w:abstractNum>
  <w:abstractNum w:abstractNumId="6">
    <w:nsid w:val="7EE55BF3"/>
    <w:multiLevelType w:val="multilevel"/>
    <w:tmpl w:val="7EE55BF3"/>
    <w:lvl w:ilvl="0" w:tentative="0">
      <w:start w:val="1"/>
      <w:numFmt w:val="chineseCountingThousand"/>
      <w:pStyle w:val="34"/>
      <w:suff w:val="nothing"/>
      <w:lvlText w:val="（%1）"/>
      <w:lvlJc w:val="left"/>
      <w:pPr>
        <w:ind w:firstLine="635"/>
      </w:pPr>
      <w:rPr>
        <w:rFonts w:hint="eastAsia" w:cs="Times New Roman"/>
      </w:rPr>
    </w:lvl>
    <w:lvl w:ilvl="1" w:tentative="0">
      <w:start w:val="1"/>
      <w:numFmt w:val="decimal"/>
      <w:lvlText w:val="%2."/>
      <w:lvlJc w:val="left"/>
      <w:pPr>
        <w:ind w:left="980" w:hanging="360"/>
      </w:pPr>
      <w:rPr>
        <w:rFonts w:hint="default" w:cs="Times New Roman"/>
      </w:rPr>
    </w:lvl>
    <w:lvl w:ilvl="2" w:tentative="0">
      <w:start w:val="1"/>
      <w:numFmt w:val="lowerRoman"/>
      <w:lvlText w:val="%3."/>
      <w:lvlJc w:val="right"/>
      <w:pPr>
        <w:ind w:left="1460" w:hanging="420"/>
      </w:pPr>
      <w:rPr>
        <w:rFonts w:cs="Times New Roman"/>
      </w:rPr>
    </w:lvl>
    <w:lvl w:ilvl="3" w:tentative="0">
      <w:start w:val="1"/>
      <w:numFmt w:val="decimal"/>
      <w:lvlText w:val="%4."/>
      <w:lvlJc w:val="left"/>
      <w:pPr>
        <w:ind w:left="1880" w:hanging="420"/>
      </w:pPr>
      <w:rPr>
        <w:rFonts w:cs="Times New Roman"/>
      </w:rPr>
    </w:lvl>
    <w:lvl w:ilvl="4" w:tentative="0">
      <w:start w:val="1"/>
      <w:numFmt w:val="lowerLetter"/>
      <w:lvlText w:val="%5)"/>
      <w:lvlJc w:val="left"/>
      <w:pPr>
        <w:ind w:left="2300" w:hanging="420"/>
      </w:pPr>
      <w:rPr>
        <w:rFonts w:cs="Times New Roman"/>
      </w:rPr>
    </w:lvl>
    <w:lvl w:ilvl="5" w:tentative="0">
      <w:start w:val="1"/>
      <w:numFmt w:val="lowerRoman"/>
      <w:lvlText w:val="%6."/>
      <w:lvlJc w:val="right"/>
      <w:pPr>
        <w:ind w:left="2720" w:hanging="420"/>
      </w:pPr>
      <w:rPr>
        <w:rFonts w:cs="Times New Roman"/>
      </w:rPr>
    </w:lvl>
    <w:lvl w:ilvl="6" w:tentative="0">
      <w:start w:val="1"/>
      <w:numFmt w:val="decimal"/>
      <w:lvlText w:val="%7."/>
      <w:lvlJc w:val="left"/>
      <w:pPr>
        <w:ind w:left="3140" w:hanging="420"/>
      </w:pPr>
      <w:rPr>
        <w:rFonts w:cs="Times New Roman"/>
      </w:rPr>
    </w:lvl>
    <w:lvl w:ilvl="7" w:tentative="0">
      <w:start w:val="1"/>
      <w:numFmt w:val="lowerLetter"/>
      <w:lvlText w:val="%8)"/>
      <w:lvlJc w:val="left"/>
      <w:pPr>
        <w:ind w:left="3560" w:hanging="420"/>
      </w:pPr>
      <w:rPr>
        <w:rFonts w:cs="Times New Roman"/>
      </w:rPr>
    </w:lvl>
    <w:lvl w:ilvl="8" w:tentative="0">
      <w:start w:val="1"/>
      <w:numFmt w:val="lowerRoman"/>
      <w:lvlText w:val="%9."/>
      <w:lvlJc w:val="right"/>
      <w:pPr>
        <w:ind w:left="3980" w:hanging="420"/>
      </w:pPr>
      <w:rPr>
        <w:rFonts w:cs="Times New Roman"/>
      </w:rPr>
    </w:lvl>
  </w:abstractNum>
  <w:num w:numId="1">
    <w:abstractNumId w:val="5"/>
  </w:num>
  <w:num w:numId="2">
    <w:abstractNumId w:val="6"/>
  </w:num>
  <w:num w:numId="3">
    <w:abstractNumId w:val="3"/>
  </w:num>
  <w:num w:numId="4">
    <w:abstractNumId w:val="1"/>
  </w:num>
  <w:num w:numId="5">
    <w:abstractNumId w:val="2"/>
  </w:num>
  <w:num w:numId="6">
    <w:abstractNumId w:val="4"/>
  </w:num>
  <w:num w:numId="7">
    <w:abstractNumId w:val="0"/>
  </w:num>
  <w:num w:numId="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xYTgxZjU5ZjRiNGQyMmEwOGZhNjZhNzIzZDA3Zj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77C48"/>
    <w:rsid w:val="044A0F99"/>
    <w:rsid w:val="04F5282E"/>
    <w:rsid w:val="06117239"/>
    <w:rsid w:val="062A0D43"/>
    <w:rsid w:val="06B17B9D"/>
    <w:rsid w:val="07EE4687"/>
    <w:rsid w:val="084C15EE"/>
    <w:rsid w:val="09A8355A"/>
    <w:rsid w:val="09E33D84"/>
    <w:rsid w:val="0B4E361F"/>
    <w:rsid w:val="0BC62E3A"/>
    <w:rsid w:val="0DC42AB6"/>
    <w:rsid w:val="10C055FF"/>
    <w:rsid w:val="154548DB"/>
    <w:rsid w:val="15B367D1"/>
    <w:rsid w:val="16BB723D"/>
    <w:rsid w:val="195E73DD"/>
    <w:rsid w:val="1B8F56B8"/>
    <w:rsid w:val="1C3F6B78"/>
    <w:rsid w:val="1DD90023"/>
    <w:rsid w:val="1E6118DC"/>
    <w:rsid w:val="1F8F1836"/>
    <w:rsid w:val="1F9C693D"/>
    <w:rsid w:val="20E15AA7"/>
    <w:rsid w:val="20E438AD"/>
    <w:rsid w:val="240371BF"/>
    <w:rsid w:val="25016C40"/>
    <w:rsid w:val="26B2173C"/>
    <w:rsid w:val="28335DA3"/>
    <w:rsid w:val="28AD2017"/>
    <w:rsid w:val="29ED1D81"/>
    <w:rsid w:val="29FD04D3"/>
    <w:rsid w:val="2C490A74"/>
    <w:rsid w:val="2CC46E08"/>
    <w:rsid w:val="2EC8648E"/>
    <w:rsid w:val="2F4C5454"/>
    <w:rsid w:val="2F6744FD"/>
    <w:rsid w:val="31820BF6"/>
    <w:rsid w:val="319F7F4E"/>
    <w:rsid w:val="346175AD"/>
    <w:rsid w:val="35784F89"/>
    <w:rsid w:val="37521959"/>
    <w:rsid w:val="375B4CB2"/>
    <w:rsid w:val="380356C7"/>
    <w:rsid w:val="3A7847F9"/>
    <w:rsid w:val="3BAB02CC"/>
    <w:rsid w:val="3F6153CD"/>
    <w:rsid w:val="3F690563"/>
    <w:rsid w:val="401E5B73"/>
    <w:rsid w:val="421F063A"/>
    <w:rsid w:val="43C8037D"/>
    <w:rsid w:val="441F7F38"/>
    <w:rsid w:val="44E46D80"/>
    <w:rsid w:val="454B64D1"/>
    <w:rsid w:val="45AE516D"/>
    <w:rsid w:val="460A4874"/>
    <w:rsid w:val="47501590"/>
    <w:rsid w:val="477B73BA"/>
    <w:rsid w:val="47AE3A45"/>
    <w:rsid w:val="48CF281F"/>
    <w:rsid w:val="4AA0307D"/>
    <w:rsid w:val="4D884BA2"/>
    <w:rsid w:val="4ECE2238"/>
    <w:rsid w:val="507200E4"/>
    <w:rsid w:val="524324FF"/>
    <w:rsid w:val="529227BD"/>
    <w:rsid w:val="53A60B15"/>
    <w:rsid w:val="544E5CA8"/>
    <w:rsid w:val="554D2FDF"/>
    <w:rsid w:val="575F33A2"/>
    <w:rsid w:val="58305198"/>
    <w:rsid w:val="58961CDF"/>
    <w:rsid w:val="5A584856"/>
    <w:rsid w:val="5B711B77"/>
    <w:rsid w:val="5C8B5994"/>
    <w:rsid w:val="5CED215C"/>
    <w:rsid w:val="5DA33BD6"/>
    <w:rsid w:val="612D2A2E"/>
    <w:rsid w:val="62DD7C35"/>
    <w:rsid w:val="63355A57"/>
    <w:rsid w:val="64403502"/>
    <w:rsid w:val="646923F6"/>
    <w:rsid w:val="64960ACE"/>
    <w:rsid w:val="64EC5197"/>
    <w:rsid w:val="6569210F"/>
    <w:rsid w:val="697940A2"/>
    <w:rsid w:val="6A093DC6"/>
    <w:rsid w:val="6A3827D7"/>
    <w:rsid w:val="6AF768AD"/>
    <w:rsid w:val="6B3D170B"/>
    <w:rsid w:val="6BAD6203"/>
    <w:rsid w:val="6C15661C"/>
    <w:rsid w:val="6D1F0935"/>
    <w:rsid w:val="6DD91632"/>
    <w:rsid w:val="718E14B7"/>
    <w:rsid w:val="72734D90"/>
    <w:rsid w:val="72770001"/>
    <w:rsid w:val="75B06991"/>
    <w:rsid w:val="76533D0C"/>
    <w:rsid w:val="775B0291"/>
    <w:rsid w:val="788D19F7"/>
    <w:rsid w:val="79563E0C"/>
    <w:rsid w:val="796E1360"/>
    <w:rsid w:val="79B349F9"/>
    <w:rsid w:val="7B275B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Emphasis"/>
    <w:qFormat/>
    <w:uiPriority w:val="20"/>
  </w:style>
  <w:style w:type="character" w:styleId="16">
    <w:name w:val="Hyperlink"/>
    <w:basedOn w:val="13"/>
    <w:unhideWhenUsed/>
    <w:qFormat/>
    <w:uiPriority w:val="99"/>
    <w:rPr>
      <w:color w:val="0000FF" w:themeColor="hyperlink"/>
      <w:u w:val="single"/>
      <w14:textFill>
        <w14:solidFill>
          <w14:schemeClr w14:val="hlink"/>
        </w14:solidFill>
      </w14:textFill>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3"/>
    <w:link w:val="2"/>
    <w:qFormat/>
    <w:uiPriority w:val="9"/>
    <w:rPr>
      <w:rFonts w:ascii="Times New Roman" w:hAnsi="Times New Roman"/>
      <w:b/>
      <w:bCs/>
      <w:kern w:val="44"/>
      <w:sz w:val="44"/>
      <w:szCs w:val="44"/>
    </w:rPr>
  </w:style>
  <w:style w:type="character" w:customStyle="1" w:styleId="26">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1">
    <w:name w:val="p0"/>
    <w:basedOn w:val="1"/>
    <w:qFormat/>
    <w:uiPriority w:val="0"/>
    <w:pPr>
      <w:widowControl/>
    </w:pPr>
    <w:rPr>
      <w:kern w:val="0"/>
      <w:szCs w:val="21"/>
    </w:rPr>
  </w:style>
  <w:style w:type="paragraph" w:customStyle="1" w:styleId="32">
    <w:name w:val="〖B03〗三级标题"/>
    <w:basedOn w:val="1"/>
    <w:qFormat/>
    <w:uiPriority w:val="0"/>
    <w:pPr>
      <w:numPr>
        <w:ilvl w:val="0"/>
        <w:numId w:val="1"/>
      </w:numPr>
      <w:topLinePunct/>
      <w:spacing w:line="600" w:lineRule="exact"/>
      <w:outlineLvl w:val="2"/>
    </w:pPr>
    <w:rPr>
      <w:rFonts w:ascii="楷体_GB2312" w:hAnsi="Calibri" w:eastAsia="楷体_GB2312"/>
      <w:sz w:val="32"/>
      <w:szCs w:val="32"/>
    </w:rPr>
  </w:style>
  <w:style w:type="paragraph" w:customStyle="1" w:styleId="33">
    <w:name w:val="〖A11〗页脚"/>
    <w:basedOn w:val="1"/>
    <w:qFormat/>
    <w:uiPriority w:val="0"/>
    <w:pPr>
      <w:tabs>
        <w:tab w:val="center" w:pos="4153"/>
        <w:tab w:val="right" w:pos="8306"/>
      </w:tabs>
      <w:topLinePunct/>
      <w:snapToGrid w:val="0"/>
      <w:jc w:val="right"/>
    </w:pPr>
    <w:rPr>
      <w:rFonts w:ascii="宋体"/>
      <w:kern w:val="0"/>
      <w:sz w:val="28"/>
      <w:szCs w:val="28"/>
    </w:rPr>
  </w:style>
  <w:style w:type="paragraph" w:customStyle="1" w:styleId="34">
    <w:name w:val="〖B02〗二级标题"/>
    <w:next w:val="1"/>
    <w:qFormat/>
    <w:uiPriority w:val="0"/>
    <w:pPr>
      <w:widowControl w:val="0"/>
      <w:numPr>
        <w:ilvl w:val="0"/>
        <w:numId w:val="2"/>
      </w:numPr>
      <w:spacing w:line="600" w:lineRule="exact"/>
      <w:ind w:firstLine="635"/>
      <w:outlineLvl w:val="1"/>
    </w:pPr>
    <w:rPr>
      <w:rFonts w:ascii="楷体_GB2312" w:hAnsi="Calibri" w:eastAsia="楷体_GB2312" w:cs="楷体_GB2312"/>
      <w:kern w:val="2"/>
      <w:sz w:val="32"/>
      <w:szCs w:val="32"/>
      <w:lang w:val="zh-CN" w:eastAsia="zh-CN" w:bidi="ar-SA"/>
    </w:rPr>
  </w:style>
  <w:style w:type="character" w:customStyle="1" w:styleId="35">
    <w:name w:val="font21"/>
    <w:basedOn w:val="1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图</a:t>
            </a:r>
            <a:r>
              <a:rPr lang="en-US" altLang="zh-CN"/>
              <a:t>1</a:t>
            </a:r>
            <a:r>
              <a:rPr altLang="en-US"/>
              <a:t>：</a:t>
            </a:r>
            <a:r>
              <a:rPr lang="en-US" altLang="zh-CN"/>
              <a:t>2018</a:t>
            </a:r>
            <a:r>
              <a:rPr altLang="en-US"/>
              <a:t>、</a:t>
            </a:r>
            <a:r>
              <a:rPr lang="en-US" altLang="zh-CN"/>
              <a:t>2019</a:t>
            </a:r>
            <a:r>
              <a:rPr altLang="en-US"/>
              <a:t>年收、支决算总计变动情况图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layout>
                <c:manualLayout>
                  <c:x val="0.023487056403223"/>
                  <c:y val="-0.084380273767110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收入2537.7万元</a:t>
                    </a:r>
                    <a:endParaRPr sz="750"/>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26007200411452"/>
                  <c:y val="0.033189574348396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收入4186.86万元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manualLayout>
                      <c:w val="0.208983370478313"/>
                      <c:h val="0.0551284455278455"/>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Sheet1!$A$2:$A$5</c:f>
              <c:strCache>
                <c:ptCount val="4"/>
                <c:pt idx="0">
                  <c:v>2018年</c:v>
                </c:pt>
                <c:pt idx="1">
                  <c:v>2019年</c:v>
                </c:pt>
              </c:strCache>
            </c:strRef>
          </c:cat>
          <c:val>
            <c:numRef>
              <c:f>Sheet1!$B$2:$B$5</c:f>
              <c:numCache>
                <c:formatCode>General</c:formatCode>
                <c:ptCount val="4"/>
                <c:pt idx="0">
                  <c:v>2537.7</c:v>
                </c:pt>
                <c:pt idx="1">
                  <c:v>4186.86</c:v>
                </c:pt>
              </c:numCache>
            </c:numRef>
          </c:val>
        </c:ser>
        <c:ser>
          <c:idx val="1"/>
          <c:order val="1"/>
          <c:tx>
            <c:strRef>
              <c:f>Sheet1!$C$1</c:f>
              <c:strCache>
                <c:ptCount val="1"/>
                <c:pt idx="0">
                  <c:v>支出</c:v>
                </c:pt>
              </c:strCache>
            </c:strRef>
          </c:tx>
          <c:spPr>
            <a:solidFill>
              <a:schemeClr val="accent2"/>
            </a:solidFill>
            <a:ln>
              <a:noFill/>
            </a:ln>
            <a:effectLst/>
          </c:spPr>
          <c:invertIfNegative val="0"/>
          <c:dLbls>
            <c:dLbl>
              <c:idx val="0"/>
              <c:layout>
                <c:manualLayout>
                  <c:x val="0.0492028115892337"/>
                  <c:y val="-0.0026251640727545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支出2537.7万元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84810560603463"/>
                  <c:y val="0.099756234764672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支出4186.86万元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manualLayout>
                      <c:w val="0.225612892165267"/>
                      <c:h val="0.052128258016126"/>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Sheet1!$A$2:$A$5</c:f>
              <c:strCache>
                <c:ptCount val="4"/>
                <c:pt idx="0">
                  <c:v>2018年</c:v>
                </c:pt>
                <c:pt idx="1">
                  <c:v>2019年</c:v>
                </c:pt>
              </c:strCache>
            </c:strRef>
          </c:cat>
          <c:val>
            <c:numRef>
              <c:f>Sheet1!$C$2:$C$5</c:f>
              <c:numCache>
                <c:formatCode>General</c:formatCode>
                <c:ptCount val="4"/>
                <c:pt idx="0">
                  <c:v>2537.7</c:v>
                </c:pt>
                <c:pt idx="1">
                  <c:v>4186.86</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2018年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51770340"/>
        <c:axId val="827674072"/>
      </c:barChart>
      <c:catAx>
        <c:axId val="2517703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7674072"/>
        <c:crosses val="autoZero"/>
        <c:auto val="1"/>
        <c:lblAlgn val="ctr"/>
        <c:lblOffset val="100"/>
        <c:noMultiLvlLbl val="0"/>
      </c:catAx>
      <c:valAx>
        <c:axId val="82767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177034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2018a0f-9bf7-41bc-b110-9910e556480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2</a:t>
            </a:r>
            <a:r>
              <a:rPr altLang="en-US"/>
              <a:t>：</a:t>
            </a:r>
            <a:r>
              <a:rPr lang="en-US" altLang="zh-CN"/>
              <a:t>2019</a:t>
            </a:r>
            <a:r>
              <a:rPr altLang="en-US"/>
              <a:t>年收入决算结构图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314838688684951"/>
                  <c:y val="-0.088876609288475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一般公共预算财政拨款1848.25万元，占</a:t>
                    </a:r>
                    <a:r>
                      <a:rPr lang="en-US" altLang="zh-CN"/>
                      <a:t>97.74%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2793975404173"/>
                      <c:h val="0.115496468633153"/>
                    </c:manualLayout>
                  </c15:layout>
                </c:ext>
              </c:extLst>
            </c:dLbl>
            <c:dLbl>
              <c:idx val="1"/>
              <c:layout>
                <c:manualLayout>
                  <c:x val="-0.245775368602291"/>
                  <c:y val="0.025060893465902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政府性基金42.72万元，占</a:t>
                    </a:r>
                    <a:r>
                      <a:rPr lang="en-US" altLang="zh-CN"/>
                      <a:t>2.26%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398922205333702"/>
                      <c:h val="0.0693809721645201"/>
                    </c:manualLayout>
                  </c15:layout>
                </c:ext>
              </c:extLst>
            </c:dLbl>
            <c:spPr>
              <a:noFill/>
              <a:ln>
                <a:solidFill>
                  <a:schemeClr val="tx1"/>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Sheet1!$A$2:$A$5</c:f>
              <c:strCache>
                <c:ptCount val="4"/>
                <c:pt idx="0">
                  <c:v>一般公共预算财政拨款收入</c:v>
                </c:pt>
                <c:pt idx="1">
                  <c:v>政府性基金预算财政拨款收入</c:v>
                </c:pt>
              </c:strCache>
            </c:strRef>
          </c:cat>
          <c:val>
            <c:numRef>
              <c:f>Sheet1!$B$2:$B$5</c:f>
              <c:numCache>
                <c:formatCode>General</c:formatCode>
                <c:ptCount val="4"/>
                <c:pt idx="0">
                  <c:v>1848.25</c:v>
                </c:pt>
                <c:pt idx="1">
                  <c:v>42.72</c:v>
                </c:pt>
              </c:numCache>
            </c:numRef>
          </c:val>
        </c:ser>
        <c:ser>
          <c:idx val="1"/>
          <c:order val="1"/>
          <c:tx>
            <c:strRef>
              <c:f>Sheet1!$C$1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pt idx="1">
                  <c:v>政府性基金预算财政拨款收入</c:v>
                </c:pt>
              </c:strCache>
            </c:strRef>
          </c:cat>
          <c:val>
            <c:numRef>
              <c:f>Sheet1!$C$2:$C$5</c:f>
              <c:numCache>
                <c:formatCode>General</c:formatCode>
                <c:ptCount val="4"/>
                <c:pt idx="0">
                  <c:v>97.74</c:v>
                </c:pt>
                <c:pt idx="1">
                  <c:v>2.26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4e4d89d-42bb-451a-a27d-6b0091fb67ba}"/>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图3：2019年支出决算结构图</a:t>
            </a:r>
          </a:p>
        </c:rich>
      </c:tx>
      <c:layout/>
      <c:overlay val="0"/>
      <c:spPr>
        <a:noFill/>
        <a:ln>
          <a:noFill/>
        </a:ln>
        <a:effectLst/>
      </c:spPr>
    </c:title>
    <c:autoTitleDeleted val="0"/>
    <c:plotArea>
      <c:layout/>
      <c:pieChart>
        <c:varyColors val="1"/>
        <c:ser>
          <c:idx val="0"/>
          <c:order val="0"/>
          <c:tx>
            <c:strRef>
              <c:f>Sheet1!$B$1</c:f>
              <c:strCache>
                <c:ptCount val="1"/>
                <c:pt idx="0">
                  <c:v>金额（万元）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基本支出5</a:t>
                    </a:r>
                    <a:r>
                      <a:rPr lang="en-US" altLang="zh-CN"/>
                      <a:t>6.38</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项目支出4</a:t>
                    </a:r>
                    <a:r>
                      <a:rPr lang="en-US" altLang="zh-CN"/>
                      <a:t>3.62</a:t>
                    </a:r>
                    <a:r>
                      <a:t>%</a:t>
                    </a:r>
                  </a:p>
                </c:rich>
              </c:tx>
              <c:dLblPos val="ctr"/>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1065.94</c:v>
                </c:pt>
                <c:pt idx="1">
                  <c:v>824.55</c:v>
                </c:pt>
              </c:numCache>
            </c:numRef>
          </c:val>
        </c:ser>
        <c:ser>
          <c:idx val="1"/>
          <c:order val="1"/>
          <c:tx>
            <c:strRef>
              <c:f>Sheet1!$C$1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Sheet1!$C$2:$C$5</c:f>
              <c:numCache>
                <c:formatCode>0.00_ </c:formatCode>
                <c:ptCount val="4"/>
                <c:pt idx="0">
                  <c:v>56.38</c:v>
                </c:pt>
                <c:pt idx="1">
                  <c:v>43.62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53e8fdd-d3bb-4d81-84ca-5bc09ead48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50"/>
              <a:t>图</a:t>
            </a:r>
            <a:r>
              <a:rPr lang="en-US" altLang="zh-CN" sz="1050"/>
              <a:t>4</a:t>
            </a:r>
            <a:r>
              <a:rPr altLang="en-US" sz="1050"/>
              <a:t>：</a:t>
            </a:r>
            <a:r>
              <a:rPr lang="en-US" altLang="zh-CN" sz="1050"/>
              <a:t>2019</a:t>
            </a:r>
            <a:r>
              <a:rPr altLang="en-US" sz="1050"/>
              <a:t>年财政拨款收、支决算总计变动情况</a:t>
            </a:r>
            <a:endParaRPr altLang="en-US" sz="1050"/>
          </a:p>
        </c:rich>
      </c:tx>
      <c:layout>
        <c:manualLayout>
          <c:xMode val="edge"/>
          <c:yMode val="edge"/>
          <c:x val="0.110492577597841"/>
          <c:y val="0.0189409368635438"/>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layout>
                <c:manualLayout>
                  <c:x val="0.036774628879892"/>
                  <c:y val="-0.089002036659877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收入2537.7万元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manualLayout>
                      <c:w val="0.221153846153846"/>
                      <c:h val="0.0492871690427699"/>
                    </c:manualLayout>
                  </c15:layout>
                </c:ext>
              </c:extLst>
            </c:dLbl>
            <c:dLbl>
              <c:idx val="1"/>
              <c:layout>
                <c:manualLayout>
                  <c:x val="-0.154183535762483"/>
                  <c:y val="0.030549898167006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收入4186.82万元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manualLayout>
                      <c:w val="0.217611336032389"/>
                      <c:h val="0.0566191446028513"/>
                    </c:manualLayout>
                  </c15:layout>
                </c:ext>
              </c:extLst>
            </c:dLbl>
            <c:spPr>
              <a:noFill/>
              <a:ln>
                <a:solidFill>
                  <a:schemeClr val="tx1"/>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Sheet1!$A$2:$A$5</c:f>
              <c:strCache>
                <c:ptCount val="4"/>
                <c:pt idx="0">
                  <c:v>2018年</c:v>
                </c:pt>
                <c:pt idx="1">
                  <c:v>2019年</c:v>
                </c:pt>
              </c:strCache>
            </c:strRef>
          </c:cat>
          <c:val>
            <c:numRef>
              <c:f>Sheet1!$B$2:$B$5</c:f>
              <c:numCache>
                <c:formatCode>General</c:formatCode>
                <c:ptCount val="4"/>
                <c:pt idx="0">
                  <c:v>2537.7</c:v>
                </c:pt>
                <c:pt idx="1">
                  <c:v>4186.82</c:v>
                </c:pt>
              </c:numCache>
            </c:numRef>
          </c:val>
        </c:ser>
        <c:ser>
          <c:idx val="1"/>
          <c:order val="1"/>
          <c:tx>
            <c:strRef>
              <c:f>Sheet1!$C$1</c:f>
              <c:strCache>
                <c:ptCount val="1"/>
                <c:pt idx="0">
                  <c:v>支出</c:v>
                </c:pt>
              </c:strCache>
            </c:strRef>
          </c:tx>
          <c:spPr>
            <a:solidFill>
              <a:schemeClr val="accent2"/>
            </a:solidFill>
            <a:ln>
              <a:noFill/>
            </a:ln>
            <a:effectLst/>
          </c:spPr>
          <c:invertIfNegative val="0"/>
          <c:dLbls>
            <c:dLbl>
              <c:idx val="0"/>
              <c:layout>
                <c:manualLayout>
                  <c:x val="0.0529689608636977"/>
                  <c:y val="-0.00020366598778004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支出2537.7万元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79487179487179"/>
                  <c:y val="0.097352342158859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支出4186.82万元</a:t>
                    </a:r>
                    <a:endParaRPr sz="750"/>
                  </a:p>
                </c:rich>
              </c:tx>
              <c:dLblPos val="outEnd"/>
              <c:showLegendKey val="0"/>
              <c:showVal val="1"/>
              <c:showCatName val="0"/>
              <c:showSerName val="0"/>
              <c:showPercent val="0"/>
              <c:showBubbleSize val="0"/>
              <c:extLst>
                <c:ext xmlns:c15="http://schemas.microsoft.com/office/drawing/2012/chart" uri="{CE6537A1-D6FC-4f65-9D91-7224C49458BB}">
                  <c15:layout>
                    <c:manualLayout>
                      <c:w val="0.209851551956815"/>
                      <c:h val="0.0859470468431772"/>
                    </c:manualLayout>
                  </c15:layout>
                </c:ext>
              </c:extLst>
            </c:dLbl>
            <c:spPr>
              <a:noFill/>
              <a:ln>
                <a:solidFill>
                  <a:schemeClr val="tx1"/>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Sheet1!$A$2:$A$5</c:f>
              <c:strCache>
                <c:ptCount val="4"/>
                <c:pt idx="0">
                  <c:v>2018年</c:v>
                </c:pt>
                <c:pt idx="1">
                  <c:v>2019年</c:v>
                </c:pt>
              </c:strCache>
            </c:strRef>
          </c:cat>
          <c:val>
            <c:numRef>
              <c:f>Sheet1!$C$2:$C$5</c:f>
              <c:numCache>
                <c:formatCode>General</c:formatCode>
                <c:ptCount val="4"/>
                <c:pt idx="0">
                  <c:v>2537.7</c:v>
                </c:pt>
                <c:pt idx="1">
                  <c:v>4186.82</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2018年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976365671"/>
        <c:axId val="116092296"/>
      </c:barChart>
      <c:catAx>
        <c:axId val="9763656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6092296"/>
        <c:crosses val="autoZero"/>
        <c:auto val="1"/>
        <c:lblAlgn val="ctr"/>
        <c:lblOffset val="100"/>
        <c:noMultiLvlLbl val="0"/>
      </c:catAx>
      <c:valAx>
        <c:axId val="116092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636567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bda0bea-99a1-4771-ba5a-f1b16d80ea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900"/>
              <a:t>图</a:t>
            </a:r>
            <a:r>
              <a:rPr lang="en-US" altLang="zh-CN" sz="900"/>
              <a:t>5</a:t>
            </a:r>
            <a:r>
              <a:rPr altLang="en-US" sz="900"/>
              <a:t>：一般公共预算财政拨款支出决算变动情况</a:t>
            </a:r>
            <a:endParaRPr sz="900"/>
          </a:p>
        </c:rich>
      </c:tx>
      <c:layout>
        <c:manualLayout>
          <c:xMode val="edge"/>
          <c:yMode val="edge"/>
          <c:x val="0.18746037366463"/>
          <c:y val="0.0372118855873369"/>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财政拨款本年支出</c:v>
                </c:pt>
              </c:strCache>
            </c:strRef>
          </c:tx>
          <c:spPr>
            <a:solidFill>
              <a:schemeClr val="accent1"/>
            </a:solidFill>
            <a:ln>
              <a:noFill/>
            </a:ln>
            <a:effectLst/>
          </c:spPr>
          <c:invertIfNegative val="0"/>
          <c:dLbls>
            <c:delete val="1"/>
          </c:dLbls>
          <c:cat>
            <c:strRef>
              <c:f>Sheet1!$A$2:$A$5</c:f>
              <c:strCache>
                <c:ptCount val="4"/>
                <c:pt idx="0">
                  <c:v>2018年</c:v>
                </c:pt>
                <c:pt idx="1">
                  <c:v>2019年</c:v>
                </c:pt>
              </c:strCache>
            </c:strRef>
          </c:cat>
          <c:val>
            <c:numRef>
              <c:f>Sheet1!$B$2:$B$5</c:f>
              <c:numCache>
                <c:formatCode>General</c:formatCode>
                <c:ptCount val="4"/>
                <c:pt idx="0">
                  <c:v>1152.25</c:v>
                </c:pt>
                <c:pt idx="1">
                  <c:v>1890.49</c:v>
                </c:pt>
              </c:numCache>
            </c:numRef>
          </c:val>
        </c:ser>
        <c:ser>
          <c:idx val="1"/>
          <c:order val="1"/>
          <c:tx>
            <c:strRef>
              <c:f>Sheet1!$C$1</c:f>
              <c:strCache>
                <c:ptCount val="1"/>
                <c:pt idx="0">
                  <c:v>一般公共预算财政拨款支出</c:v>
                </c:pt>
              </c:strCache>
            </c:strRef>
          </c:tx>
          <c:spPr>
            <a:solidFill>
              <a:schemeClr val="accent2"/>
            </a:solidFill>
            <a:ln>
              <a:noFill/>
            </a:ln>
            <a:effectLst/>
          </c:spPr>
          <c:invertIfNegative val="0"/>
          <c:dLbls>
            <c:delete val="1"/>
          </c:dLbls>
          <c:cat>
            <c:strRef>
              <c:f>Sheet1!$A$2:$A$5</c:f>
              <c:strCache>
                <c:ptCount val="4"/>
                <c:pt idx="0">
                  <c:v>2018年</c:v>
                </c:pt>
                <c:pt idx="1">
                  <c:v>2019年</c:v>
                </c:pt>
              </c:strCache>
            </c:strRef>
          </c:cat>
          <c:val>
            <c:numRef>
              <c:f>Sheet1!$C$2:$C$5</c:f>
              <c:numCache>
                <c:formatCode>General</c:formatCode>
                <c:ptCount val="4"/>
                <c:pt idx="0">
                  <c:v>1081.61</c:v>
                </c:pt>
                <c:pt idx="1">
                  <c:v>1816.77</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2018年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597917658"/>
        <c:axId val="958264428"/>
      </c:barChart>
      <c:catAx>
        <c:axId val="59791765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264428"/>
        <c:crosses val="autoZero"/>
        <c:auto val="1"/>
        <c:lblAlgn val="ctr"/>
        <c:lblOffset val="100"/>
        <c:noMultiLvlLbl val="0"/>
      </c:catAx>
      <c:valAx>
        <c:axId val="9582644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791765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e9f4df8-1323-4169-9a45-45d355b8be1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6</a:t>
            </a:r>
            <a:r>
              <a:rPr altLang="en-US"/>
              <a:t>：一般公共预算财政拨款支出决算结构</a:t>
            </a:r>
            <a:endParaRPr altLang="en-US"/>
          </a:p>
        </c:rich>
      </c:tx>
      <c:layout/>
      <c:overlay val="0"/>
      <c:spPr>
        <a:noFill/>
        <a:ln>
          <a:noFill/>
        </a:ln>
        <a:effectLst/>
      </c:spPr>
    </c:title>
    <c:autoTitleDeleted val="0"/>
    <c:plotArea>
      <c:layout/>
      <c:pieChart>
        <c:varyColors val="1"/>
        <c:ser>
          <c:idx val="0"/>
          <c:order val="0"/>
          <c:tx>
            <c:strRef>
              <c:f>Sheet1!$B$1</c:f>
              <c:strCache>
                <c:ptCount val="1"/>
                <c:pt idx="0">
                  <c:v>金额（万元）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dLbl>
              <c:idx val="0"/>
              <c:layout>
                <c:manualLayout>
                  <c:x val="0.0253854332801701"/>
                  <c:y val="-0.026191723415400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一般公共服务类支出857.92万元，占</a:t>
                    </a:r>
                    <a:r>
                      <a:rPr lang="en-US" altLang="zh-CN" sz="750"/>
                      <a:t>47.22%</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234582668793195"/>
                      <c:h val="0.0960363191898027"/>
                    </c:manualLayout>
                  </c15:layout>
                </c:ext>
              </c:extLst>
            </c:dLbl>
            <c:dLbl>
              <c:idx val="1"/>
              <c:delete val="1"/>
            </c:dLbl>
            <c:dLbl>
              <c:idx val="2"/>
              <c:layout>
                <c:manualLayout>
                  <c:x val="0.248526982726965"/>
                  <c:y val="-0.047752632306656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文体旅游体育与传媒支出40.5万元，占</a:t>
                    </a:r>
                    <a:r>
                      <a:rPr lang="en-US" altLang="zh-CN" sz="750"/>
                      <a:t>2.23%</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230994152046784"/>
                      <c:h val="0.0885280251440545"/>
                    </c:manualLayout>
                  </c15:layout>
                </c:ext>
              </c:extLst>
            </c:dLbl>
            <c:dLbl>
              <c:idx val="3"/>
              <c:layout>
                <c:manualLayout>
                  <c:x val="-0.251777159267649"/>
                  <c:y val="-0.018515160325256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社会保障和就业支出147.3万元，占</a:t>
                    </a:r>
                    <a:r>
                      <a:rPr lang="en-US" altLang="zh-CN" sz="750"/>
                      <a:t>8.11%</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15479397637743"/>
                  <c:y val="-0.033130251231145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卫生健康支出50.38万元，占</a:t>
                    </a:r>
                    <a:r>
                      <a:rPr lang="en-US" altLang="zh-CN" sz="750"/>
                      <a:t>2.77%</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332270069112174"/>
                      <c:h val="0.0485419940632094"/>
                    </c:manualLayout>
                  </c15:layout>
                </c:ext>
              </c:extLst>
            </c:dLbl>
            <c:dLbl>
              <c:idx val="5"/>
              <c:layout>
                <c:manualLayout>
                  <c:x val="-0.234567483603435"/>
                  <c:y val="-0.11970355461958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节能环保16.87万元，占</a:t>
                    </a:r>
                    <a:r>
                      <a:rPr lang="en-US" altLang="zh-CN" sz="750"/>
                      <a:t>0.93%</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176501860712387"/>
                      <c:h val="0.0907979745067225"/>
                    </c:manualLayout>
                  </c15:layout>
                </c:ext>
              </c:extLst>
            </c:dLbl>
            <c:dLbl>
              <c:idx val="6"/>
              <c:layout>
                <c:manualLayout>
                  <c:x val="-0.128712729731811"/>
                  <c:y val="-0.1827812324350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城乡社区73.37万元，占</a:t>
                    </a:r>
                    <a:r>
                      <a:rPr lang="en-US" altLang="zh-CN" sz="750"/>
                      <a:t>4.04%</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191254651780968"/>
                      <c:h val="0.0848611838658984"/>
                    </c:manualLayout>
                  </c15:layout>
                </c:ext>
              </c:extLst>
            </c:dLbl>
            <c:dLbl>
              <c:idx val="7"/>
              <c:layout>
                <c:manualLayout>
                  <c:x val="-0.184356964084304"/>
                  <c:y val="0.0044345539488735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农林水支出530.66万元，占</a:t>
                    </a:r>
                    <a:r>
                      <a:rPr lang="en-US" altLang="zh-CN" sz="750"/>
                      <a:t>29.21%</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207469431153642"/>
                      <c:h val="0.0794482276933822"/>
                    </c:manualLayout>
                  </c15:layout>
                </c:ext>
              </c:extLst>
            </c:dLbl>
            <c:dLbl>
              <c:idx val="8"/>
              <c:layout>
                <c:manualLayout>
                  <c:x val="-0.252301836845073"/>
                  <c:y val="0.098560730931987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商业服务业等支出8.6万元，占</a:t>
                    </a:r>
                    <a:r>
                      <a:rPr lang="en-US" altLang="zh-CN" sz="750"/>
                      <a:t>0.47%</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25544922913344"/>
                      <c:h val="0.0756067749257901"/>
                    </c:manualLayout>
                  </c15:layout>
                </c:ext>
              </c:extLst>
            </c:dLbl>
            <c:dLbl>
              <c:idx val="9"/>
              <c:layout>
                <c:manualLayout>
                  <c:x val="-0.295368015630512"/>
                  <c:y val="0.014330959229311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住房保障支出80.27万元，占</a:t>
                    </a:r>
                    <a:r>
                      <a:rPr lang="en-US" altLang="zh-CN" sz="750"/>
                      <a:t>4.42%</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238702817650186"/>
                      <c:h val="0.0880041906757465"/>
                    </c:manualLayout>
                  </c15:layout>
                </c:ext>
              </c:extLst>
            </c:dLbl>
            <c:dLbl>
              <c:idx val="10"/>
              <c:layout>
                <c:manualLayout>
                  <c:x val="0.294656923901042"/>
                  <c:y val="0.013335194844109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750"/>
                      <a:t>其他支出6万元，占</a:t>
                    </a:r>
                    <a:r>
                      <a:rPr lang="en-US" altLang="zh-CN" sz="750"/>
                      <a:t>0.33%</a:t>
                    </a:r>
                    <a:endParaRPr lang="en-US" altLang="zh-CN" sz="750"/>
                  </a:p>
                </c:rich>
              </c:tx>
              <c:dLblPos val="bestFit"/>
              <c:showLegendKey val="0"/>
              <c:showVal val="1"/>
              <c:showCatName val="0"/>
              <c:showSerName val="0"/>
              <c:showPercent val="0"/>
              <c:showBubbleSize val="0"/>
              <c:extLst>
                <c:ext xmlns:c15="http://schemas.microsoft.com/office/drawing/2012/chart" uri="{CE6537A1-D6FC-4f65-9D91-7224C49458BB}">
                  <c15:layout>
                    <c:manualLayout>
                      <c:w val="0.320042530568846"/>
                      <c:h val="0.0485419940632094"/>
                    </c:manualLayout>
                  </c15:layout>
                </c:ext>
              </c:extLst>
            </c:dLbl>
            <c:spPr>
              <a:noFill/>
              <a:ln>
                <a:solidFill>
                  <a:schemeClr val="tx1"/>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Sheet1!$A$2:$A$12</c:f>
              <c:strCache>
                <c:ptCount val="11"/>
                <c:pt idx="0">
                  <c:v>一般公共服务类支出</c:v>
                </c:pt>
                <c:pt idx="1">
                  <c:v>教育支出</c:v>
                </c:pt>
                <c:pt idx="2">
                  <c:v>文化旅游体育与传媒支出</c:v>
                </c:pt>
                <c:pt idx="3">
                  <c:v>社会保障和就业支出</c:v>
                </c:pt>
                <c:pt idx="4">
                  <c:v>卫生健康支出</c:v>
                </c:pt>
                <c:pt idx="5">
                  <c:v>节能环保支出</c:v>
                </c:pt>
                <c:pt idx="6">
                  <c:v>城乡社区支出</c:v>
                </c:pt>
                <c:pt idx="7">
                  <c:v>农林水支出</c:v>
                </c:pt>
                <c:pt idx="8">
                  <c:v>商业服务业等支出</c:v>
                </c:pt>
                <c:pt idx="9">
                  <c:v>住房保障支出</c:v>
                </c:pt>
                <c:pt idx="10">
                  <c:v>其他支出</c:v>
                </c:pt>
              </c:strCache>
            </c:strRef>
          </c:cat>
          <c:val>
            <c:numRef>
              <c:f>Sheet1!$B$2:$B$12</c:f>
              <c:numCache>
                <c:formatCode>General</c:formatCode>
                <c:ptCount val="11"/>
                <c:pt idx="0">
                  <c:v>857.92</c:v>
                </c:pt>
                <c:pt idx="1">
                  <c:v>4.9</c:v>
                </c:pt>
                <c:pt idx="2">
                  <c:v>40.5</c:v>
                </c:pt>
                <c:pt idx="3">
                  <c:v>147.3</c:v>
                </c:pt>
                <c:pt idx="4">
                  <c:v>50.38</c:v>
                </c:pt>
                <c:pt idx="5">
                  <c:v>16.87</c:v>
                </c:pt>
                <c:pt idx="6">
                  <c:v>73.37</c:v>
                </c:pt>
                <c:pt idx="7">
                  <c:v>530.66</c:v>
                </c:pt>
                <c:pt idx="8">
                  <c:v>8.6</c:v>
                </c:pt>
                <c:pt idx="9">
                  <c:v>80.27</c:v>
                </c:pt>
                <c:pt idx="10">
                  <c:v>6</c:v>
                </c:pt>
              </c:numCache>
            </c:numRef>
          </c:val>
        </c:ser>
        <c:ser>
          <c:idx val="1"/>
          <c:order val="1"/>
          <c:tx>
            <c:strRef>
              <c:f>Sheet1!$C$1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delete val="1"/>
          </c:dLbls>
          <c:cat>
            <c:strRef>
              <c:f>Sheet1!$A$2:$A$12</c:f>
              <c:strCache>
                <c:ptCount val="11"/>
                <c:pt idx="0">
                  <c:v>一般公共服务类支出</c:v>
                </c:pt>
                <c:pt idx="1">
                  <c:v>教育支出</c:v>
                </c:pt>
                <c:pt idx="2">
                  <c:v>文化旅游体育与传媒支出</c:v>
                </c:pt>
                <c:pt idx="3">
                  <c:v>社会保障和就业支出</c:v>
                </c:pt>
                <c:pt idx="4">
                  <c:v>卫生健康支出</c:v>
                </c:pt>
                <c:pt idx="5">
                  <c:v>节能环保支出</c:v>
                </c:pt>
                <c:pt idx="6">
                  <c:v>城乡社区支出</c:v>
                </c:pt>
                <c:pt idx="7">
                  <c:v>农林水支出</c:v>
                </c:pt>
                <c:pt idx="8">
                  <c:v>商业服务业等支出</c:v>
                </c:pt>
                <c:pt idx="9">
                  <c:v>住房保障支出</c:v>
                </c:pt>
                <c:pt idx="10">
                  <c:v>其他支出</c:v>
                </c:pt>
              </c:strCache>
            </c:strRef>
          </c:cat>
          <c:val>
            <c:numRef>
              <c:f>Sheet1!$C$2:$C$12</c:f>
              <c:numCache>
                <c:formatCode>General</c:formatCode>
                <c:ptCount val="11"/>
                <c:pt idx="0">
                  <c:v>47.22</c:v>
                </c:pt>
                <c:pt idx="1">
                  <c:v>0.27</c:v>
                </c:pt>
                <c:pt idx="2">
                  <c:v>2.23</c:v>
                </c:pt>
                <c:pt idx="3">
                  <c:v>8.11</c:v>
                </c:pt>
                <c:pt idx="4">
                  <c:v>2.77</c:v>
                </c:pt>
                <c:pt idx="5">
                  <c:v>0.93</c:v>
                </c:pt>
                <c:pt idx="6">
                  <c:v>4.04</c:v>
                </c:pt>
                <c:pt idx="7">
                  <c:v>29.21</c:v>
                </c:pt>
                <c:pt idx="8">
                  <c:v>0.47</c:v>
                </c:pt>
                <c:pt idx="9">
                  <c:v>4.42</c:v>
                </c:pt>
                <c:pt idx="10">
                  <c:v>0.33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544922913343966"/>
          <c:y val="0.7792910773528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2282985-107a-4d04-bd7f-ff32df7a6bb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7</a:t>
            </a:r>
            <a:r>
              <a:rPr altLang="en-US"/>
              <a:t>：</a:t>
            </a:r>
            <a:r>
              <a:rPr lang="en-US" altLang="zh-CN"/>
              <a:t>“</a:t>
            </a:r>
            <a:r>
              <a:rPr altLang="en-US"/>
              <a:t>三公</a:t>
            </a:r>
            <a:r>
              <a:rPr lang="en-US" altLang="zh-CN"/>
              <a:t>”</a:t>
            </a:r>
            <a:r>
              <a:rPr altLang="en-US"/>
              <a:t>经费财政拨款支出结构</a:t>
            </a:r>
            <a:endParaRPr altLang="en-US"/>
          </a:p>
        </c:rich>
      </c:tx>
      <c:layout/>
      <c:overlay val="0"/>
      <c:spPr>
        <a:noFill/>
        <a:ln>
          <a:noFill/>
        </a:ln>
        <a:effectLst/>
      </c:spPr>
    </c:title>
    <c:autoTitleDeleted val="0"/>
    <c:plotArea>
      <c:layout/>
      <c:pieChart>
        <c:varyColors val="1"/>
        <c:ser>
          <c:idx val="0"/>
          <c:order val="0"/>
          <c:tx>
            <c:strRef>
              <c:f>Sheet1!$B$1</c:f>
              <c:strCache>
                <c:ptCount val="1"/>
                <c:pt idx="0">
                  <c:v>金额（万元）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415733930284618"/>
                  <c:y val="0"/>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公务用车购置及运行维护费4.73万元，占</a:t>
                    </a:r>
                    <a:r>
                      <a:rPr lang="en-US" altLang="zh-CN"/>
                      <a:t>54.43%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488462238465"/>
                  <c:y val="-0.16829493494547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公务接待费3.96万元，占</a:t>
                    </a:r>
                    <a:r>
                      <a:rPr lang="en-US" altLang="zh-CN"/>
                      <a:t>45.37%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299648225135913"/>
                      <c:h val="0.149273447820343"/>
                    </c:manualLayout>
                  </c15:layout>
                </c:ext>
              </c:extLst>
            </c:dLbl>
            <c:dLbl>
              <c:idx val="2"/>
              <c:delete val="1"/>
            </c:dLbl>
            <c:spPr>
              <a:noFill/>
              <a:ln>
                <a:solidFill>
                  <a:schemeClr val="tx1"/>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olidFill>
                      <a:round/>
                    </a:ln>
                    <a:effectLst/>
                  </c:spPr>
                </c15:leaderLines>
              </c:ext>
            </c:extLst>
          </c:dLbls>
          <c:cat>
            <c:strRef>
              <c:f>Sheet1!$A$2:$A$4</c:f>
              <c:strCache>
                <c:ptCount val="3"/>
                <c:pt idx="0">
                  <c:v>公务用车运行维护费支出</c:v>
                </c:pt>
                <c:pt idx="1">
                  <c:v>公务接待费</c:v>
                </c:pt>
              </c:strCache>
            </c:strRef>
          </c:cat>
          <c:val>
            <c:numRef>
              <c:f>Sheet1!$B$2:$B$4</c:f>
              <c:numCache>
                <c:formatCode>General</c:formatCode>
                <c:ptCount val="3"/>
                <c:pt idx="0">
                  <c:v>4.73</c:v>
                </c:pt>
                <c:pt idx="1">
                  <c:v>3.96</c:v>
                </c:pt>
              </c:numCache>
            </c:numRef>
          </c:val>
        </c:ser>
        <c:ser>
          <c:idx val="1"/>
          <c:order val="1"/>
          <c:tx>
            <c:strRef>
              <c:f>Sheet1!$C$1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公务用车运行维护费支出</c:v>
                </c:pt>
                <c:pt idx="1">
                  <c:v>公务接待费</c:v>
                </c:pt>
              </c:strCache>
            </c:strRef>
          </c:cat>
          <c:val>
            <c:numRef>
              <c:f>Sheet1!$C$2:$C$4</c:f>
              <c:numCache>
                <c:formatCode>General</c:formatCode>
                <c:ptCount val="3"/>
                <c:pt idx="0">
                  <c:v>54.43</c:v>
                </c:pt>
                <c:pt idx="1">
                  <c:v>45.57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ad49f4f-6c85-40f7-95c6-1d6f67dfae1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35</Pages>
  <Words>14202</Words>
  <Characters>15302</Characters>
  <Lines>7</Lines>
  <Paragraphs>17</Paragraphs>
  <TotalTime>5</TotalTime>
  <ScaleCrop>false</ScaleCrop>
  <LinksUpToDate>false</LinksUpToDate>
  <CharactersWithSpaces>15362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清水</cp:lastModifiedBy>
  <cp:lastPrinted>2020-09-26T07:27:00Z</cp:lastPrinted>
  <dcterms:modified xsi:type="dcterms:W3CDTF">2026-07-24T06:25:26Z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BA43BC24BAC0437799C36A0ADA6465A1</vt:lpwstr>
  </property>
  <property fmtid="{D5CDD505-2E9C-101B-9397-08002B2CF9AE}" pid="4" name="KSOTemplateDocerSaveRecord">
    <vt:lpwstr>eyJoZGlkIjoiMTMwYmI5NmY1OWNlODAzZmU4MDc2ZTBhNmMxZjNlYmYiLCJ1c2VySWQiOiIxMjA3NjgxODIxIn0=</vt:lpwstr>
  </property>
</Properties>
</file>