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72"/>
          <w:szCs w:val="72"/>
        </w:rPr>
      </w:pPr>
      <w:bookmarkStart w:id="0" w:name="_Toc15306267"/>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adjustRightInd w:val="0"/>
        <w:snapToGrid w:val="0"/>
        <w:spacing w:line="360" w:lineRule="auto"/>
        <w:jc w:val="center"/>
        <w:rPr>
          <w:rFonts w:ascii="方正小标宋简体" w:hAnsi="宋体" w:eastAsia="方正小标宋简体"/>
          <w:color w:val="000000"/>
          <w:sz w:val="72"/>
          <w:szCs w:val="72"/>
        </w:rPr>
      </w:pPr>
      <w:bookmarkStart w:id="1" w:name="_Toc22808993"/>
      <w:bookmarkStart w:id="2" w:name="_Toc15378441"/>
      <w:bookmarkStart w:id="3" w:name="_Toc15396475"/>
      <w:bookmarkStart w:id="4" w:name="_Toc15377193"/>
      <w:bookmarkStart w:id="5" w:name="_Toc15396597"/>
      <w:bookmarkStart w:id="6" w:name="_Toc15377425"/>
      <w:r>
        <w:rPr>
          <w:rFonts w:ascii="黑体" w:hAnsi="黑体" w:eastAsia="黑体" w:cs="黑体"/>
          <w:color w:val="000000"/>
          <w:sz w:val="72"/>
          <w:szCs w:val="72"/>
        </w:rPr>
        <w:t>2018</w:t>
      </w:r>
      <w:r>
        <w:rPr>
          <w:rFonts w:hint="eastAsia" w:ascii="方正小标宋简体" w:hAnsi="宋体" w:eastAsia="方正小标宋简体" w:cs="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rPr>
          <w:rFonts w:ascii="方正小标宋简体" w:hAnsi="宋体" w:eastAsia="方正小标宋简体"/>
          <w:color w:val="000000"/>
          <w:sz w:val="72"/>
          <w:szCs w:val="72"/>
        </w:rPr>
      </w:pPr>
      <w:bookmarkStart w:id="7" w:name="_Toc22808994"/>
      <w:bookmarkStart w:id="8" w:name="_Toc15377194"/>
      <w:bookmarkStart w:id="9" w:name="_Toc15377426"/>
      <w:bookmarkStart w:id="10" w:name="_Toc15378442"/>
      <w:bookmarkStart w:id="11" w:name="_Toc15396476"/>
      <w:bookmarkStart w:id="12" w:name="_Toc15396598"/>
      <w:r>
        <w:rPr>
          <w:rFonts w:hint="eastAsia" w:ascii="方正小标宋简体" w:hAnsi="宋体" w:eastAsia="方正小标宋简体" w:cs="方正小标宋简体"/>
          <w:color w:val="000000"/>
          <w:sz w:val="72"/>
          <w:szCs w:val="72"/>
        </w:rPr>
        <w:t>四川省乐山市井研县</w:t>
      </w:r>
      <w:bookmarkEnd w:id="0"/>
      <w:bookmarkStart w:id="13" w:name="_Toc15306268"/>
      <w:r>
        <w:rPr>
          <w:rFonts w:hint="eastAsia" w:ascii="方正小标宋简体" w:hAnsi="宋体" w:eastAsia="方正小标宋简体" w:cs="方正小标宋简体"/>
          <w:color w:val="000000"/>
          <w:sz w:val="72"/>
          <w:szCs w:val="72"/>
        </w:rPr>
        <w:t>集益乡人民政府部门决算</w:t>
      </w:r>
      <w:bookmarkEnd w:id="7"/>
      <w:bookmarkEnd w:id="8"/>
      <w:bookmarkEnd w:id="9"/>
      <w:bookmarkEnd w:id="10"/>
      <w:bookmarkEnd w:id="11"/>
      <w:bookmarkEnd w:id="12"/>
      <w:bookmarkEnd w:id="13"/>
    </w:p>
    <w:p>
      <w:pPr>
        <w:adjustRightInd w:val="0"/>
        <w:snapToGrid w:val="0"/>
        <w:spacing w:line="360" w:lineRule="auto"/>
        <w:jc w:val="center"/>
        <w:rPr>
          <w:rFonts w:ascii="方正小标宋简体" w:hAnsi="宋体" w:eastAsia="方正小标宋简体"/>
          <w:color w:val="000000"/>
          <w:sz w:val="52"/>
          <w:szCs w:val="52"/>
        </w:rPr>
      </w:pPr>
    </w:p>
    <w:p>
      <w:pPr>
        <w:widowControl/>
        <w:jc w:val="center"/>
        <w:rPr>
          <w:rFonts w:ascii="方正小标宋_GBK" w:hAnsi="黑体" w:eastAsia="方正小标宋_GBK"/>
          <w:color w:val="000000"/>
          <w:sz w:val="48"/>
          <w:szCs w:val="48"/>
        </w:rPr>
      </w:pPr>
      <w:r>
        <w:rPr>
          <w:rFonts w:ascii="方正小标宋简体" w:hAnsi="宋体" w:eastAsia="方正小标宋简体"/>
          <w:color w:val="000000"/>
          <w:sz w:val="36"/>
          <w:szCs w:val="36"/>
        </w:rPr>
        <w:br w:type="page"/>
      </w:r>
      <w:r>
        <w:rPr>
          <w:rFonts w:hint="eastAsia" w:ascii="方正小标宋_GBK" w:hAnsi="黑体" w:eastAsia="方正小标宋_GBK" w:cs="方正小标宋_GBK"/>
          <w:color w:val="000000"/>
          <w:sz w:val="48"/>
          <w:szCs w:val="48"/>
        </w:rPr>
        <w:t>目</w:t>
      </w:r>
      <w:r>
        <w:rPr>
          <w:rFonts w:ascii="方正小标宋_GBK" w:hAnsi="黑体" w:eastAsia="方正小标宋_GBK" w:cs="方正小标宋_GBK"/>
          <w:color w:val="000000"/>
          <w:sz w:val="48"/>
          <w:szCs w:val="48"/>
        </w:rPr>
        <w:t xml:space="preserve">  </w:t>
      </w:r>
      <w:r>
        <w:rPr>
          <w:rFonts w:hint="eastAsia" w:ascii="方正小标宋_GBK" w:hAnsi="黑体" w:eastAsia="方正小标宋_GBK" w:cs="方正小标宋_GBK"/>
          <w:color w:val="000000"/>
          <w:sz w:val="48"/>
          <w:szCs w:val="48"/>
        </w:rPr>
        <w:t>录</w:t>
      </w:r>
    </w:p>
    <w:p>
      <w:pPr>
        <w:tabs>
          <w:tab w:val="right" w:leader="dot" w:pos="7980"/>
          <w:tab w:val="right" w:leader="dot" w:pos="8400"/>
        </w:tabs>
        <w:spacing w:line="480" w:lineRule="auto"/>
        <w:rPr>
          <w:rFonts w:ascii="宋体" w:hAnsi="宋体"/>
          <w:sz w:val="28"/>
          <w:szCs w:val="28"/>
        </w:rPr>
      </w:pPr>
      <w:r>
        <w:rPr>
          <w:rFonts w:ascii="宋体" w:hAnsi="宋体" w:cs="宋体"/>
          <w:color w:val="000000"/>
          <w:bdr w:val="single" w:color="auto" w:sz="4" w:space="0"/>
        </w:rPr>
        <w:fldChar w:fldCharType="begin"/>
      </w:r>
      <w:r>
        <w:rPr>
          <w:rFonts w:ascii="宋体" w:hAnsi="宋体" w:cs="宋体"/>
          <w:color w:val="000000"/>
          <w:bdr w:val="single" w:color="auto" w:sz="4" w:space="0"/>
        </w:rPr>
        <w:instrText xml:space="preserve"> TOC \o "1-2" \h \z \u </w:instrText>
      </w:r>
      <w:r>
        <w:rPr>
          <w:rFonts w:ascii="宋体" w:hAnsi="宋体" w:cs="宋体"/>
          <w:color w:val="000000"/>
          <w:bdr w:val="single" w:color="auto" w:sz="4" w:space="0"/>
        </w:rPr>
        <w:fldChar w:fldCharType="separate"/>
      </w:r>
      <w:r>
        <w:fldChar w:fldCharType="begin"/>
      </w:r>
      <w:r>
        <w:instrText xml:space="preserve"> HYPERLINK \l "_Toc23235959" </w:instrText>
      </w:r>
      <w:r>
        <w:fldChar w:fldCharType="separate"/>
      </w:r>
      <w:r>
        <w:rPr>
          <w:rStyle w:val="16"/>
          <w:rFonts w:hint="eastAsia" w:ascii="宋体" w:hAnsi="宋体"/>
          <w:sz w:val="28"/>
          <w:szCs w:val="28"/>
        </w:rPr>
        <w:t>第一部分</w:t>
      </w:r>
      <w:r>
        <w:rPr>
          <w:rStyle w:val="16"/>
          <w:rFonts w:ascii="宋体" w:hAnsi="宋体"/>
          <w:sz w:val="28"/>
          <w:szCs w:val="28"/>
        </w:rPr>
        <w:t xml:space="preserve"> </w:t>
      </w:r>
      <w:r>
        <w:rPr>
          <w:rStyle w:val="16"/>
          <w:rFonts w:hint="eastAsia" w:ascii="宋体" w:hAnsi="宋体"/>
          <w:sz w:val="28"/>
          <w:szCs w:val="28"/>
        </w:rPr>
        <w:t>部门概况</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_Toc23235959 \h </w:instrText>
      </w:r>
      <w:r>
        <w:rPr>
          <w:rStyle w:val="16"/>
          <w:rFonts w:ascii="宋体" w:hAnsi="宋体"/>
          <w:sz w:val="28"/>
          <w:szCs w:val="28"/>
        </w:rPr>
        <w:fldChar w:fldCharType="separate"/>
      </w:r>
      <w:r>
        <w:rPr>
          <w:rStyle w:val="16"/>
          <w:rFonts w:ascii="宋体" w:hAnsi="宋体"/>
          <w:sz w:val="28"/>
          <w:szCs w:val="28"/>
        </w:rPr>
        <w:t>1</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"_Toc23235960" </w:instrText>
      </w:r>
      <w:r>
        <w:fldChar w:fldCharType="separate"/>
      </w:r>
      <w:r>
        <w:rPr>
          <w:rStyle w:val="16"/>
          <w:rFonts w:hint="eastAsia" w:ascii="宋体" w:hAnsi="宋体"/>
          <w:sz w:val="28"/>
          <w:szCs w:val="28"/>
        </w:rPr>
        <w:t>一、基本职能及主要工作</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_Toc23235960 \h </w:instrText>
      </w:r>
      <w:r>
        <w:rPr>
          <w:rStyle w:val="16"/>
          <w:rFonts w:ascii="宋体" w:hAnsi="宋体"/>
          <w:sz w:val="28"/>
          <w:szCs w:val="28"/>
        </w:rPr>
        <w:fldChar w:fldCharType="separate"/>
      </w:r>
      <w:r>
        <w:rPr>
          <w:rStyle w:val="16"/>
          <w:rFonts w:ascii="宋体" w:hAnsi="宋体"/>
          <w:sz w:val="28"/>
          <w:szCs w:val="28"/>
        </w:rPr>
        <w:t>1</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"_Toc23235961" </w:instrText>
      </w:r>
      <w:r>
        <w:fldChar w:fldCharType="separate"/>
      </w:r>
      <w:r>
        <w:rPr>
          <w:rStyle w:val="16"/>
          <w:rFonts w:hint="eastAsia" w:ascii="宋体" w:hAnsi="宋体"/>
          <w:sz w:val="28"/>
          <w:szCs w:val="28"/>
        </w:rPr>
        <w:t>二、机构设置</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_Toc23235961 \h </w:instrText>
      </w:r>
      <w:r>
        <w:rPr>
          <w:rStyle w:val="16"/>
          <w:rFonts w:ascii="宋体" w:hAnsi="宋体"/>
          <w:sz w:val="28"/>
          <w:szCs w:val="28"/>
        </w:rPr>
        <w:fldChar w:fldCharType="separate"/>
      </w:r>
      <w:r>
        <w:rPr>
          <w:rStyle w:val="16"/>
          <w:rFonts w:ascii="宋体" w:hAnsi="宋体"/>
          <w:sz w:val="28"/>
          <w:szCs w:val="28"/>
        </w:rPr>
        <w:t>5</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"_Toc23235962" </w:instrText>
      </w:r>
      <w:r>
        <w:fldChar w:fldCharType="separate"/>
      </w:r>
      <w:r>
        <w:rPr>
          <w:rStyle w:val="16"/>
          <w:rFonts w:hint="eastAsia" w:ascii="宋体" w:hAnsi="宋体"/>
          <w:sz w:val="28"/>
          <w:szCs w:val="28"/>
        </w:rPr>
        <w:t>第二部分</w:t>
      </w:r>
      <w:r>
        <w:rPr>
          <w:rStyle w:val="16"/>
          <w:rFonts w:ascii="宋体" w:hAnsi="宋体"/>
          <w:sz w:val="28"/>
          <w:szCs w:val="28"/>
        </w:rPr>
        <w:t xml:space="preserve">  2018</w:t>
      </w:r>
      <w:r>
        <w:rPr>
          <w:rStyle w:val="16"/>
          <w:rFonts w:hint="eastAsia" w:ascii="宋体" w:hAnsi="宋体"/>
          <w:sz w:val="28"/>
          <w:szCs w:val="28"/>
        </w:rPr>
        <w:t>年度部门决算情况说明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_Toc23235962 \h </w:instrText>
      </w:r>
      <w:r>
        <w:rPr>
          <w:rStyle w:val="16"/>
          <w:rFonts w:ascii="宋体" w:hAnsi="宋体"/>
          <w:sz w:val="28"/>
          <w:szCs w:val="28"/>
        </w:rPr>
        <w:fldChar w:fldCharType="separate"/>
      </w:r>
      <w:r>
        <w:rPr>
          <w:rStyle w:val="16"/>
          <w:rFonts w:ascii="宋体" w:hAnsi="宋体"/>
          <w:sz w:val="28"/>
          <w:szCs w:val="28"/>
        </w:rPr>
        <w:t>5</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"_Toc23235963" </w:instrText>
      </w:r>
      <w:r>
        <w:fldChar w:fldCharType="separate"/>
      </w:r>
      <w:r>
        <w:rPr>
          <w:rStyle w:val="16"/>
          <w:rFonts w:hint="eastAsia" w:ascii="宋体" w:hAnsi="宋体"/>
          <w:sz w:val="28"/>
          <w:szCs w:val="28"/>
        </w:rPr>
        <w:t>一、收入支出决算总体情况说明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_Toc23235963 \h </w:instrText>
      </w:r>
      <w:r>
        <w:rPr>
          <w:rStyle w:val="16"/>
          <w:rFonts w:ascii="宋体" w:hAnsi="宋体"/>
          <w:sz w:val="28"/>
          <w:szCs w:val="28"/>
        </w:rPr>
        <w:fldChar w:fldCharType="separate"/>
      </w:r>
      <w:r>
        <w:rPr>
          <w:rStyle w:val="16"/>
          <w:rFonts w:ascii="宋体" w:hAnsi="宋体"/>
          <w:sz w:val="28"/>
          <w:szCs w:val="28"/>
        </w:rPr>
        <w:t>5</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"_Toc23235964" </w:instrText>
      </w:r>
      <w:r>
        <w:fldChar w:fldCharType="separate"/>
      </w:r>
      <w:r>
        <w:rPr>
          <w:rStyle w:val="16"/>
          <w:rFonts w:hint="eastAsia" w:ascii="宋体" w:hAnsi="宋体"/>
          <w:sz w:val="28"/>
          <w:szCs w:val="28"/>
        </w:rPr>
        <w:t>二、收入决算情况说明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_Toc23235964 \h </w:instrText>
      </w:r>
      <w:r>
        <w:rPr>
          <w:rStyle w:val="16"/>
          <w:rFonts w:ascii="宋体" w:hAnsi="宋体"/>
          <w:sz w:val="28"/>
          <w:szCs w:val="28"/>
        </w:rPr>
        <w:fldChar w:fldCharType="separate"/>
      </w:r>
      <w:r>
        <w:rPr>
          <w:rStyle w:val="16"/>
          <w:rFonts w:ascii="宋体" w:hAnsi="宋体"/>
          <w:sz w:val="28"/>
          <w:szCs w:val="28"/>
        </w:rPr>
        <w:t>6</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"_Toc23235965" </w:instrText>
      </w:r>
      <w:r>
        <w:fldChar w:fldCharType="separate"/>
      </w:r>
      <w:r>
        <w:rPr>
          <w:rStyle w:val="16"/>
          <w:rFonts w:hint="eastAsia" w:ascii="宋体" w:hAnsi="宋体"/>
          <w:sz w:val="28"/>
          <w:szCs w:val="28"/>
        </w:rPr>
        <w:t>三、支出决算情况说明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_Toc23235965 \h </w:instrText>
      </w:r>
      <w:r>
        <w:rPr>
          <w:rStyle w:val="16"/>
          <w:rFonts w:ascii="宋体" w:hAnsi="宋体"/>
          <w:sz w:val="28"/>
          <w:szCs w:val="28"/>
        </w:rPr>
        <w:fldChar w:fldCharType="separate"/>
      </w:r>
      <w:r>
        <w:rPr>
          <w:rStyle w:val="16"/>
          <w:rFonts w:ascii="宋体" w:hAnsi="宋体"/>
          <w:sz w:val="28"/>
          <w:szCs w:val="28"/>
        </w:rPr>
        <w:t>6</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"_Toc23235966" </w:instrText>
      </w:r>
      <w:r>
        <w:fldChar w:fldCharType="separate"/>
      </w:r>
      <w:r>
        <w:rPr>
          <w:rStyle w:val="16"/>
          <w:rFonts w:hint="eastAsia" w:ascii="宋体" w:hAnsi="宋体"/>
          <w:sz w:val="28"/>
          <w:szCs w:val="28"/>
        </w:rPr>
        <w:t>四、财政拨款收入支出决算总体情况说明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_Toc23235966 \h </w:instrText>
      </w:r>
      <w:r>
        <w:rPr>
          <w:rStyle w:val="16"/>
          <w:rFonts w:ascii="宋体" w:hAnsi="宋体"/>
          <w:sz w:val="28"/>
          <w:szCs w:val="28"/>
        </w:rPr>
        <w:fldChar w:fldCharType="separate"/>
      </w:r>
      <w:r>
        <w:rPr>
          <w:rStyle w:val="16"/>
          <w:rFonts w:ascii="宋体" w:hAnsi="宋体"/>
          <w:sz w:val="28"/>
          <w:szCs w:val="28"/>
        </w:rPr>
        <w:t>7</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"_Toc23235967" </w:instrText>
      </w:r>
      <w:r>
        <w:fldChar w:fldCharType="separate"/>
      </w:r>
      <w:r>
        <w:rPr>
          <w:rStyle w:val="16"/>
          <w:rFonts w:hint="eastAsia" w:ascii="宋体" w:hAnsi="宋体"/>
          <w:sz w:val="28"/>
          <w:szCs w:val="28"/>
        </w:rPr>
        <w:t>五、一般公共预算财政拨款支出决算情况说明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_Toc23235967 \h </w:instrText>
      </w:r>
      <w:r>
        <w:rPr>
          <w:rStyle w:val="16"/>
          <w:rFonts w:ascii="宋体" w:hAnsi="宋体"/>
          <w:sz w:val="28"/>
          <w:szCs w:val="28"/>
        </w:rPr>
        <w:fldChar w:fldCharType="separate"/>
      </w:r>
      <w:r>
        <w:rPr>
          <w:rStyle w:val="16"/>
          <w:rFonts w:ascii="宋体" w:hAnsi="宋体"/>
          <w:sz w:val="28"/>
          <w:szCs w:val="28"/>
        </w:rPr>
        <w:t>8</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"_Toc23235968" </w:instrText>
      </w:r>
      <w:r>
        <w:fldChar w:fldCharType="separate"/>
      </w:r>
      <w:r>
        <w:rPr>
          <w:rStyle w:val="16"/>
          <w:rFonts w:hint="eastAsia" w:ascii="宋体" w:hAnsi="宋体"/>
          <w:sz w:val="28"/>
          <w:szCs w:val="28"/>
        </w:rPr>
        <w:t>六、一般公共预算财政拨款基本支出决算情况说明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_Toc23235968 \h </w:instrText>
      </w:r>
      <w:r>
        <w:rPr>
          <w:rStyle w:val="16"/>
          <w:rFonts w:ascii="宋体" w:hAnsi="宋体"/>
          <w:sz w:val="28"/>
          <w:szCs w:val="28"/>
        </w:rPr>
        <w:fldChar w:fldCharType="separate"/>
      </w:r>
      <w:r>
        <w:rPr>
          <w:rStyle w:val="16"/>
          <w:rFonts w:ascii="宋体" w:hAnsi="宋体"/>
          <w:sz w:val="28"/>
          <w:szCs w:val="28"/>
        </w:rPr>
        <w:t>12</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"_Toc23235969" </w:instrText>
      </w:r>
      <w:r>
        <w:fldChar w:fldCharType="separate"/>
      </w:r>
      <w:r>
        <w:rPr>
          <w:rStyle w:val="16"/>
          <w:rFonts w:hint="eastAsia" w:ascii="宋体" w:hAnsi="宋体"/>
          <w:sz w:val="28"/>
          <w:szCs w:val="28"/>
        </w:rPr>
        <w:t>七、</w:t>
      </w:r>
      <w:r>
        <w:rPr>
          <w:rStyle w:val="16"/>
          <w:rFonts w:ascii="宋体" w:hAnsi="宋体"/>
          <w:sz w:val="28"/>
          <w:szCs w:val="28"/>
        </w:rPr>
        <w:t>“</w:t>
      </w:r>
      <w:r>
        <w:rPr>
          <w:rStyle w:val="16"/>
          <w:rFonts w:hint="eastAsia" w:ascii="宋体" w:hAnsi="宋体"/>
          <w:sz w:val="28"/>
          <w:szCs w:val="28"/>
        </w:rPr>
        <w:t>三公”经费财政拨款支出决算情况说明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_Toc23235969 \h </w:instrText>
      </w:r>
      <w:r>
        <w:rPr>
          <w:rStyle w:val="16"/>
          <w:rFonts w:ascii="宋体" w:hAnsi="宋体"/>
          <w:sz w:val="28"/>
          <w:szCs w:val="28"/>
        </w:rPr>
        <w:fldChar w:fldCharType="separate"/>
      </w:r>
      <w:r>
        <w:rPr>
          <w:rStyle w:val="16"/>
          <w:rFonts w:ascii="宋体" w:hAnsi="宋体"/>
          <w:sz w:val="28"/>
          <w:szCs w:val="28"/>
        </w:rPr>
        <w:t>12</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"_Toc23235970" </w:instrText>
      </w:r>
      <w:r>
        <w:fldChar w:fldCharType="separate"/>
      </w:r>
      <w:r>
        <w:rPr>
          <w:rStyle w:val="16"/>
          <w:rFonts w:hint="eastAsia" w:ascii="宋体" w:hAnsi="宋体"/>
          <w:sz w:val="28"/>
          <w:szCs w:val="28"/>
        </w:rPr>
        <w:t>八、政府性基金预算支出决算情况说明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_Toc23235970 \h </w:instrText>
      </w:r>
      <w:r>
        <w:rPr>
          <w:rStyle w:val="16"/>
          <w:rFonts w:ascii="宋体" w:hAnsi="宋体"/>
          <w:sz w:val="28"/>
          <w:szCs w:val="28"/>
        </w:rPr>
        <w:fldChar w:fldCharType="separate"/>
      </w:r>
      <w:r>
        <w:rPr>
          <w:rStyle w:val="16"/>
          <w:rFonts w:ascii="宋体" w:hAnsi="宋体"/>
          <w:sz w:val="28"/>
          <w:szCs w:val="28"/>
        </w:rPr>
        <w:t>14</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"_Toc23235971" </w:instrText>
      </w:r>
      <w:r>
        <w:fldChar w:fldCharType="separate"/>
      </w:r>
      <w:r>
        <w:rPr>
          <w:rStyle w:val="16"/>
          <w:rFonts w:hint="eastAsia" w:ascii="宋体" w:hAnsi="宋体"/>
          <w:sz w:val="28"/>
          <w:szCs w:val="28"/>
        </w:rPr>
        <w:t>九、国有资本经营预算支出决算情况说明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_Toc23235971 \h </w:instrText>
      </w:r>
      <w:r>
        <w:rPr>
          <w:rStyle w:val="16"/>
          <w:rFonts w:ascii="宋体" w:hAnsi="宋体"/>
          <w:sz w:val="28"/>
          <w:szCs w:val="28"/>
        </w:rPr>
        <w:fldChar w:fldCharType="separate"/>
      </w:r>
      <w:r>
        <w:rPr>
          <w:rStyle w:val="16"/>
          <w:rFonts w:ascii="宋体" w:hAnsi="宋体"/>
          <w:sz w:val="28"/>
          <w:szCs w:val="28"/>
        </w:rPr>
        <w:t>14</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"_Toc23235972" </w:instrText>
      </w:r>
      <w:r>
        <w:fldChar w:fldCharType="separate"/>
      </w:r>
      <w:r>
        <w:rPr>
          <w:rStyle w:val="16"/>
          <w:rFonts w:hint="eastAsia" w:ascii="宋体" w:hAnsi="宋体"/>
          <w:sz w:val="28"/>
          <w:szCs w:val="28"/>
        </w:rPr>
        <w:t>十、预算绩效情况说明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_Toc23235972 \h </w:instrText>
      </w:r>
      <w:r>
        <w:rPr>
          <w:rStyle w:val="16"/>
          <w:rFonts w:ascii="宋体" w:hAnsi="宋体"/>
          <w:sz w:val="28"/>
          <w:szCs w:val="28"/>
        </w:rPr>
        <w:fldChar w:fldCharType="separate"/>
      </w:r>
      <w:r>
        <w:rPr>
          <w:rStyle w:val="16"/>
          <w:rFonts w:ascii="宋体" w:hAnsi="宋体"/>
          <w:sz w:val="28"/>
          <w:szCs w:val="28"/>
        </w:rPr>
        <w:t>15</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"_Toc23235973" </w:instrText>
      </w:r>
      <w:r>
        <w:fldChar w:fldCharType="separate"/>
      </w:r>
      <w:r>
        <w:rPr>
          <w:rStyle w:val="16"/>
          <w:rFonts w:hint="eastAsia" w:ascii="宋体" w:hAnsi="宋体"/>
          <w:sz w:val="28"/>
          <w:szCs w:val="28"/>
        </w:rPr>
        <w:t>十一、其他重要事项的情况说明</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_Toc23235973 \h </w:instrText>
      </w:r>
      <w:r>
        <w:rPr>
          <w:rStyle w:val="16"/>
          <w:rFonts w:ascii="宋体" w:hAnsi="宋体"/>
          <w:sz w:val="28"/>
          <w:szCs w:val="28"/>
        </w:rPr>
        <w:fldChar w:fldCharType="separate"/>
      </w:r>
      <w:r>
        <w:rPr>
          <w:rStyle w:val="16"/>
          <w:rFonts w:ascii="宋体" w:hAnsi="宋体"/>
          <w:sz w:val="28"/>
          <w:szCs w:val="28"/>
        </w:rPr>
        <w:t>15</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"_Toc23235974" </w:instrText>
      </w:r>
      <w:r>
        <w:fldChar w:fldCharType="separate"/>
      </w:r>
      <w:r>
        <w:rPr>
          <w:rStyle w:val="16"/>
          <w:rFonts w:hint="eastAsia" w:ascii="宋体" w:hAnsi="宋体"/>
          <w:sz w:val="28"/>
          <w:szCs w:val="28"/>
        </w:rPr>
        <w:t>第三部分 名词解释</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_Toc23235974 \h </w:instrText>
      </w:r>
      <w:r>
        <w:rPr>
          <w:rStyle w:val="16"/>
          <w:rFonts w:ascii="宋体" w:hAnsi="宋体"/>
          <w:sz w:val="28"/>
          <w:szCs w:val="28"/>
        </w:rPr>
        <w:fldChar w:fldCharType="separate"/>
      </w:r>
      <w:r>
        <w:rPr>
          <w:rStyle w:val="16"/>
          <w:rFonts w:ascii="宋体" w:hAnsi="宋体"/>
          <w:sz w:val="28"/>
          <w:szCs w:val="28"/>
        </w:rPr>
        <w:t>17</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"_Toc23235976" </w:instrText>
      </w:r>
      <w:r>
        <w:fldChar w:fldCharType="separate"/>
      </w:r>
      <w:r>
        <w:rPr>
          <w:rStyle w:val="16"/>
          <w:rFonts w:hint="eastAsia" w:ascii="宋体" w:hAnsi="宋体"/>
          <w:sz w:val="28"/>
          <w:szCs w:val="28"/>
        </w:rPr>
        <w:t>第四部分</w:t>
      </w:r>
      <w:r>
        <w:rPr>
          <w:rStyle w:val="16"/>
          <w:rFonts w:ascii="宋体" w:hAnsi="宋体"/>
          <w:sz w:val="28"/>
          <w:szCs w:val="28"/>
        </w:rPr>
        <w:t xml:space="preserve"> </w:t>
      </w:r>
      <w:r>
        <w:rPr>
          <w:rStyle w:val="16"/>
          <w:rFonts w:hint="eastAsia" w:ascii="宋体" w:hAnsi="宋体"/>
          <w:sz w:val="28"/>
          <w:szCs w:val="28"/>
        </w:rPr>
        <w:t>附件</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_Toc23235976 \h </w:instrText>
      </w:r>
      <w:r>
        <w:rPr>
          <w:rStyle w:val="16"/>
          <w:rFonts w:ascii="宋体" w:hAnsi="宋体"/>
          <w:sz w:val="28"/>
          <w:szCs w:val="28"/>
        </w:rPr>
        <w:fldChar w:fldCharType="separate"/>
      </w:r>
      <w:r>
        <w:rPr>
          <w:rStyle w:val="16"/>
          <w:rFonts w:ascii="宋体" w:hAnsi="宋体"/>
          <w:sz w:val="28"/>
          <w:szCs w:val="28"/>
        </w:rPr>
        <w:t>21</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"_Toc23235977" </w:instrText>
      </w:r>
      <w:r>
        <w:fldChar w:fldCharType="separate"/>
      </w:r>
      <w:r>
        <w:rPr>
          <w:rStyle w:val="16"/>
          <w:rFonts w:hint="eastAsia" w:ascii="宋体" w:hAnsi="宋体"/>
          <w:sz w:val="28"/>
          <w:szCs w:val="28"/>
        </w:rPr>
        <w:t>附件</w:t>
      </w:r>
      <w:r>
        <w:rPr>
          <w:rStyle w:val="16"/>
          <w:rFonts w:ascii="宋体" w:hAnsi="宋体"/>
          <w:sz w:val="28"/>
          <w:szCs w:val="28"/>
        </w:rPr>
        <w:t>1</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_Toc23235977 \h </w:instrText>
      </w:r>
      <w:r>
        <w:rPr>
          <w:rStyle w:val="16"/>
          <w:rFonts w:ascii="宋体" w:hAnsi="宋体"/>
          <w:sz w:val="28"/>
          <w:szCs w:val="28"/>
        </w:rPr>
        <w:fldChar w:fldCharType="separate"/>
      </w:r>
      <w:r>
        <w:rPr>
          <w:rStyle w:val="16"/>
          <w:rFonts w:ascii="宋体" w:hAnsi="宋体"/>
          <w:sz w:val="28"/>
          <w:szCs w:val="28"/>
        </w:rPr>
        <w:t>24</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"_Toc23235978" </w:instrText>
      </w:r>
      <w:r>
        <w:fldChar w:fldCharType="separate"/>
      </w:r>
      <w:r>
        <w:rPr>
          <w:rStyle w:val="16"/>
          <w:rFonts w:hint="eastAsia" w:ascii="宋体" w:hAnsi="宋体"/>
          <w:sz w:val="28"/>
          <w:szCs w:val="28"/>
        </w:rPr>
        <w:t>第五部分</w:t>
      </w:r>
      <w:r>
        <w:rPr>
          <w:rStyle w:val="16"/>
          <w:rFonts w:ascii="宋体" w:hAnsi="宋体"/>
          <w:sz w:val="28"/>
          <w:szCs w:val="28"/>
        </w:rPr>
        <w:t xml:space="preserve"> </w:t>
      </w:r>
      <w:r>
        <w:rPr>
          <w:rStyle w:val="16"/>
          <w:rFonts w:hint="eastAsia" w:ascii="宋体" w:hAnsi="宋体"/>
          <w:sz w:val="28"/>
          <w:szCs w:val="28"/>
        </w:rPr>
        <w:t>附表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_Toc23235978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"_Toc23235979" </w:instrText>
      </w:r>
      <w:r>
        <w:fldChar w:fldCharType="separate"/>
      </w:r>
      <w:r>
        <w:rPr>
          <w:rStyle w:val="16"/>
          <w:rFonts w:hint="eastAsia" w:ascii="宋体" w:hAnsi="宋体"/>
          <w:sz w:val="28"/>
          <w:szCs w:val="28"/>
        </w:rPr>
        <w:t>一、收入支出决算总表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_Toc23235979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"_Toc23235980" </w:instrText>
      </w:r>
      <w:r>
        <w:fldChar w:fldCharType="separate"/>
      </w:r>
      <w:r>
        <w:rPr>
          <w:rStyle w:val="16"/>
          <w:rFonts w:hint="eastAsia" w:ascii="宋体" w:hAnsi="宋体"/>
          <w:sz w:val="28"/>
          <w:szCs w:val="28"/>
        </w:rPr>
        <w:t>二、收入总表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_Toc23235980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"_Toc23235981" </w:instrText>
      </w:r>
      <w:r>
        <w:fldChar w:fldCharType="separate"/>
      </w:r>
      <w:r>
        <w:rPr>
          <w:rStyle w:val="16"/>
          <w:rFonts w:hint="eastAsia" w:ascii="宋体" w:hAnsi="宋体"/>
          <w:sz w:val="28"/>
          <w:szCs w:val="28"/>
        </w:rPr>
        <w:t>三、支出总表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_Toc23235981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"_Toc23235982" </w:instrText>
      </w:r>
      <w:r>
        <w:fldChar w:fldCharType="separate"/>
      </w:r>
      <w:r>
        <w:rPr>
          <w:rStyle w:val="16"/>
          <w:rFonts w:hint="eastAsia" w:ascii="宋体" w:hAnsi="宋体"/>
          <w:sz w:val="28"/>
          <w:szCs w:val="28"/>
        </w:rPr>
        <w:t>四、财政拨款收入支出决算总表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_Toc23235982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"_Toc23235983" </w:instrText>
      </w:r>
      <w:r>
        <w:fldChar w:fldCharType="separate"/>
      </w:r>
      <w:r>
        <w:rPr>
          <w:rStyle w:val="16"/>
          <w:rFonts w:hint="eastAsia" w:ascii="宋体" w:hAnsi="宋体"/>
          <w:sz w:val="28"/>
          <w:szCs w:val="28"/>
        </w:rPr>
        <w:t>五、财政拨款支出决算明细表（政府经济分类科目）</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_Toc23235983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"_Toc23235984" </w:instrText>
      </w:r>
      <w:r>
        <w:fldChar w:fldCharType="separate"/>
      </w:r>
      <w:r>
        <w:rPr>
          <w:rStyle w:val="16"/>
          <w:rFonts w:hint="eastAsia" w:ascii="宋体" w:hAnsi="宋体"/>
          <w:sz w:val="28"/>
          <w:szCs w:val="28"/>
        </w:rPr>
        <w:t>六、一般公共预算财政拨款支出决算表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_Toc23235984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"_Toc23235985" </w:instrText>
      </w:r>
      <w:r>
        <w:fldChar w:fldCharType="separate"/>
      </w:r>
      <w:r>
        <w:rPr>
          <w:rStyle w:val="16"/>
          <w:rFonts w:hint="eastAsia" w:ascii="宋体" w:hAnsi="宋体"/>
          <w:sz w:val="28"/>
          <w:szCs w:val="28"/>
        </w:rPr>
        <w:t>七、一般公共预算财政拨款支出决算明细表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_Toc23235985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"_Toc23235986" </w:instrText>
      </w:r>
      <w:r>
        <w:fldChar w:fldCharType="separate"/>
      </w:r>
      <w:r>
        <w:rPr>
          <w:rStyle w:val="16"/>
          <w:rFonts w:hint="eastAsia" w:ascii="宋体" w:hAnsi="宋体"/>
          <w:sz w:val="28"/>
          <w:szCs w:val="28"/>
        </w:rPr>
        <w:t>八、一般公共预算财政拨款基本支出决算表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_Toc23235986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"_Toc23235987" </w:instrText>
      </w:r>
      <w:r>
        <w:fldChar w:fldCharType="separate"/>
      </w:r>
      <w:r>
        <w:rPr>
          <w:rStyle w:val="16"/>
          <w:rFonts w:hint="eastAsia" w:ascii="宋体" w:hAnsi="宋体"/>
          <w:sz w:val="28"/>
          <w:szCs w:val="28"/>
        </w:rPr>
        <w:t>九、一般公共预算财政拨款项目支出决算表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_Toc23235987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"_Toc23235988" </w:instrText>
      </w:r>
      <w:r>
        <w:fldChar w:fldCharType="separate"/>
      </w:r>
      <w:r>
        <w:rPr>
          <w:rStyle w:val="16"/>
          <w:rFonts w:hint="eastAsia" w:ascii="宋体" w:hAnsi="宋体"/>
          <w:sz w:val="28"/>
          <w:szCs w:val="28"/>
        </w:rPr>
        <w:t>十、一般公共预算财政拨款“三公”经费支出决算表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_Toc23235988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"_Toc23235989" </w:instrText>
      </w:r>
      <w:r>
        <w:fldChar w:fldCharType="separate"/>
      </w:r>
      <w:r>
        <w:rPr>
          <w:rStyle w:val="16"/>
          <w:rFonts w:hint="eastAsia" w:ascii="宋体" w:hAnsi="宋体"/>
          <w:sz w:val="28"/>
          <w:szCs w:val="28"/>
        </w:rPr>
        <w:t>十一、政府性基金预算财政拨款收入支出决算表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_Toc23235989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宋体" w:hAnsi="宋体"/>
          <w:sz w:val="28"/>
          <w:szCs w:val="28"/>
        </w:rPr>
      </w:pPr>
      <w:r>
        <w:fldChar w:fldCharType="begin"/>
      </w:r>
      <w:r>
        <w:instrText xml:space="preserve"> HYPERLINK \l "_Toc23235990" </w:instrText>
      </w:r>
      <w:r>
        <w:fldChar w:fldCharType="separate"/>
      </w:r>
      <w:r>
        <w:rPr>
          <w:rStyle w:val="16"/>
          <w:rFonts w:hint="eastAsia" w:ascii="宋体" w:hAnsi="宋体"/>
          <w:sz w:val="28"/>
          <w:szCs w:val="28"/>
        </w:rPr>
        <w:t>十二、政府性基金预算财政拨款“三公”经费支出决算表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_Toc23235990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tabs>
          <w:tab w:val="right" w:leader="dot" w:pos="7980"/>
          <w:tab w:val="right" w:leader="dot" w:pos="8400"/>
        </w:tabs>
        <w:spacing w:line="480" w:lineRule="auto"/>
        <w:rPr>
          <w:rFonts w:ascii="Calibri" w:hAnsi="Calibri"/>
          <w:szCs w:val="22"/>
        </w:rPr>
      </w:pPr>
      <w:r>
        <w:fldChar w:fldCharType="begin"/>
      </w:r>
      <w:r>
        <w:instrText xml:space="preserve"> HYPERLINK \l "_Toc23235991" </w:instrText>
      </w:r>
      <w:r>
        <w:fldChar w:fldCharType="separate"/>
      </w:r>
      <w:r>
        <w:rPr>
          <w:rStyle w:val="16"/>
          <w:rFonts w:hint="eastAsia" w:ascii="宋体" w:hAnsi="宋体"/>
          <w:sz w:val="28"/>
          <w:szCs w:val="28"/>
        </w:rPr>
        <w:t>十三、国有资本经营预算支出决算表</w:t>
      </w:r>
      <w:r>
        <w:rPr>
          <w:rStyle w:val="16"/>
          <w:rFonts w:ascii="宋体" w:hAnsi="宋体"/>
          <w:sz w:val="28"/>
          <w:szCs w:val="28"/>
        </w:rPr>
        <w:tab/>
      </w:r>
      <w:r>
        <w:rPr>
          <w:rStyle w:val="16"/>
          <w:rFonts w:ascii="宋体" w:hAnsi="宋体"/>
          <w:sz w:val="28"/>
          <w:szCs w:val="28"/>
        </w:rPr>
        <w:fldChar w:fldCharType="begin"/>
      </w:r>
      <w:r>
        <w:rPr>
          <w:rStyle w:val="16"/>
          <w:rFonts w:ascii="宋体" w:hAnsi="宋体"/>
          <w:sz w:val="28"/>
          <w:szCs w:val="28"/>
        </w:rPr>
        <w:instrText xml:space="preserve"> PAGEREF _Toc23235991 \h </w:instrText>
      </w:r>
      <w:r>
        <w:rPr>
          <w:rStyle w:val="16"/>
          <w:rFonts w:ascii="宋体" w:hAnsi="宋体"/>
          <w:sz w:val="28"/>
          <w:szCs w:val="28"/>
        </w:rPr>
        <w:fldChar w:fldCharType="separate"/>
      </w:r>
      <w:r>
        <w:rPr>
          <w:rStyle w:val="16"/>
          <w:rFonts w:ascii="宋体" w:hAnsi="宋体"/>
          <w:sz w:val="28"/>
          <w:szCs w:val="28"/>
        </w:rPr>
        <w:t>30</w:t>
      </w:r>
      <w:r>
        <w:rPr>
          <w:rStyle w:val="16"/>
          <w:rFonts w:ascii="宋体" w:hAnsi="宋体"/>
          <w:sz w:val="28"/>
          <w:szCs w:val="28"/>
        </w:rPr>
        <w:fldChar w:fldCharType="end"/>
      </w:r>
      <w:r>
        <w:rPr>
          <w:rStyle w:val="16"/>
          <w:rFonts w:ascii="宋体" w:hAnsi="宋体"/>
          <w:sz w:val="28"/>
          <w:szCs w:val="28"/>
        </w:rPr>
        <w:fldChar w:fldCharType="end"/>
      </w:r>
    </w:p>
    <w:p>
      <w:pPr>
        <w:widowControl/>
        <w:tabs>
          <w:tab w:val="right" w:leader="dot" w:pos="7980"/>
          <w:tab w:val="right" w:leader="dot" w:pos="8400"/>
        </w:tabs>
        <w:spacing w:line="480" w:lineRule="auto"/>
        <w:jc w:val="right"/>
        <w:rPr>
          <w:rFonts w:ascii="宋体" w:hAnsi="宋体" w:cs="宋体"/>
          <w:color w:val="000000"/>
          <w:sz w:val="28"/>
          <w:szCs w:val="28"/>
          <w:bdr w:val="single" w:color="auto" w:sz="4" w:space="0"/>
        </w:rPr>
        <w:sectPr>
          <w:pgSz w:w="11906" w:h="16838"/>
          <w:pgMar w:top="1701" w:right="1474" w:bottom="1588" w:left="1531" w:header="851" w:footer="992" w:gutter="0"/>
          <w:pgNumType w:start="1"/>
          <w:cols w:space="425" w:num="1"/>
          <w:titlePg/>
          <w:docGrid w:linePitch="312" w:charSpace="0"/>
        </w:sectPr>
      </w:pPr>
      <w:r>
        <w:rPr>
          <w:rFonts w:ascii="宋体" w:hAnsi="宋体" w:cs="宋体"/>
          <w:color w:val="000000"/>
          <w:sz w:val="28"/>
          <w:szCs w:val="28"/>
          <w:bdr w:val="single" w:color="auto" w:sz="4" w:space="0"/>
        </w:rPr>
        <w:fldChar w:fldCharType="end"/>
      </w:r>
      <w:bookmarkStart w:id="14" w:name="_Toc15377196"/>
    </w:p>
    <w:p>
      <w:pPr>
        <w:pStyle w:val="2"/>
        <w:jc w:val="center"/>
        <w:rPr>
          <w:rFonts w:ascii="方正小标宋_GBK" w:hAnsi="黑体" w:eastAsia="方正小标宋_GBK"/>
        </w:rPr>
      </w:pPr>
      <w:bookmarkStart w:id="15" w:name="_Toc23235959"/>
      <w:r>
        <w:rPr>
          <w:rFonts w:hint="eastAsia" w:ascii="方正小标宋_GBK" w:hAnsi="黑体" w:eastAsia="方正小标宋_GBK" w:cs="方正小标宋_GBK"/>
          <w:b w:val="0"/>
          <w:bCs w:val="0"/>
        </w:rPr>
        <w:t>第一部分</w:t>
      </w:r>
      <w:r>
        <w:rPr>
          <w:rFonts w:ascii="方正小标宋_GBK" w:hAnsi="黑体" w:eastAsia="方正小标宋_GBK" w:cs="方正小标宋_GBK"/>
          <w:b w:val="0"/>
          <w:bCs w:val="0"/>
        </w:rPr>
        <w:t xml:space="preserve"> </w:t>
      </w:r>
      <w:r>
        <w:rPr>
          <w:rStyle w:val="17"/>
          <w:rFonts w:hint="eastAsia" w:ascii="方正小标宋_GBK" w:hAnsi="黑体" w:eastAsia="方正小标宋_GBK" w:cs="方正小标宋_GBK"/>
          <w:b w:val="0"/>
          <w:bCs w:val="0"/>
        </w:rPr>
        <w:t>部门概况</w:t>
      </w:r>
      <w:bookmarkEnd w:id="14"/>
      <w:bookmarkEnd w:id="15"/>
      <w:bookmarkStart w:id="16" w:name="_Toc15377197"/>
    </w:p>
    <w:p>
      <w:pPr>
        <w:pStyle w:val="3"/>
        <w:spacing w:line="600" w:lineRule="exact"/>
        <w:rPr>
          <w:rStyle w:val="18"/>
          <w:rFonts w:ascii="仿宋" w:hAnsi="仿宋" w:eastAsia="仿宋" w:cs="Times New Roman"/>
          <w:b w:val="0"/>
          <w:bCs w:val="0"/>
        </w:rPr>
      </w:pPr>
      <w:bookmarkStart w:id="17" w:name="_Toc23235960"/>
      <w:r>
        <w:rPr>
          <w:rFonts w:hint="eastAsia" w:ascii="黑体" w:hAnsi="黑体" w:eastAsia="黑体" w:cs="黑体"/>
          <w:b w:val="0"/>
          <w:bCs w:val="0"/>
          <w:color w:val="000000"/>
        </w:rPr>
        <w:t>一、基</w:t>
      </w:r>
      <w:r>
        <w:rPr>
          <w:rStyle w:val="18"/>
          <w:rFonts w:hint="eastAsia" w:ascii="黑体" w:hAnsi="黑体" w:eastAsia="黑体" w:cs="黑体"/>
          <w:b w:val="0"/>
          <w:bCs w:val="0"/>
        </w:rPr>
        <w:t>本职能及主要工作</w:t>
      </w:r>
      <w:bookmarkEnd w:id="16"/>
      <w:bookmarkEnd w:id="17"/>
    </w:p>
    <w:p>
      <w:pPr>
        <w:widowControl/>
        <w:adjustRightInd w:val="0"/>
        <w:snapToGrid w:val="0"/>
        <w:spacing w:line="540" w:lineRule="exact"/>
        <w:ind w:firstLine="800" w:firstLineChars="250"/>
        <w:jc w:val="left"/>
        <w:rPr>
          <w:rFonts w:ascii="仿宋" w:hAnsi="仿宋" w:eastAsia="仿宋"/>
          <w:color w:val="000000"/>
          <w:sz w:val="32"/>
          <w:szCs w:val="32"/>
        </w:rPr>
      </w:pPr>
      <w:bookmarkStart w:id="18" w:name="_Toc15378445"/>
      <w:bookmarkStart w:id="19" w:name="_Toc15377198"/>
      <w:r>
        <w:rPr>
          <w:rFonts w:hint="eastAsia" w:ascii="仿宋" w:hAnsi="仿宋" w:eastAsia="仿宋" w:cs="仿宋"/>
          <w:color w:val="000000"/>
          <w:sz w:val="32"/>
          <w:szCs w:val="32"/>
        </w:rPr>
        <w:t>（一）主要职能：</w:t>
      </w:r>
    </w:p>
    <w:p>
      <w:pPr>
        <w:widowControl/>
        <w:adjustRightInd w:val="0"/>
        <w:snapToGrid w:val="0"/>
        <w:spacing w:line="540" w:lineRule="exact"/>
        <w:ind w:firstLine="800" w:firstLineChars="250"/>
        <w:jc w:val="left"/>
        <w:rPr>
          <w:rFonts w:ascii="仿宋_GB2312" w:hAnsi="宋体" w:eastAsia="仿宋_GB2312"/>
          <w:sz w:val="32"/>
          <w:szCs w:val="32"/>
        </w:rPr>
      </w:pPr>
      <w:r>
        <w:rPr>
          <w:rFonts w:hint="eastAsia" w:ascii="仿宋_GB2312" w:hAnsi="宋体" w:eastAsia="仿宋_GB2312" w:cs="仿宋_GB2312"/>
          <w:sz w:val="32"/>
          <w:szCs w:val="32"/>
        </w:rPr>
        <w:t>乡政府的主要职能：一是落实政策。宣传、落实党的路线、方针、政策和国家的法律、法规，稳定农村基本经济制度，坚持依法行政，推进政务公开，加强对村民委员会的指导，提高、培育村民委员会自治能力。二是促进发展、科学制定发展规划，营造农村经济发展环境，加强农村市场监督，培育、提升市场功能，搞活市场流通，推广农业技术，完善农业社会化服务体系，引导农民发展现代农业，调整产业结构，加强农村劳动力技能培训，引导农村劳动力转移和就业，不断提高社会主义新农村建设水平。三是维护稳定。要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四是加强管理。加强民政、教育、科技、文化、卫生、计划生育、安全生产、劳动保障和乡村规划等社会管理，加强社会主义精神文明建设，做好防火减灾工作，搞好环境保护，努力改善农村人居环境，不断提高农村人口素质和农民生活质量。五是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党委、政府反映社情民意，进一步密切党和政府与人民群众的关系。六是完成县政府交办的工作任务。</w:t>
      </w:r>
    </w:p>
    <w:p>
      <w:pPr>
        <w:widowControl/>
        <w:adjustRightInd w:val="0"/>
        <w:snapToGrid w:val="0"/>
        <w:spacing w:line="540" w:lineRule="exact"/>
        <w:ind w:firstLine="800" w:firstLineChars="25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党政办公室（挂群众工作办公室牌子）主要职责：承担纪检监察、组织、宣传、统战、政法、武装、人事、劳动、审计、群团、保密、信访、文秘及综合协调等工作。负责党委、政府的日常事务；协调公安派出所等执法部门的工作；抓好农村社会治安综合治理和法制宣传教育；负责农村社会主义民主政治建设和法制建设；协调各办公室工作关系；执行乡财政预算决算；承担群众来信来访、民事纠纷调解、化解社会矛盾、维护社会稳定等工作；承办党委、政府交办的其他事项。财政所主要职责：</w:t>
      </w:r>
      <w:r>
        <w:rPr>
          <w:rFonts w:hint="eastAsia" w:ascii="仿宋_GB2312" w:hAnsi="宋体" w:eastAsia="仿宋_GB2312" w:cs="仿宋_GB2312"/>
          <w:sz w:val="32"/>
          <w:szCs w:val="32"/>
        </w:rPr>
        <w:t>执行财经法律、法规和政策；拟定乡财政发展规划。编报乡年度财政收支预算决算，组织预算执行；管理和监督各项财政收支，分析财政收支执行情况。</w:t>
      </w:r>
    </w:p>
    <w:p>
      <w:pPr>
        <w:widowControl/>
        <w:adjustRightInd w:val="0"/>
        <w:snapToGrid w:val="0"/>
        <w:spacing w:line="540" w:lineRule="exact"/>
        <w:ind w:firstLine="800" w:firstLineChars="250"/>
        <w:jc w:val="left"/>
        <w:rPr>
          <w:rFonts w:ascii="仿宋_GB2312" w:hAnsi="宋体" w:eastAsia="仿宋_GB2312" w:cs="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社会事务经济发展办公室（挂安全生产监督管理办公室、人口和计划生育办公室牌子）主要职责：承担科技、文教、广电、卫生、计生、民政、老龄、安全生产、劳动保障、环境保护和乡村规划等社会管理工作；负责科学技术的普及，搞好文化教育、卫生防疫、广电、法律服务、劳动输出与管理等工作；承担粮食、畜牧、农业、农机、林业、水利、林业、乡企、国土、交通、村建、环保、蚕桑、统计等工作；负责制定农业、农村经济发展规划；协调和指导农业服务部门的工作；负责农、林、牧、渔、水等各项事业的生产和技术服务部门的行政管理工作。实施对乡“农业技术服务中心”和“社会事务服务中心”的领导。</w:t>
      </w:r>
    </w:p>
    <w:p>
      <w:pPr>
        <w:pStyle w:val="5"/>
        <w:adjustRightInd w:val="0"/>
        <w:snapToGrid w:val="0"/>
        <w:spacing w:before="72" w:line="600" w:lineRule="exact"/>
        <w:ind w:firstLine="672" w:firstLineChars="210"/>
        <w:rPr>
          <w:rFonts w:hAnsi="仿宋" w:cs="Times New Roman"/>
          <w:color w:val="000000"/>
          <w:sz w:val="28"/>
          <w:szCs w:val="28"/>
        </w:rPr>
      </w:pPr>
      <w:r>
        <w:rPr>
          <w:rFonts w:hint="eastAsia" w:hAnsi="宋体"/>
          <w:sz w:val="32"/>
          <w:szCs w:val="32"/>
        </w:rPr>
        <w:t>农业技术服务中心主要职责：农林牧业生产中关键技术和新品种、新农具的引进、试验、示范；农作物和林木病虫害、动物疫病及农业灾害的监测、预报防治和处置；农作物苗情监测和农牧产品生产过程中的质量安全检测、监测和强制性检验；农业资源、林业资源、农业生态环境和农业投入品使用监测；农业公共信息和培训教育服务；小型水利工程及病害水库的整治；水资源管理和防汛抗旱技术服务；水土保持的预防及水土流失的治理；农机安全检查和事故的预防、报告及处理；乡村机耕道的规划建设；组织农机进行抗灾抢险和跨区域农机作业。</w:t>
      </w:r>
      <w:bookmarkEnd w:id="18"/>
      <w:bookmarkEnd w:id="19"/>
    </w:p>
    <w:p>
      <w:pPr>
        <w:widowControl/>
        <w:shd w:val="clear" w:color="auto" w:fill="FFFFFF"/>
        <w:spacing w:line="580" w:lineRule="exact"/>
        <w:ind w:firstLine="640" w:firstLineChars="200"/>
        <w:rPr>
          <w:rFonts w:ascii="仿宋" w:hAnsi="仿宋" w:eastAsia="仿宋"/>
          <w:color w:val="000000"/>
          <w:sz w:val="32"/>
          <w:szCs w:val="32"/>
        </w:rPr>
      </w:pPr>
      <w:bookmarkStart w:id="20" w:name="_Toc15377199"/>
      <w:bookmarkStart w:id="21" w:name="_Toc15378446"/>
      <w:r>
        <w:rPr>
          <w:rFonts w:hint="eastAsia" w:ascii="仿宋" w:hAnsi="仿宋" w:eastAsia="仿宋" w:cs="仿宋"/>
          <w:color w:val="000000"/>
          <w:sz w:val="32"/>
          <w:szCs w:val="32"/>
        </w:rPr>
        <w:t>（二）</w:t>
      </w:r>
      <w:r>
        <w:rPr>
          <w:rFonts w:ascii="仿宋" w:hAnsi="仿宋" w:eastAsia="仿宋" w:cs="仿宋"/>
          <w:color w:val="000000"/>
          <w:sz w:val="32"/>
          <w:szCs w:val="32"/>
        </w:rPr>
        <w:t>2018</w:t>
      </w:r>
      <w:r>
        <w:rPr>
          <w:rFonts w:hint="eastAsia" w:ascii="仿宋" w:hAnsi="仿宋" w:eastAsia="仿宋" w:cs="仿宋"/>
          <w:color w:val="000000"/>
          <w:sz w:val="32"/>
          <w:szCs w:val="32"/>
        </w:rPr>
        <w:t>年重点工作完成情况</w:t>
      </w:r>
      <w:bookmarkEnd w:id="20"/>
      <w:bookmarkEnd w:id="21"/>
      <w:r>
        <w:rPr>
          <w:rFonts w:hint="eastAsia" w:ascii="仿宋" w:hAnsi="仿宋" w:eastAsia="仿宋" w:cs="仿宋"/>
          <w:color w:val="000000"/>
          <w:sz w:val="32"/>
          <w:szCs w:val="32"/>
        </w:rPr>
        <w:t>：</w:t>
      </w:r>
    </w:p>
    <w:p>
      <w:pPr>
        <w:widowControl/>
        <w:shd w:val="clear" w:color="auto" w:fill="FFFFFF"/>
        <w:spacing w:line="580" w:lineRule="exact"/>
        <w:ind w:firstLine="640" w:firstLineChars="200"/>
        <w:rPr>
          <w:rFonts w:ascii="仿宋_GB2312" w:hAnsi="仿宋_GB2312" w:eastAsia="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认真学习贯彻党的十九大精神，按照中央提出振兴乡村发展战略目标，解放思想，转变观念，进一步深化推进农村供给侧综合性改革，大胆调整全乡发展战略主攻方向，在巩固壮大现代柑橘产业的基础上，积极培育拓展发展新业态，大力发展乡村旅游等服务行业，努力推动“一产”向“三产”的转型升级发展。力争农民人均纯收入年增长</w:t>
      </w:r>
      <w:r>
        <w:rPr>
          <w:rFonts w:ascii="仿宋_GB2312" w:hAnsi="仿宋_GB2312" w:eastAsia="仿宋_GB2312" w:cs="仿宋_GB2312"/>
          <w:kern w:val="0"/>
          <w:sz w:val="32"/>
          <w:szCs w:val="32"/>
          <w:shd w:val="clear" w:color="auto" w:fill="FFFFFF"/>
        </w:rPr>
        <w:t>12</w:t>
      </w:r>
      <w:r>
        <w:rPr>
          <w:rFonts w:hint="eastAsia" w:ascii="仿宋_GB2312" w:hAnsi="仿宋_GB2312" w:eastAsia="仿宋_GB2312" w:cs="仿宋_GB2312"/>
          <w:kern w:val="0"/>
          <w:sz w:val="32"/>
          <w:szCs w:val="32"/>
          <w:shd w:val="clear" w:color="auto" w:fill="FFFFFF"/>
        </w:rPr>
        <w:t>％，基本农田保护总面积</w:t>
      </w:r>
      <w:r>
        <w:rPr>
          <w:rFonts w:ascii="仿宋_GB2312" w:hAnsi="仿宋_GB2312" w:eastAsia="仿宋_GB2312" w:cs="仿宋_GB2312"/>
          <w:kern w:val="0"/>
          <w:sz w:val="32"/>
          <w:szCs w:val="32"/>
          <w:shd w:val="clear" w:color="auto" w:fill="FFFFFF"/>
        </w:rPr>
        <w:t>11439</w:t>
      </w:r>
      <w:r>
        <w:rPr>
          <w:rFonts w:hint="eastAsia" w:ascii="仿宋_GB2312" w:hAnsi="仿宋_GB2312" w:eastAsia="仿宋_GB2312" w:cs="仿宋_GB2312"/>
          <w:kern w:val="0"/>
          <w:sz w:val="32"/>
          <w:szCs w:val="32"/>
          <w:shd w:val="clear" w:color="auto" w:fill="FFFFFF"/>
        </w:rPr>
        <w:t>公顷；耕地保护总面积</w:t>
      </w:r>
      <w:r>
        <w:rPr>
          <w:rFonts w:ascii="仿宋_GB2312" w:hAnsi="仿宋_GB2312" w:eastAsia="仿宋_GB2312" w:cs="仿宋_GB2312"/>
          <w:kern w:val="0"/>
          <w:sz w:val="32"/>
          <w:szCs w:val="32"/>
          <w:shd w:val="clear" w:color="auto" w:fill="FFFFFF"/>
        </w:rPr>
        <w:t>1733</w:t>
      </w:r>
      <w:r>
        <w:rPr>
          <w:rFonts w:hint="eastAsia" w:ascii="仿宋_GB2312" w:hAnsi="仿宋_GB2312" w:eastAsia="仿宋_GB2312" w:cs="仿宋_GB2312"/>
          <w:kern w:val="0"/>
          <w:sz w:val="32"/>
          <w:szCs w:val="32"/>
          <w:shd w:val="clear" w:color="auto" w:fill="FFFFFF"/>
        </w:rPr>
        <w:t>公顷，稳定粮食生产；全面发展各项社会事业，农村社会和谐稳定，党的建设更加巩固。</w:t>
      </w:r>
    </w:p>
    <w:p>
      <w:pPr>
        <w:widowControl/>
        <w:shd w:val="clear" w:color="auto" w:fill="FFFFFF"/>
        <w:spacing w:line="580" w:lineRule="exact"/>
        <w:ind w:firstLine="640" w:firstLineChars="200"/>
        <w:rPr>
          <w:rFonts w:ascii="仿宋_GB2312" w:hAnsi="仿宋_GB2312" w:eastAsia="仿宋_GB2312"/>
          <w:sz w:val="32"/>
          <w:szCs w:val="32"/>
        </w:rPr>
      </w:pPr>
      <w:r>
        <w:rPr>
          <w:rFonts w:hint="eastAsia" w:ascii="楷体_GB2312" w:hAnsi="楷体_GB2312" w:eastAsia="楷体_GB2312" w:cs="楷体_GB2312"/>
          <w:kern w:val="0"/>
          <w:sz w:val="32"/>
          <w:szCs w:val="32"/>
        </w:rPr>
        <w:t>（</w:t>
      </w:r>
      <w:r>
        <w:rPr>
          <w:rFonts w:ascii="楷体_GB2312" w:hAnsi="楷体_GB2312" w:eastAsia="楷体_GB2312" w:cs="楷体_GB2312"/>
          <w:kern w:val="0"/>
          <w:sz w:val="32"/>
          <w:szCs w:val="32"/>
        </w:rPr>
        <w:t>1</w:t>
      </w:r>
      <w:r>
        <w:rPr>
          <w:rFonts w:hint="eastAsia" w:ascii="楷体_GB2312" w:hAnsi="楷体_GB2312" w:eastAsia="楷体_GB2312" w:cs="楷体_GB2312"/>
          <w:kern w:val="0"/>
          <w:sz w:val="32"/>
          <w:szCs w:val="32"/>
        </w:rPr>
        <w:t>）完善基础设施。</w:t>
      </w:r>
      <w:r>
        <w:rPr>
          <w:rFonts w:hint="eastAsia" w:ascii="仿宋_GB2312" w:hAnsi="仿宋_GB2312" w:eastAsia="仿宋_GB2312" w:cs="仿宋_GB2312"/>
          <w:kern w:val="0"/>
          <w:sz w:val="32"/>
          <w:szCs w:val="32"/>
          <w:shd w:val="clear" w:color="auto" w:fill="FFFFFF"/>
        </w:rPr>
        <w:t>积极争取利用好各种优惠政策和项目，按照“整体推进、集中打造”的思路，以项目为载体，整合项目资金，切实发挥项目效益。规划实施好“百里产业环线”周边农户风貌塑造、“一事一议”道路硬化等项目，狠抓基础配套设施建设，进一步改善农业生产条件和生态环境，为发展现代农业产业创造条件。</w:t>
      </w:r>
    </w:p>
    <w:p>
      <w:pPr>
        <w:widowControl/>
        <w:shd w:val="clear" w:color="auto" w:fill="FFFFFF"/>
        <w:spacing w:line="580" w:lineRule="exact"/>
        <w:ind w:firstLine="640" w:firstLineChars="200"/>
        <w:rPr>
          <w:rFonts w:ascii="仿宋_GB2312" w:hAnsi="仿宋_GB2312" w:eastAsia="仿宋_GB2312"/>
          <w:sz w:val="32"/>
          <w:szCs w:val="32"/>
        </w:rPr>
      </w:pPr>
      <w:r>
        <w:rPr>
          <w:rFonts w:hint="eastAsia" w:ascii="楷体_GB2312" w:hAnsi="楷体_GB2312" w:eastAsia="楷体_GB2312" w:cs="楷体_GB2312"/>
          <w:kern w:val="0"/>
          <w:sz w:val="32"/>
          <w:szCs w:val="32"/>
        </w:rPr>
        <w:t>（</w:t>
      </w:r>
      <w:r>
        <w:rPr>
          <w:rFonts w:ascii="楷体_GB2312" w:hAnsi="楷体_GB2312" w:eastAsia="楷体_GB2312" w:cs="楷体_GB2312"/>
          <w:kern w:val="0"/>
          <w:sz w:val="32"/>
          <w:szCs w:val="32"/>
        </w:rPr>
        <w:t>2</w:t>
      </w:r>
      <w:r>
        <w:rPr>
          <w:rFonts w:hint="eastAsia" w:ascii="楷体_GB2312" w:hAnsi="楷体_GB2312" w:eastAsia="楷体_GB2312" w:cs="楷体_GB2312"/>
          <w:kern w:val="0"/>
          <w:sz w:val="32"/>
          <w:szCs w:val="32"/>
        </w:rPr>
        <w:t>）打造生态循环产业。</w:t>
      </w:r>
      <w:r>
        <w:rPr>
          <w:rFonts w:hint="eastAsia" w:ascii="仿宋_GB2312" w:hAnsi="仿宋_GB2312" w:eastAsia="仿宋_GB2312" w:cs="仿宋_GB2312"/>
          <w:kern w:val="0"/>
          <w:sz w:val="32"/>
          <w:szCs w:val="32"/>
          <w:shd w:val="clear" w:color="auto" w:fill="FFFFFF"/>
        </w:rPr>
        <w:t>依法有序流转土地，促进土地适度规模经营，加强示范片标准化种养基地建设，大力发展休闲、观光农业、乡村民俗旅游等第三产业，强化示范片产业支撑，倾力打造高端品牌，利用集益区位优势，大力招商引资，开发具有浓郁乡土特色风味，集餐饮、休闲、居住、娱乐、垂钓为一体的农村休闲观光产业，加快垂钓基础设施建设，承接举办全国库钓赛事，把集益打造成休闲旅游的理想去处。</w:t>
      </w:r>
    </w:p>
    <w:p>
      <w:pPr>
        <w:widowControl/>
        <w:shd w:val="clear" w:color="auto" w:fill="FFFFFF"/>
        <w:spacing w:line="580" w:lineRule="exact"/>
        <w:ind w:firstLine="640" w:firstLineChars="200"/>
        <w:rPr>
          <w:rFonts w:ascii="仿宋_GB2312" w:hAnsi="仿宋_GB2312" w:eastAsia="仿宋_GB2312"/>
          <w:sz w:val="32"/>
          <w:szCs w:val="32"/>
        </w:rPr>
      </w:pPr>
      <w:r>
        <w:rPr>
          <w:rFonts w:hint="eastAsia" w:ascii="楷体_GB2312" w:hAnsi="楷体_GB2312" w:eastAsia="楷体_GB2312" w:cs="楷体_GB2312"/>
          <w:kern w:val="0"/>
          <w:sz w:val="32"/>
          <w:szCs w:val="32"/>
        </w:rPr>
        <w:t>（</w:t>
      </w:r>
      <w:r>
        <w:rPr>
          <w:rFonts w:ascii="楷体_GB2312" w:hAnsi="楷体_GB2312" w:eastAsia="楷体_GB2312" w:cs="楷体_GB2312"/>
          <w:kern w:val="0"/>
          <w:sz w:val="32"/>
          <w:szCs w:val="32"/>
        </w:rPr>
        <w:t>3</w:t>
      </w:r>
      <w:r>
        <w:rPr>
          <w:rFonts w:hint="eastAsia" w:ascii="楷体_GB2312" w:hAnsi="楷体_GB2312" w:eastAsia="楷体_GB2312" w:cs="楷体_GB2312"/>
          <w:kern w:val="0"/>
          <w:sz w:val="32"/>
          <w:szCs w:val="32"/>
        </w:rPr>
        <w:t>）开展社会综合治理。</w:t>
      </w:r>
      <w:r>
        <w:rPr>
          <w:rFonts w:hint="eastAsia" w:ascii="仿宋_GB2312" w:hAnsi="仿宋_GB2312" w:eastAsia="仿宋_GB2312" w:cs="仿宋_GB2312"/>
          <w:kern w:val="0"/>
          <w:sz w:val="32"/>
          <w:szCs w:val="32"/>
          <w:shd w:val="clear" w:color="auto" w:fill="FFFFFF"/>
        </w:rPr>
        <w:t>狠抓依法治理，巩固法制示范乡乡创建成果，深化培育和践行社会主义核心价值观教育实践活动，加强精神文明和民主法治建设，加强社会综合治理，突出治理方式和手段的探索创新，实现德治与法治有机结合，全力构建社会和谐稳定。</w:t>
      </w:r>
    </w:p>
    <w:p>
      <w:pPr>
        <w:widowControl/>
        <w:shd w:val="clear" w:color="auto" w:fill="FFFFFF"/>
        <w:spacing w:line="580" w:lineRule="exact"/>
        <w:ind w:firstLine="640" w:firstLineChars="200"/>
        <w:rPr>
          <w:rFonts w:ascii="仿宋_GB2312" w:hAnsi="仿宋_GB2312" w:eastAsia="仿宋_GB2312"/>
          <w:kern w:val="0"/>
          <w:sz w:val="32"/>
          <w:szCs w:val="32"/>
          <w:shd w:val="clear" w:color="auto" w:fill="FFFFFF"/>
        </w:rPr>
      </w:pPr>
      <w:r>
        <w:rPr>
          <w:rFonts w:hint="eastAsia" w:ascii="楷体_GB2312" w:hAnsi="楷体_GB2312" w:eastAsia="楷体_GB2312" w:cs="楷体_GB2312"/>
          <w:kern w:val="0"/>
          <w:sz w:val="32"/>
          <w:szCs w:val="32"/>
        </w:rPr>
        <w:t>（</w:t>
      </w:r>
      <w:r>
        <w:rPr>
          <w:rFonts w:ascii="楷体_GB2312" w:hAnsi="楷体_GB2312" w:eastAsia="楷体_GB2312" w:cs="楷体_GB2312"/>
          <w:kern w:val="0"/>
          <w:sz w:val="32"/>
          <w:szCs w:val="32"/>
        </w:rPr>
        <w:t>4</w:t>
      </w:r>
      <w:r>
        <w:rPr>
          <w:rFonts w:hint="eastAsia" w:ascii="楷体_GB2312" w:hAnsi="楷体_GB2312" w:eastAsia="楷体_GB2312" w:cs="楷体_GB2312"/>
          <w:kern w:val="0"/>
          <w:sz w:val="32"/>
          <w:szCs w:val="32"/>
        </w:rPr>
        <w:t>）全面加强党的建设。</w:t>
      </w:r>
      <w:r>
        <w:rPr>
          <w:rFonts w:hint="eastAsia" w:ascii="仿宋_GB2312" w:hAnsi="仿宋_GB2312" w:eastAsia="仿宋_GB2312" w:cs="仿宋_GB2312"/>
          <w:kern w:val="0"/>
          <w:sz w:val="32"/>
          <w:szCs w:val="32"/>
          <w:shd w:val="clear" w:color="auto" w:fill="FFFFFF"/>
        </w:rPr>
        <w:t>进一步解放思想，创新发展观念。认真落实党风廉政建设责任制和“两个责任”，重点抓好纪委规范化建设工作，深化“两学一做”学习教育，全面加强对党员、乡村组干部的学习、教育、监督和管理，切实抓好党的建设，为加速集益发展提供坚强的思想和组织保障。</w:t>
      </w:r>
    </w:p>
    <w:p>
      <w:pPr>
        <w:widowControl/>
        <w:shd w:val="clear" w:color="auto" w:fill="FFFFFF"/>
        <w:spacing w:line="580" w:lineRule="exact"/>
        <w:ind w:firstLine="640" w:firstLineChars="200"/>
        <w:rPr>
          <w:rFonts w:ascii="仿宋_GB2312" w:hAnsi="仿宋_GB2312" w:eastAsia="仿宋_GB2312"/>
          <w:sz w:val="32"/>
          <w:szCs w:val="32"/>
        </w:rPr>
      </w:pPr>
      <w:r>
        <w:rPr>
          <w:rFonts w:hint="eastAsia" w:ascii="楷体_GB2312" w:hAnsi="楷体_GB2312" w:eastAsia="楷体_GB2312" w:cs="楷体_GB2312"/>
          <w:kern w:val="0"/>
          <w:sz w:val="32"/>
          <w:szCs w:val="32"/>
        </w:rPr>
        <w:t>（</w:t>
      </w:r>
      <w:r>
        <w:rPr>
          <w:rFonts w:ascii="楷体_GB2312" w:hAnsi="楷体_GB2312" w:eastAsia="楷体_GB2312" w:cs="楷体_GB2312"/>
          <w:kern w:val="0"/>
          <w:sz w:val="32"/>
          <w:szCs w:val="32"/>
        </w:rPr>
        <w:t>5</w:t>
      </w:r>
      <w:r>
        <w:rPr>
          <w:rFonts w:hint="eastAsia" w:ascii="楷体_GB2312" w:hAnsi="楷体_GB2312" w:eastAsia="楷体_GB2312" w:cs="楷体_GB2312"/>
          <w:kern w:val="0"/>
          <w:sz w:val="32"/>
          <w:szCs w:val="32"/>
        </w:rPr>
        <w:t>）狠抓落实脱贫攻坚。</w:t>
      </w:r>
      <w:r>
        <w:rPr>
          <w:rFonts w:hint="eastAsia" w:ascii="仿宋_GB2312" w:hAnsi="仿宋_GB2312" w:eastAsia="仿宋_GB2312" w:cs="仿宋_GB2312"/>
          <w:kern w:val="0"/>
          <w:sz w:val="32"/>
          <w:szCs w:val="32"/>
          <w:shd w:val="clear" w:color="auto" w:fill="FFFFFF"/>
        </w:rPr>
        <w:t>坚持脱贫攻坚工作实打实干，一切工作都要落实到为贫困群众解决实际问题上，切实防止形式主义，不搞“花拳绣腿”，下足“绣花功夫”，讲科学、讲方法、讲效率，把各方面优势资源整合利用，实现贫困户真帮扶、真脱贫，共同致富奔小康。</w:t>
      </w:r>
    </w:p>
    <w:p>
      <w:pPr>
        <w:pStyle w:val="3"/>
        <w:spacing w:line="600" w:lineRule="exact"/>
        <w:rPr>
          <w:rStyle w:val="18"/>
          <w:rFonts w:cs="Times New Roman"/>
          <w:b w:val="0"/>
          <w:bCs w:val="0"/>
        </w:rPr>
      </w:pPr>
      <w:bookmarkStart w:id="22" w:name="_Toc15377200"/>
      <w:bookmarkStart w:id="23" w:name="_Toc23235961"/>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8"/>
          <w:rFonts w:hint="eastAsia" w:ascii="黑体" w:hAnsi="黑体" w:eastAsia="黑体" w:cs="黑体"/>
          <w:b w:val="0"/>
          <w:bCs w:val="0"/>
        </w:rPr>
        <w:t>构设置</w:t>
      </w:r>
      <w:bookmarkEnd w:id="22"/>
      <w:bookmarkEnd w:id="23"/>
    </w:p>
    <w:p>
      <w:pPr>
        <w:spacing w:line="600" w:lineRule="exact"/>
        <w:ind w:firstLine="800" w:firstLineChars="250"/>
        <w:rPr>
          <w:rFonts w:ascii="仿宋" w:hAnsi="仿宋" w:eastAsia="仿宋"/>
          <w:color w:val="000000"/>
          <w:sz w:val="32"/>
          <w:szCs w:val="32"/>
        </w:rPr>
      </w:pPr>
      <w:r>
        <w:rPr>
          <w:rFonts w:hint="eastAsia" w:ascii="仿宋" w:hAnsi="仿宋" w:eastAsia="仿宋" w:cs="仿宋"/>
          <w:color w:val="000000"/>
          <w:sz w:val="32"/>
          <w:szCs w:val="32"/>
        </w:rPr>
        <w:t>集益乡下属二级单位</w:t>
      </w:r>
      <w:r>
        <w:rPr>
          <w:rFonts w:ascii="仿宋" w:hAnsi="仿宋" w:eastAsia="仿宋" w:cs="仿宋"/>
          <w:color w:val="000000"/>
          <w:sz w:val="32"/>
          <w:szCs w:val="32"/>
        </w:rPr>
        <w:t>0</w:t>
      </w:r>
      <w:r>
        <w:rPr>
          <w:rFonts w:hint="eastAsia" w:ascii="仿宋" w:hAnsi="仿宋" w:eastAsia="仿宋" w:cs="仿宋"/>
          <w:color w:val="000000"/>
          <w:sz w:val="32"/>
          <w:szCs w:val="32"/>
        </w:rPr>
        <w:t>个，其中行政单位</w:t>
      </w:r>
      <w:r>
        <w:rPr>
          <w:rFonts w:ascii="仿宋" w:hAnsi="仿宋" w:eastAsia="仿宋" w:cs="仿宋"/>
          <w:color w:val="000000"/>
          <w:sz w:val="32"/>
          <w:szCs w:val="32"/>
        </w:rPr>
        <w:t>1</w:t>
      </w:r>
      <w:r>
        <w:rPr>
          <w:rFonts w:hint="eastAsia" w:ascii="仿宋" w:hAnsi="仿宋" w:eastAsia="仿宋" w:cs="仿宋"/>
          <w:color w:val="000000"/>
          <w:sz w:val="32"/>
          <w:szCs w:val="32"/>
        </w:rPr>
        <w:t>个，参照公务员法管理的事业单位</w:t>
      </w:r>
      <w:r>
        <w:rPr>
          <w:rFonts w:ascii="仿宋" w:hAnsi="仿宋" w:eastAsia="仿宋" w:cs="仿宋"/>
          <w:color w:val="000000"/>
          <w:sz w:val="32"/>
          <w:szCs w:val="32"/>
        </w:rPr>
        <w:t>0</w:t>
      </w:r>
      <w:r>
        <w:rPr>
          <w:rFonts w:hint="eastAsia" w:ascii="仿宋" w:hAnsi="仿宋" w:eastAsia="仿宋" w:cs="仿宋"/>
          <w:color w:val="000000"/>
          <w:sz w:val="32"/>
          <w:szCs w:val="32"/>
        </w:rPr>
        <w:t>个，其他事业单位</w:t>
      </w:r>
      <w:r>
        <w:rPr>
          <w:rFonts w:ascii="仿宋" w:hAnsi="仿宋" w:eastAsia="仿宋" w:cs="仿宋"/>
          <w:color w:val="000000"/>
          <w:sz w:val="32"/>
          <w:szCs w:val="32"/>
        </w:rPr>
        <w:t>0</w:t>
      </w:r>
      <w:r>
        <w:rPr>
          <w:rFonts w:hint="eastAsia" w:ascii="仿宋" w:hAnsi="仿宋" w:eastAsia="仿宋" w:cs="仿宋"/>
          <w:color w:val="000000"/>
          <w:sz w:val="32"/>
          <w:szCs w:val="32"/>
        </w:rPr>
        <w:t>个。</w:t>
      </w:r>
    </w:p>
    <w:p>
      <w:pPr>
        <w:pStyle w:val="5"/>
        <w:adjustRightInd w:val="0"/>
        <w:snapToGrid w:val="0"/>
        <w:spacing w:before="72" w:line="600" w:lineRule="exact"/>
        <w:ind w:firstLine="672" w:firstLineChars="210"/>
        <w:rPr>
          <w:rFonts w:ascii="仿宋" w:hAnsi="仿宋" w:eastAsia="仿宋" w:cs="仿宋"/>
          <w:color w:val="000000"/>
          <w:kern w:val="2"/>
          <w:sz w:val="32"/>
          <w:szCs w:val="32"/>
        </w:rPr>
      </w:pPr>
      <w:r>
        <w:rPr>
          <w:rFonts w:hint="eastAsia" w:ascii="仿宋" w:hAnsi="仿宋" w:eastAsia="仿宋" w:cs="仿宋"/>
          <w:color w:val="000000"/>
          <w:kern w:val="2"/>
          <w:sz w:val="32"/>
          <w:szCs w:val="32"/>
        </w:rPr>
        <w:t>纳入集益乡乡</w:t>
      </w:r>
      <w:r>
        <w:rPr>
          <w:rFonts w:ascii="仿宋" w:hAnsi="仿宋" w:eastAsia="仿宋" w:cs="仿宋"/>
          <w:color w:val="000000"/>
          <w:kern w:val="2"/>
          <w:sz w:val="32"/>
          <w:szCs w:val="32"/>
        </w:rPr>
        <w:t>2018</w:t>
      </w:r>
      <w:r>
        <w:rPr>
          <w:rFonts w:hint="eastAsia" w:ascii="仿宋" w:hAnsi="仿宋" w:eastAsia="仿宋" w:cs="仿宋"/>
          <w:color w:val="000000"/>
          <w:kern w:val="2"/>
          <w:sz w:val="32"/>
          <w:szCs w:val="32"/>
        </w:rPr>
        <w:t>年度部门决算编制范围的二级预算单位：无。</w:t>
      </w:r>
    </w:p>
    <w:p>
      <w:pPr>
        <w:pStyle w:val="2"/>
        <w:jc w:val="center"/>
        <w:rPr>
          <w:rStyle w:val="17"/>
          <w:rFonts w:ascii="方正小标宋简体" w:hAnsi="仿宋" w:eastAsia="方正小标宋简体"/>
          <w:b/>
          <w:bCs/>
          <w:color w:val="000000"/>
          <w:kern w:val="0"/>
          <w:sz w:val="32"/>
          <w:szCs w:val="32"/>
        </w:rPr>
      </w:pPr>
      <w:bookmarkStart w:id="24" w:name="_Toc15377204"/>
      <w:bookmarkStart w:id="25" w:name="_Toc23235962"/>
      <w:r>
        <w:rPr>
          <w:rFonts w:hint="eastAsia" w:ascii="方正小标宋简体" w:eastAsia="方正小标宋简体" w:cs="方正小标宋简体"/>
        </w:rPr>
        <w:t>第二部分</w:t>
      </w:r>
      <w:r>
        <w:rPr>
          <w:rFonts w:ascii="方正小标宋简体" w:eastAsia="方正小标宋简体" w:cs="方正小标宋简体"/>
        </w:rPr>
        <w:t xml:space="preserve">  </w:t>
      </w:r>
      <w:r>
        <w:rPr>
          <w:rStyle w:val="17"/>
          <w:rFonts w:ascii="方正小标宋简体" w:hAnsi="黑体" w:eastAsia="方正小标宋简体" w:cs="方正小标宋简体"/>
          <w:b w:val="0"/>
          <w:bCs w:val="0"/>
        </w:rPr>
        <w:t>2018</w:t>
      </w:r>
      <w:r>
        <w:rPr>
          <w:rStyle w:val="17"/>
          <w:rFonts w:hint="eastAsia" w:ascii="方正小标宋简体" w:hAnsi="黑体" w:eastAsia="方正小标宋简体" w:cs="方正小标宋简体"/>
          <w:b w:val="0"/>
          <w:bCs w:val="0"/>
        </w:rPr>
        <w:t>年度部门决算情况说明</w:t>
      </w:r>
      <w:bookmarkEnd w:id="24"/>
      <w:bookmarkEnd w:id="25"/>
    </w:p>
    <w:p>
      <w:pPr>
        <w:pStyle w:val="28"/>
        <w:numPr>
          <w:ilvl w:val="0"/>
          <w:numId w:val="1"/>
        </w:numPr>
        <w:spacing w:line="600" w:lineRule="exact"/>
        <w:ind w:left="1361" w:firstLineChars="0"/>
        <w:outlineLvl w:val="0"/>
        <w:rPr>
          <w:rStyle w:val="18"/>
          <w:rFonts w:ascii="黑体" w:hAnsi="黑体" w:eastAsia="黑体" w:cs="Times New Roman"/>
          <w:b w:val="0"/>
          <w:bCs w:val="0"/>
        </w:rPr>
      </w:pPr>
      <w:bookmarkStart w:id="26" w:name="_Toc23235963"/>
      <w:bookmarkStart w:id="27" w:name="_Toc15377205"/>
      <w:r>
        <w:rPr>
          <w:rFonts w:hint="eastAsia" w:ascii="黑体" w:hAnsi="黑体" w:eastAsia="黑体" w:cs="黑体"/>
          <w:color w:val="000000"/>
          <w:sz w:val="32"/>
          <w:szCs w:val="32"/>
        </w:rPr>
        <w:t>收</w:t>
      </w:r>
      <w:r>
        <w:rPr>
          <w:rStyle w:val="18"/>
          <w:rFonts w:hint="eastAsia" w:ascii="黑体" w:hAnsi="黑体" w:eastAsia="黑体" w:cs="黑体"/>
          <w:b w:val="0"/>
          <w:bCs w:val="0"/>
        </w:rPr>
        <w:t>入支出决算总体情况说明</w:t>
      </w:r>
      <w:bookmarkEnd w:id="26"/>
      <w:bookmarkEnd w:id="27"/>
    </w:p>
    <w:p>
      <w:pPr>
        <w:spacing w:line="600" w:lineRule="exact"/>
        <w:ind w:firstLine="420" w:firstLineChars="200"/>
        <w:rPr>
          <w:rFonts w:ascii="仿宋" w:hAnsi="仿宋" w:eastAsia="仿宋"/>
          <w:color w:val="000000"/>
          <w:sz w:val="32"/>
          <w:szCs w:val="32"/>
        </w:rPr>
      </w:pPr>
      <w:r>
        <w:pict>
          <v:shape id="_x0000_s1026" o:spid="_x0000_s1026" o:spt="75" type="#_x0000_t75" style="position:absolute;left:0pt;margin-left:28.25pt;margin-top:149.5pt;height:255.5pt;width:340.6pt;z-index:251659264;mso-width-relative:page;mso-height-relative:page;" o:ole="t" filled="f" o:preferrelative="t" stroked="f" coordsize="21600,21600">
            <v:path/>
            <v:fill on="f" focussize="0,0"/>
            <v:stroke on="f" joinstyle="miter"/>
            <v:imagedata r:id="rId8" o:title=""/>
            <o:lock v:ext="edit" aspectratio="t"/>
          </v:shape>
          <o:OLEObject Type="Embed" ProgID="MSGraph.Chart.8" ShapeID="_x0000_s1026" DrawAspect="Content" ObjectID="_1468075725" r:id="rId7">
            <o:LockedField>false</o:LockedField>
          </o:OLEObject>
        </w:pict>
      </w:r>
      <w:r>
        <w:rPr>
          <w:rFonts w:ascii="仿宋" w:hAnsi="仿宋" w:eastAsia="仿宋" w:cs="仿宋"/>
          <w:color w:val="000000"/>
          <w:sz w:val="32"/>
          <w:szCs w:val="32"/>
        </w:rPr>
        <w:t>2018</w:t>
      </w:r>
      <w:r>
        <w:rPr>
          <w:rFonts w:hint="eastAsia" w:ascii="仿宋" w:hAnsi="仿宋" w:eastAsia="仿宋" w:cs="仿宋"/>
          <w:color w:val="000000"/>
          <w:sz w:val="32"/>
          <w:szCs w:val="32"/>
        </w:rPr>
        <w:t>年度收入总计</w:t>
      </w:r>
      <w:r>
        <w:rPr>
          <w:rFonts w:ascii="仿宋" w:hAnsi="仿宋" w:eastAsia="仿宋" w:cs="仿宋"/>
          <w:color w:val="000000"/>
          <w:sz w:val="32"/>
          <w:szCs w:val="32"/>
        </w:rPr>
        <w:t>1212.55</w:t>
      </w:r>
      <w:r>
        <w:rPr>
          <w:rFonts w:hint="eastAsia" w:ascii="仿宋" w:hAnsi="仿宋" w:eastAsia="仿宋" w:cs="仿宋"/>
          <w:color w:val="000000"/>
          <w:sz w:val="32"/>
          <w:szCs w:val="32"/>
        </w:rPr>
        <w:t>万元，支出总计</w:t>
      </w:r>
      <w:r>
        <w:rPr>
          <w:rFonts w:ascii="仿宋" w:hAnsi="仿宋" w:eastAsia="仿宋" w:cs="仿宋"/>
          <w:color w:val="000000"/>
          <w:sz w:val="32"/>
          <w:szCs w:val="32"/>
        </w:rPr>
        <w:t>1152.25</w:t>
      </w:r>
      <w:r>
        <w:rPr>
          <w:rFonts w:hint="eastAsia" w:ascii="仿宋" w:hAnsi="仿宋" w:eastAsia="仿宋" w:cs="仿宋"/>
          <w:color w:val="000000"/>
          <w:sz w:val="32"/>
          <w:szCs w:val="32"/>
        </w:rPr>
        <w:t>万元。与</w:t>
      </w:r>
      <w:r>
        <w:rPr>
          <w:rFonts w:ascii="仿宋" w:hAnsi="仿宋" w:eastAsia="仿宋" w:cs="仿宋"/>
          <w:color w:val="000000"/>
          <w:sz w:val="32"/>
          <w:szCs w:val="32"/>
        </w:rPr>
        <w:t>2017</w:t>
      </w:r>
      <w:r>
        <w:rPr>
          <w:rFonts w:hint="eastAsia" w:ascii="仿宋" w:hAnsi="仿宋" w:eastAsia="仿宋" w:cs="仿宋"/>
          <w:color w:val="000000"/>
          <w:sz w:val="32"/>
          <w:szCs w:val="32"/>
        </w:rPr>
        <w:t>年相比，收入总计各增加</w:t>
      </w:r>
      <w:r>
        <w:rPr>
          <w:rFonts w:ascii="仿宋" w:hAnsi="仿宋" w:eastAsia="仿宋" w:cs="仿宋"/>
          <w:color w:val="000000"/>
          <w:sz w:val="32"/>
          <w:szCs w:val="32"/>
        </w:rPr>
        <w:t>355.16</w:t>
      </w:r>
      <w:r>
        <w:rPr>
          <w:rFonts w:hint="eastAsia" w:ascii="仿宋" w:hAnsi="仿宋" w:eastAsia="仿宋" w:cs="仿宋"/>
          <w:color w:val="000000"/>
          <w:sz w:val="32"/>
          <w:szCs w:val="32"/>
        </w:rPr>
        <w:t>万元，收入总计增长</w:t>
      </w:r>
      <w:r>
        <w:rPr>
          <w:rFonts w:ascii="仿宋" w:hAnsi="仿宋" w:eastAsia="仿宋" w:cs="仿宋"/>
          <w:color w:val="000000"/>
          <w:sz w:val="32"/>
          <w:szCs w:val="32"/>
        </w:rPr>
        <w:t>41.42%</w:t>
      </w:r>
      <w:r>
        <w:rPr>
          <w:rFonts w:hint="eastAsia" w:ascii="仿宋" w:hAnsi="仿宋" w:eastAsia="仿宋" w:cs="仿宋"/>
          <w:color w:val="000000"/>
          <w:sz w:val="32"/>
          <w:szCs w:val="32"/>
        </w:rPr>
        <w:t>，支出总计各增加</w:t>
      </w:r>
      <w:r>
        <w:rPr>
          <w:rFonts w:ascii="仿宋" w:hAnsi="仿宋" w:eastAsia="仿宋" w:cs="仿宋"/>
          <w:color w:val="000000"/>
          <w:sz w:val="32"/>
          <w:szCs w:val="32"/>
        </w:rPr>
        <w:t>351.24</w:t>
      </w:r>
      <w:r>
        <w:rPr>
          <w:rFonts w:hint="eastAsia" w:ascii="仿宋" w:hAnsi="仿宋" w:eastAsia="仿宋" w:cs="仿宋"/>
          <w:color w:val="000000"/>
          <w:sz w:val="32"/>
          <w:szCs w:val="32"/>
        </w:rPr>
        <w:t>万元，支出总计增长</w:t>
      </w:r>
      <w:r>
        <w:rPr>
          <w:rFonts w:ascii="仿宋" w:hAnsi="仿宋" w:eastAsia="仿宋" w:cs="仿宋"/>
          <w:color w:val="000000"/>
          <w:sz w:val="32"/>
          <w:szCs w:val="32"/>
        </w:rPr>
        <w:t>43.85%</w:t>
      </w:r>
      <w:r>
        <w:rPr>
          <w:rFonts w:hint="eastAsia" w:ascii="仿宋" w:hAnsi="仿宋" w:eastAsia="仿宋" w:cs="仿宋"/>
          <w:color w:val="000000"/>
          <w:sz w:val="32"/>
          <w:szCs w:val="32"/>
        </w:rPr>
        <w:t>。主要变动原因是人员增加和经费调资增加，农贸市场整治增加预算，一事一议财政奖补增加。</w:t>
      </w:r>
    </w:p>
    <w:p>
      <w:pPr>
        <w:spacing w:line="600" w:lineRule="exact"/>
        <w:ind w:firstLine="420" w:firstLineChars="200"/>
        <w:jc w:val="left"/>
        <w:rPr>
          <w:rFonts w:ascii="仿宋_GB2312" w:eastAsia="仿宋_GB2312"/>
          <w:color w:val="000000"/>
          <w:sz w:val="32"/>
          <w:szCs w:val="32"/>
        </w:rPr>
      </w:pPr>
      <w:r>
        <w:pict>
          <v:shape id="_x0000_s1027" o:spid="_x0000_s1027" o:spt="202" type="#_x0000_t202" style="position:absolute;left:0pt;margin-left:278.75pt;margin-top:22.15pt;height:23.4pt;width:72pt;z-index:251659264;mso-width-relative:page;mso-height-relative:page;" coordsize="21600,21600">
            <v:path/>
            <v:fill focussize="0,0"/>
            <v:stroke joinstyle="miter"/>
            <v:imagedata o:title=""/>
            <o:lock v:ext="edit"/>
            <v:textbox>
              <w:txbxContent>
                <w:p>
                  <w:r>
                    <w:rPr>
                      <w:rFonts w:hint="eastAsia" w:cs="宋体"/>
                    </w:rPr>
                    <w:t>单位：万元</w:t>
                  </w:r>
                </w:p>
              </w:txbxContent>
            </v:textbox>
          </v:shape>
        </w:pic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8"/>
        <w:spacing w:line="600" w:lineRule="exact"/>
        <w:ind w:firstLine="0" w:firstLineChars="0"/>
        <w:outlineLvl w:val="1"/>
        <w:rPr>
          <w:rFonts w:ascii="黑体" w:hAnsi="黑体" w:eastAsia="黑体"/>
          <w:sz w:val="32"/>
          <w:szCs w:val="32"/>
        </w:rPr>
      </w:pPr>
      <w:bookmarkStart w:id="28" w:name="_Toc15377206"/>
    </w:p>
    <w:p>
      <w:pPr>
        <w:pStyle w:val="28"/>
        <w:numPr>
          <w:ilvl w:val="0"/>
          <w:numId w:val="1"/>
        </w:numPr>
        <w:spacing w:line="600" w:lineRule="exact"/>
        <w:ind w:left="1361" w:firstLineChars="0"/>
        <w:outlineLvl w:val="1"/>
        <w:rPr>
          <w:rStyle w:val="18"/>
          <w:rFonts w:ascii="黑体" w:hAnsi="黑体" w:eastAsia="黑体" w:cs="Times New Roman"/>
          <w:b w:val="0"/>
          <w:bCs w:val="0"/>
        </w:rPr>
      </w:pPr>
      <w:bookmarkStart w:id="29" w:name="_Toc23235964"/>
      <w:r>
        <w:rPr>
          <w:rFonts w:hint="eastAsia" w:ascii="黑体" w:hAnsi="黑体" w:eastAsia="黑体" w:cs="黑体"/>
          <w:color w:val="000000"/>
          <w:sz w:val="32"/>
          <w:szCs w:val="32"/>
        </w:rPr>
        <w:t>收</w:t>
      </w:r>
      <w:r>
        <w:rPr>
          <w:rStyle w:val="18"/>
          <w:rFonts w:hint="eastAsia" w:ascii="黑体" w:hAnsi="黑体" w:eastAsia="黑体" w:cs="黑体"/>
          <w:b w:val="0"/>
          <w:bCs w:val="0"/>
        </w:rPr>
        <w:t>入决算情况说明</w:t>
      </w:r>
      <w:bookmarkEnd w:id="28"/>
      <w:bookmarkEnd w:id="29"/>
    </w:p>
    <w:p>
      <w:pPr>
        <w:spacing w:line="600" w:lineRule="exact"/>
        <w:ind w:firstLine="640" w:firstLineChars="200"/>
        <w:rPr>
          <w:rFonts w:ascii="仿宋" w:hAnsi="仿宋" w:eastAsia="仿宋"/>
          <w:color w:val="000000"/>
          <w:sz w:val="32"/>
          <w:szCs w:val="32"/>
        </w:rPr>
      </w:pPr>
      <w:bookmarkStart w:id="30" w:name="_Toc22809000"/>
      <w:r>
        <w:rPr>
          <w:rFonts w:ascii="仿宋" w:hAnsi="仿宋" w:eastAsia="仿宋" w:cs="仿宋"/>
          <w:color w:val="000000"/>
          <w:sz w:val="32"/>
          <w:szCs w:val="32"/>
        </w:rPr>
        <w:t>2018</w:t>
      </w:r>
      <w:r>
        <w:rPr>
          <w:rFonts w:hint="eastAsia" w:ascii="仿宋" w:hAnsi="仿宋" w:eastAsia="仿宋" w:cs="仿宋"/>
          <w:color w:val="000000"/>
          <w:sz w:val="32"/>
          <w:szCs w:val="32"/>
        </w:rPr>
        <w:t>年本年收入合计</w:t>
      </w:r>
      <w:r>
        <w:rPr>
          <w:rFonts w:ascii="仿宋" w:hAnsi="仿宋" w:eastAsia="仿宋" w:cs="仿宋"/>
          <w:color w:val="000000"/>
          <w:sz w:val="32"/>
          <w:szCs w:val="32"/>
        </w:rPr>
        <w:t>1212.55</w:t>
      </w:r>
      <w:r>
        <w:rPr>
          <w:rFonts w:hint="eastAsia" w:ascii="仿宋" w:hAnsi="仿宋" w:eastAsia="仿宋" w:cs="仿宋"/>
          <w:color w:val="000000"/>
          <w:sz w:val="32"/>
          <w:szCs w:val="32"/>
        </w:rPr>
        <w:t>万元，其中：一般公共预算财政拨款收入</w:t>
      </w:r>
      <w:r>
        <w:rPr>
          <w:rFonts w:ascii="仿宋" w:hAnsi="仿宋" w:eastAsia="仿宋" w:cs="仿宋"/>
          <w:color w:val="000000"/>
          <w:sz w:val="32"/>
          <w:szCs w:val="32"/>
        </w:rPr>
        <w:t>1112.91</w:t>
      </w:r>
      <w:r>
        <w:rPr>
          <w:rFonts w:hint="eastAsia" w:ascii="仿宋" w:hAnsi="仿宋" w:eastAsia="仿宋" w:cs="仿宋"/>
          <w:color w:val="000000"/>
          <w:sz w:val="32"/>
          <w:szCs w:val="32"/>
        </w:rPr>
        <w:t>万元，占</w:t>
      </w:r>
      <w:r>
        <w:rPr>
          <w:rFonts w:ascii="仿宋" w:hAnsi="仿宋" w:eastAsia="仿宋" w:cs="仿宋"/>
          <w:color w:val="000000"/>
          <w:sz w:val="32"/>
          <w:szCs w:val="32"/>
        </w:rPr>
        <w:t>91.78%</w:t>
      </w:r>
      <w:r>
        <w:rPr>
          <w:rFonts w:hint="eastAsia" w:ascii="仿宋" w:hAnsi="仿宋" w:eastAsia="仿宋" w:cs="仿宋"/>
          <w:color w:val="000000"/>
          <w:sz w:val="32"/>
          <w:szCs w:val="32"/>
        </w:rPr>
        <w:t>；政府性基金预算财政拨款收入</w:t>
      </w:r>
      <w:r>
        <w:rPr>
          <w:rFonts w:ascii="仿宋" w:hAnsi="仿宋" w:eastAsia="仿宋" w:cs="仿宋"/>
          <w:color w:val="000000"/>
          <w:sz w:val="32"/>
          <w:szCs w:val="32"/>
        </w:rPr>
        <w:t>99.64</w:t>
      </w:r>
      <w:r>
        <w:rPr>
          <w:rFonts w:hint="eastAsia" w:ascii="仿宋" w:hAnsi="仿宋" w:eastAsia="仿宋" w:cs="仿宋"/>
          <w:color w:val="000000"/>
          <w:sz w:val="32"/>
          <w:szCs w:val="32"/>
        </w:rPr>
        <w:t>万元，占</w:t>
      </w:r>
      <w:r>
        <w:rPr>
          <w:rFonts w:ascii="仿宋" w:hAnsi="仿宋" w:eastAsia="仿宋" w:cs="仿宋"/>
          <w:color w:val="000000"/>
          <w:sz w:val="32"/>
          <w:szCs w:val="32"/>
        </w:rPr>
        <w:t>8.22%</w:t>
      </w:r>
      <w:r>
        <w:rPr>
          <w:rFonts w:hint="eastAsia" w:ascii="仿宋" w:hAnsi="仿宋" w:eastAsia="仿宋" w:cs="仿宋"/>
          <w:color w:val="000000"/>
          <w:sz w:val="32"/>
          <w:szCs w:val="32"/>
        </w:rPr>
        <w:t>；国有资本经营预算财政拨款收入</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；事业收入</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；经营收入</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；附属单位上缴收入</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；其他收入</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w:t>
      </w:r>
      <w:bookmarkEnd w:id="30"/>
    </w:p>
    <w:p>
      <w:pPr>
        <w:spacing w:line="600" w:lineRule="exact"/>
        <w:ind w:firstLine="420" w:firstLineChars="200"/>
        <w:rPr>
          <w:rFonts w:ascii="仿宋_GB2312" w:eastAsia="仿宋_GB2312"/>
          <w:color w:val="FF0000"/>
          <w:sz w:val="32"/>
          <w:szCs w:val="32"/>
        </w:rPr>
      </w:pPr>
      <w:r>
        <w:pict>
          <v:shape id="_x0000_s1028" o:spid="_x0000_s1028" o:spt="75" type="#_x0000_t75" style="position:absolute;left:0pt;margin-left:21pt;margin-top:8.4pt;height:310.85pt;width:446.3pt;z-index:251659264;mso-width-relative:page;mso-height-relative:page;" o:ole="t" filled="f" o:preferrelative="t" stroked="f" coordsize="21600,21600">
            <v:path/>
            <v:fill on="f" focussize="0,0"/>
            <v:stroke on="f" joinstyle="miter"/>
            <v:imagedata r:id="rId10" o:title=""/>
            <o:lock v:ext="edit" aspectratio="t"/>
          </v:shape>
          <o:OLEObject Type="Embed" ProgID="MSGraph.Chart.8" ShapeID="_x0000_s1028" DrawAspect="Content" ObjectID="_1468075726" r:id="rId9">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8"/>
        <w:numPr>
          <w:ilvl w:val="0"/>
          <w:numId w:val="1"/>
        </w:numPr>
        <w:spacing w:line="600" w:lineRule="exact"/>
        <w:ind w:left="1361" w:firstLineChars="0"/>
        <w:outlineLvl w:val="1"/>
        <w:rPr>
          <w:rStyle w:val="18"/>
          <w:rFonts w:ascii="黑体" w:hAnsi="黑体" w:eastAsia="黑体" w:cs="Times New Roman"/>
          <w:b w:val="0"/>
          <w:bCs w:val="0"/>
        </w:rPr>
      </w:pPr>
      <w:bookmarkStart w:id="31" w:name="_Toc15377207"/>
      <w:bookmarkStart w:id="32" w:name="_Toc23235965"/>
      <w:r>
        <w:rPr>
          <w:rFonts w:hint="eastAsia" w:ascii="黑体" w:hAnsi="黑体" w:eastAsia="黑体" w:cs="黑体"/>
          <w:color w:val="000000"/>
          <w:sz w:val="32"/>
          <w:szCs w:val="32"/>
        </w:rPr>
        <w:t>支</w:t>
      </w:r>
      <w:r>
        <w:rPr>
          <w:rStyle w:val="18"/>
          <w:rFonts w:hint="eastAsia" w:ascii="黑体" w:hAnsi="黑体" w:eastAsia="黑体" w:cs="黑体"/>
          <w:b w:val="0"/>
          <w:bCs w:val="0"/>
        </w:rPr>
        <w:t>出决算情况说明</w:t>
      </w:r>
      <w:bookmarkEnd w:id="31"/>
      <w:bookmarkEnd w:id="32"/>
    </w:p>
    <w:p>
      <w:pPr>
        <w:spacing w:line="600" w:lineRule="exact"/>
        <w:ind w:firstLine="640"/>
        <w:rPr>
          <w:rFonts w:ascii="仿宋" w:hAnsi="仿宋" w:eastAsia="仿宋"/>
          <w:color w:val="000000"/>
          <w:sz w:val="32"/>
          <w:szCs w:val="32"/>
          <w:shd w:val="pct10" w:color="auto" w:fill="FFFFFF"/>
        </w:rPr>
      </w:pPr>
      <w:r>
        <w:rPr>
          <w:rFonts w:ascii="仿宋" w:hAnsi="仿宋" w:eastAsia="仿宋" w:cs="仿宋"/>
          <w:color w:val="000000"/>
          <w:sz w:val="32"/>
          <w:szCs w:val="32"/>
        </w:rPr>
        <w:t>2018</w:t>
      </w:r>
      <w:r>
        <w:rPr>
          <w:rFonts w:hint="eastAsia" w:ascii="仿宋" w:hAnsi="仿宋" w:eastAsia="仿宋" w:cs="仿宋"/>
          <w:color w:val="000000"/>
          <w:sz w:val="32"/>
          <w:szCs w:val="32"/>
        </w:rPr>
        <w:t>年本年支出合计</w:t>
      </w:r>
      <w:r>
        <w:rPr>
          <w:rFonts w:ascii="仿宋" w:hAnsi="仿宋" w:eastAsia="仿宋" w:cs="仿宋"/>
          <w:color w:val="000000"/>
          <w:sz w:val="32"/>
          <w:szCs w:val="32"/>
        </w:rPr>
        <w:t>1152.25</w:t>
      </w:r>
      <w:r>
        <w:rPr>
          <w:rFonts w:hint="eastAsia" w:ascii="仿宋" w:hAnsi="仿宋" w:eastAsia="仿宋" w:cs="仿宋"/>
          <w:color w:val="000000"/>
          <w:sz w:val="32"/>
          <w:szCs w:val="32"/>
        </w:rPr>
        <w:t>万元，其中：基本支出</w:t>
      </w:r>
      <w:r>
        <w:rPr>
          <w:rFonts w:ascii="仿宋" w:hAnsi="仿宋" w:eastAsia="仿宋" w:cs="仿宋"/>
          <w:color w:val="000000"/>
          <w:sz w:val="32"/>
          <w:szCs w:val="32"/>
        </w:rPr>
        <w:t>537.32</w:t>
      </w:r>
      <w:r>
        <w:rPr>
          <w:rFonts w:hint="eastAsia" w:ascii="仿宋" w:hAnsi="仿宋" w:eastAsia="仿宋" w:cs="仿宋"/>
          <w:color w:val="000000"/>
          <w:sz w:val="32"/>
          <w:szCs w:val="32"/>
        </w:rPr>
        <w:t>万元，占</w:t>
      </w:r>
      <w:r>
        <w:rPr>
          <w:rFonts w:ascii="仿宋" w:hAnsi="仿宋" w:eastAsia="仿宋" w:cs="仿宋"/>
          <w:color w:val="000000"/>
          <w:sz w:val="32"/>
          <w:szCs w:val="32"/>
        </w:rPr>
        <w:t>46.63%</w:t>
      </w:r>
      <w:r>
        <w:rPr>
          <w:rFonts w:hint="eastAsia" w:ascii="仿宋" w:hAnsi="仿宋" w:eastAsia="仿宋" w:cs="仿宋"/>
          <w:color w:val="000000"/>
          <w:sz w:val="32"/>
          <w:szCs w:val="32"/>
        </w:rPr>
        <w:t>；项目支出</w:t>
      </w:r>
      <w:r>
        <w:rPr>
          <w:rFonts w:ascii="仿宋" w:hAnsi="仿宋" w:eastAsia="仿宋" w:cs="仿宋"/>
          <w:color w:val="000000"/>
          <w:sz w:val="32"/>
          <w:szCs w:val="32"/>
        </w:rPr>
        <w:t>614.93</w:t>
      </w:r>
      <w:r>
        <w:rPr>
          <w:rFonts w:hint="eastAsia" w:ascii="仿宋" w:hAnsi="仿宋" w:eastAsia="仿宋" w:cs="仿宋"/>
          <w:color w:val="000000"/>
          <w:sz w:val="32"/>
          <w:szCs w:val="32"/>
        </w:rPr>
        <w:t>万元，占</w:t>
      </w:r>
      <w:r>
        <w:rPr>
          <w:rFonts w:ascii="仿宋" w:hAnsi="仿宋" w:eastAsia="仿宋" w:cs="仿宋"/>
          <w:color w:val="000000"/>
          <w:sz w:val="32"/>
          <w:szCs w:val="32"/>
        </w:rPr>
        <w:t>53.37%</w:t>
      </w:r>
      <w:r>
        <w:rPr>
          <w:rFonts w:hint="eastAsia" w:ascii="仿宋" w:hAnsi="仿宋" w:eastAsia="仿宋" w:cs="仿宋"/>
          <w:color w:val="000000"/>
          <w:sz w:val="32"/>
          <w:szCs w:val="32"/>
        </w:rPr>
        <w:t>；上缴上级支出</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；经营支出</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；对附属单位补助支出</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w:t>
      </w:r>
    </w:p>
    <w:p>
      <w:pPr>
        <w:spacing w:line="600" w:lineRule="exact"/>
        <w:rPr>
          <w:rFonts w:ascii="仿宋_GB2312" w:eastAsia="仿宋_GB2312"/>
          <w:color w:val="FF0000"/>
          <w:sz w:val="32"/>
          <w:szCs w:val="32"/>
        </w:rPr>
      </w:pPr>
      <w:r>
        <w:pict>
          <v:shape id="_x0000_s1029" o:spid="_x0000_s1029" o:spt="75" type="#_x0000_t75" style="position:absolute;left:0pt;margin-left:31.5pt;margin-top:16.8pt;height:285.75pt;width:435.75pt;z-index:251659264;mso-width-relative:page;mso-height-relative:page;" o:ole="t" filled="f" o:preferrelative="t" stroked="f" coordsize="21600,21600">
            <v:path/>
            <v:fill on="f" focussize="0,0"/>
            <v:stroke on="f" joinstyle="miter"/>
            <v:imagedata r:id="rId12" o:title=""/>
            <o:lock v:ext="edit" aspectratio="t"/>
          </v:shape>
          <o:OLEObject Type="Embed" ProgID="MSGraph.Chart.8" ShapeID="_x0000_s1029" DrawAspect="Content" ObjectID="_1468075727" r:id="rId11">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8"/>
          <w:rFonts w:ascii="黑体" w:hAnsi="黑体" w:eastAsia="黑体" w:cs="Times New Roman"/>
          <w:b w:val="0"/>
          <w:bCs w:val="0"/>
        </w:rPr>
      </w:pPr>
      <w:bookmarkStart w:id="33" w:name="_Toc15377208"/>
      <w:bookmarkStart w:id="34" w:name="_Toc23235966"/>
      <w:r>
        <w:rPr>
          <w:rFonts w:hint="eastAsia" w:ascii="黑体" w:hAnsi="黑体" w:eastAsia="黑体" w:cs="黑体"/>
          <w:color w:val="000000"/>
          <w:sz w:val="32"/>
          <w:szCs w:val="32"/>
        </w:rPr>
        <w:t>四、财</w:t>
      </w:r>
      <w:r>
        <w:rPr>
          <w:rStyle w:val="18"/>
          <w:rFonts w:hint="eastAsia" w:ascii="黑体" w:hAnsi="黑体" w:eastAsia="黑体" w:cs="黑体"/>
          <w:b w:val="0"/>
          <w:bCs w:val="0"/>
        </w:rPr>
        <w:t>政拨款收入支出决算总体情况说明</w:t>
      </w:r>
      <w:bookmarkEnd w:id="33"/>
      <w:bookmarkEnd w:id="34"/>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47.25pt;margin-top:117pt;height:255.15pt;width:342.15pt;z-index:251659264;mso-width-relative:page;mso-height-relative:page;" o:ole="t" filled="f" o:preferrelative="t" stroked="f" coordsize="21600,21600">
            <v:path/>
            <v:fill on="f" focussize="0,0"/>
            <v:stroke on="f" joinstyle="miter"/>
            <v:imagedata r:id="rId14" o:title=""/>
            <o:lock v:ext="edit" aspectratio="t"/>
          </v:shape>
          <o:OLEObject Type="Embed" ProgID="MSGraph.Chart.8" ShapeID="_x0000_s1030" DrawAspect="Content" ObjectID="_1468075728" r:id="rId13">
            <o:LockedField>false</o:LockedField>
          </o:OLEObject>
        </w:pict>
      </w:r>
      <w:r>
        <w:rPr>
          <w:rFonts w:ascii="仿宋" w:hAnsi="仿宋" w:eastAsia="仿宋" w:cs="仿宋"/>
          <w:color w:val="000000"/>
          <w:sz w:val="32"/>
          <w:szCs w:val="32"/>
        </w:rPr>
        <w:t>2018</w:t>
      </w:r>
      <w:r>
        <w:rPr>
          <w:rFonts w:hint="eastAsia" w:ascii="仿宋" w:hAnsi="仿宋" w:eastAsia="仿宋" w:cs="仿宋"/>
          <w:color w:val="000000"/>
          <w:sz w:val="32"/>
          <w:szCs w:val="32"/>
        </w:rPr>
        <w:t>年度收入总计</w:t>
      </w:r>
      <w:r>
        <w:rPr>
          <w:rFonts w:ascii="仿宋" w:hAnsi="仿宋" w:eastAsia="仿宋" w:cs="仿宋"/>
          <w:color w:val="000000"/>
          <w:sz w:val="32"/>
          <w:szCs w:val="32"/>
        </w:rPr>
        <w:t>1212.55</w:t>
      </w:r>
      <w:r>
        <w:rPr>
          <w:rFonts w:hint="eastAsia" w:ascii="仿宋" w:hAnsi="仿宋" w:eastAsia="仿宋" w:cs="仿宋"/>
          <w:color w:val="000000"/>
          <w:sz w:val="32"/>
          <w:szCs w:val="32"/>
        </w:rPr>
        <w:t>万元，支出总计</w:t>
      </w:r>
      <w:r>
        <w:rPr>
          <w:rFonts w:ascii="仿宋" w:hAnsi="仿宋" w:eastAsia="仿宋" w:cs="仿宋"/>
          <w:color w:val="000000"/>
          <w:sz w:val="32"/>
          <w:szCs w:val="32"/>
        </w:rPr>
        <w:t>1152.25</w:t>
      </w:r>
      <w:r>
        <w:rPr>
          <w:rFonts w:hint="eastAsia" w:ascii="仿宋" w:hAnsi="仿宋" w:eastAsia="仿宋" w:cs="仿宋"/>
          <w:color w:val="000000"/>
          <w:sz w:val="32"/>
          <w:szCs w:val="32"/>
        </w:rPr>
        <w:t>万元。与</w:t>
      </w:r>
      <w:r>
        <w:rPr>
          <w:rFonts w:ascii="仿宋" w:hAnsi="仿宋" w:eastAsia="仿宋" w:cs="仿宋"/>
          <w:color w:val="000000"/>
          <w:sz w:val="32"/>
          <w:szCs w:val="32"/>
        </w:rPr>
        <w:t>2017</w:t>
      </w:r>
      <w:r>
        <w:rPr>
          <w:rFonts w:hint="eastAsia" w:ascii="仿宋" w:hAnsi="仿宋" w:eastAsia="仿宋" w:cs="仿宋"/>
          <w:color w:val="000000"/>
          <w:sz w:val="32"/>
          <w:szCs w:val="32"/>
        </w:rPr>
        <w:t>年相比，收入总计各增加</w:t>
      </w:r>
      <w:r>
        <w:rPr>
          <w:rFonts w:ascii="仿宋" w:hAnsi="仿宋" w:eastAsia="仿宋" w:cs="仿宋"/>
          <w:color w:val="000000"/>
          <w:sz w:val="32"/>
          <w:szCs w:val="32"/>
        </w:rPr>
        <w:t>355.16</w:t>
      </w:r>
      <w:r>
        <w:rPr>
          <w:rFonts w:hint="eastAsia" w:ascii="仿宋" w:hAnsi="仿宋" w:eastAsia="仿宋" w:cs="仿宋"/>
          <w:color w:val="000000"/>
          <w:sz w:val="32"/>
          <w:szCs w:val="32"/>
        </w:rPr>
        <w:t>万元，收入总计增长</w:t>
      </w:r>
      <w:r>
        <w:rPr>
          <w:rFonts w:ascii="仿宋" w:hAnsi="仿宋" w:eastAsia="仿宋" w:cs="仿宋"/>
          <w:color w:val="000000"/>
          <w:sz w:val="32"/>
          <w:szCs w:val="32"/>
        </w:rPr>
        <w:t>41.42%</w:t>
      </w:r>
      <w:r>
        <w:rPr>
          <w:rFonts w:hint="eastAsia" w:ascii="仿宋" w:hAnsi="仿宋" w:eastAsia="仿宋" w:cs="仿宋"/>
          <w:color w:val="000000"/>
          <w:sz w:val="32"/>
          <w:szCs w:val="32"/>
        </w:rPr>
        <w:t>，支出总计各增加</w:t>
      </w:r>
      <w:r>
        <w:rPr>
          <w:rFonts w:ascii="仿宋" w:hAnsi="仿宋" w:eastAsia="仿宋" w:cs="仿宋"/>
          <w:color w:val="000000"/>
          <w:sz w:val="32"/>
          <w:szCs w:val="32"/>
        </w:rPr>
        <w:t>351.24</w:t>
      </w:r>
      <w:r>
        <w:rPr>
          <w:rFonts w:hint="eastAsia" w:ascii="仿宋" w:hAnsi="仿宋" w:eastAsia="仿宋" w:cs="仿宋"/>
          <w:color w:val="000000"/>
          <w:sz w:val="32"/>
          <w:szCs w:val="32"/>
        </w:rPr>
        <w:t>万元，支出总计增长</w:t>
      </w:r>
      <w:r>
        <w:rPr>
          <w:rFonts w:ascii="仿宋" w:hAnsi="仿宋" w:eastAsia="仿宋" w:cs="仿宋"/>
          <w:color w:val="000000"/>
          <w:sz w:val="32"/>
          <w:szCs w:val="32"/>
        </w:rPr>
        <w:t>43.85%</w:t>
      </w:r>
      <w:r>
        <w:rPr>
          <w:rFonts w:hint="eastAsia" w:ascii="仿宋" w:hAnsi="仿宋" w:eastAsia="仿宋" w:cs="仿宋"/>
          <w:color w:val="000000"/>
          <w:sz w:val="32"/>
          <w:szCs w:val="32"/>
        </w:rPr>
        <w:t>。主要变动原因是人员增加和经费调资增加，农贸市场整治增加预算。</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rPr>
          <w:rFonts w:ascii="仿宋" w:hAnsi="仿宋" w:eastAsia="仿宋"/>
          <w:b/>
          <w:bCs/>
          <w:color w:val="000000"/>
          <w:sz w:val="32"/>
          <w:szCs w:val="32"/>
        </w:rPr>
      </w:pPr>
    </w:p>
    <w:p>
      <w:pPr>
        <w:spacing w:line="600" w:lineRule="exact"/>
        <w:rPr>
          <w:rFonts w:ascii="仿宋" w:hAnsi="仿宋" w:eastAsia="仿宋"/>
          <w:b/>
          <w:bCs/>
          <w:color w:val="000000"/>
          <w:sz w:val="32"/>
          <w:szCs w:val="32"/>
        </w:rPr>
      </w:pPr>
    </w:p>
    <w:p>
      <w:pPr>
        <w:spacing w:line="600" w:lineRule="exact"/>
        <w:rPr>
          <w:rFonts w:ascii="仿宋" w:hAnsi="仿宋" w:eastAsia="仿宋"/>
          <w:b/>
          <w:bCs/>
          <w:color w:val="000000"/>
          <w:sz w:val="32"/>
          <w:szCs w:val="32"/>
        </w:rPr>
      </w:pPr>
    </w:p>
    <w:p>
      <w:pPr>
        <w:spacing w:line="600" w:lineRule="exact"/>
        <w:rPr>
          <w:rFonts w:ascii="仿宋" w:hAnsi="仿宋" w:eastAsia="仿宋"/>
          <w:b/>
          <w:bCs/>
          <w:color w:val="000000"/>
          <w:sz w:val="32"/>
          <w:szCs w:val="32"/>
        </w:rPr>
      </w:pPr>
    </w:p>
    <w:p>
      <w:pPr>
        <w:spacing w:line="600" w:lineRule="exact"/>
        <w:ind w:firstLine="627" w:firstLineChars="196"/>
        <w:outlineLvl w:val="1"/>
        <w:rPr>
          <w:rStyle w:val="18"/>
          <w:rFonts w:ascii="黑体" w:hAnsi="黑体" w:eastAsia="黑体" w:cs="Times New Roman"/>
          <w:b w:val="0"/>
          <w:bCs w:val="0"/>
        </w:rPr>
      </w:pPr>
      <w:bookmarkStart w:id="35" w:name="_Toc15377209"/>
      <w:bookmarkStart w:id="36" w:name="_Toc23235967"/>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8"/>
          <w:rFonts w:hint="eastAsia" w:ascii="黑体" w:hAnsi="黑体" w:eastAsia="黑体" w:cs="黑体"/>
          <w:b w:val="0"/>
          <w:bCs w:val="0"/>
        </w:rPr>
        <w:t>般公共预算财政拨款支出决算情况说明</w:t>
      </w:r>
      <w:bookmarkEnd w:id="35"/>
      <w:bookmarkEnd w:id="36"/>
    </w:p>
    <w:p>
      <w:pPr>
        <w:spacing w:line="600" w:lineRule="exact"/>
        <w:ind w:firstLine="643" w:firstLineChars="200"/>
        <w:rPr>
          <w:rFonts w:ascii="仿宋" w:hAnsi="仿宋" w:eastAsia="仿宋"/>
          <w:b/>
          <w:bCs/>
          <w:color w:val="000000"/>
          <w:sz w:val="32"/>
          <w:szCs w:val="32"/>
        </w:rPr>
      </w:pPr>
      <w:bookmarkStart w:id="37" w:name="_Toc15377210"/>
      <w:r>
        <w:rPr>
          <w:rFonts w:hint="eastAsia" w:ascii="仿宋" w:hAnsi="仿宋" w:eastAsia="仿宋" w:cs="仿宋"/>
          <w:b/>
          <w:bCs/>
          <w:color w:val="000000"/>
          <w:sz w:val="32"/>
          <w:szCs w:val="32"/>
        </w:rPr>
        <w:t>（一）一般公共预算财政拨款支出决算总体情况</w:t>
      </w:r>
      <w:bookmarkEnd w:id="37"/>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1081.61</w:t>
      </w:r>
      <w:r>
        <w:rPr>
          <w:rFonts w:hint="eastAsia" w:ascii="仿宋" w:hAnsi="仿宋" w:eastAsia="仿宋" w:cs="仿宋"/>
          <w:color w:val="000000"/>
          <w:sz w:val="32"/>
          <w:szCs w:val="32"/>
        </w:rPr>
        <w:t>万元，占本年支出合计的</w:t>
      </w:r>
      <w:r>
        <w:rPr>
          <w:rFonts w:ascii="仿宋" w:hAnsi="仿宋" w:eastAsia="仿宋" w:cs="仿宋"/>
          <w:color w:val="000000"/>
          <w:sz w:val="32"/>
          <w:szCs w:val="32"/>
        </w:rPr>
        <w:t>93.87%</w:t>
      </w:r>
      <w:r>
        <w:rPr>
          <w:rFonts w:hint="eastAsia" w:ascii="仿宋" w:hAnsi="仿宋" w:eastAsia="仿宋" w:cs="仿宋"/>
          <w:color w:val="000000"/>
          <w:sz w:val="32"/>
          <w:szCs w:val="32"/>
        </w:rPr>
        <w:t>。与</w:t>
      </w:r>
      <w:r>
        <w:rPr>
          <w:rFonts w:ascii="仿宋" w:hAnsi="仿宋" w:eastAsia="仿宋" w:cs="仿宋"/>
          <w:color w:val="000000"/>
          <w:sz w:val="32"/>
          <w:szCs w:val="32"/>
        </w:rPr>
        <w:t>2017</w:t>
      </w:r>
      <w:r>
        <w:rPr>
          <w:rFonts w:hint="eastAsia" w:ascii="仿宋" w:hAnsi="仿宋" w:eastAsia="仿宋" w:cs="仿宋"/>
          <w:color w:val="000000"/>
          <w:sz w:val="32"/>
          <w:szCs w:val="32"/>
        </w:rPr>
        <w:t>年相比，一般公共预算财政拨款增加</w:t>
      </w:r>
      <w:r>
        <w:rPr>
          <w:rFonts w:ascii="仿宋" w:hAnsi="仿宋" w:eastAsia="仿宋" w:cs="仿宋"/>
          <w:color w:val="000000"/>
          <w:sz w:val="32"/>
          <w:szCs w:val="32"/>
        </w:rPr>
        <w:t>300.58</w:t>
      </w:r>
      <w:r>
        <w:rPr>
          <w:rFonts w:hint="eastAsia" w:ascii="仿宋" w:hAnsi="仿宋" w:eastAsia="仿宋" w:cs="仿宋"/>
          <w:color w:val="000000"/>
          <w:sz w:val="32"/>
          <w:szCs w:val="32"/>
        </w:rPr>
        <w:t>万元，增长</w:t>
      </w:r>
      <w:r>
        <w:rPr>
          <w:rFonts w:ascii="仿宋" w:hAnsi="仿宋" w:eastAsia="仿宋" w:cs="仿宋"/>
          <w:color w:val="000000"/>
          <w:sz w:val="32"/>
          <w:szCs w:val="32"/>
        </w:rPr>
        <w:t>38.49%</w:t>
      </w:r>
      <w:r>
        <w:rPr>
          <w:rFonts w:hint="eastAsia" w:ascii="仿宋" w:hAnsi="仿宋" w:eastAsia="仿宋" w:cs="仿宋"/>
          <w:color w:val="000000"/>
          <w:sz w:val="32"/>
          <w:szCs w:val="32"/>
        </w:rPr>
        <w:t>。主要变动原因是人员增加和经费调资增加，农贸市场整治增加预算。</w:t>
      </w:r>
    </w:p>
    <w:p>
      <w:pPr>
        <w:spacing w:line="600" w:lineRule="exact"/>
        <w:rPr>
          <w:rFonts w:ascii="仿宋" w:hAnsi="仿宋" w:eastAsia="仿宋"/>
          <w:color w:val="FF0000"/>
          <w:sz w:val="32"/>
          <w:szCs w:val="32"/>
        </w:rPr>
      </w:pPr>
      <w:r>
        <w:pict>
          <v:shape id="_x0000_s1031" o:spid="_x0000_s1031" o:spt="75" type="#_x0000_t75" style="position:absolute;left:0pt;margin-left:42pt;margin-top:17.4pt;height:246.75pt;width:395.65pt;z-index:251659264;mso-width-relative:page;mso-height-relative:page;" o:ole="t" filled="f" o:preferrelative="t" stroked="f" coordsize="21600,21600">
            <v:path/>
            <v:fill on="f" focussize="0,0"/>
            <v:stroke on="f" joinstyle="miter"/>
            <v:imagedata r:id="rId16" o:title=""/>
            <o:lock v:ext="edit" aspectratio="t"/>
          </v:shape>
          <o:OLEObject Type="Embed" ProgID="MSGraph.Chart.8" ShapeID="_x0000_s1031" DrawAspect="Content" ObjectID="_1468075729" r:id="rId15">
            <o:LockedField>false</o:LockedField>
          </o:OLEObject>
        </w:pict>
      </w: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3" w:firstLineChars="200"/>
        <w:rPr>
          <w:rFonts w:ascii="仿宋" w:hAnsi="仿宋" w:eastAsia="仿宋"/>
          <w:b/>
          <w:bCs/>
          <w:color w:val="000000"/>
          <w:sz w:val="32"/>
          <w:szCs w:val="32"/>
        </w:rPr>
      </w:pPr>
      <w:bookmarkStart w:id="38" w:name="_Toc15377211"/>
      <w:r>
        <w:rPr>
          <w:rFonts w:hint="eastAsia" w:ascii="仿宋" w:hAnsi="仿宋" w:eastAsia="仿宋" w:cs="仿宋"/>
          <w:b/>
          <w:bCs/>
          <w:color w:val="000000"/>
          <w:sz w:val="32"/>
          <w:szCs w:val="32"/>
        </w:rPr>
        <w:t>（二）一般公共预算财政拨款支出决算结构情况</w:t>
      </w:r>
      <w:bookmarkEnd w:id="38"/>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1081.61</w:t>
      </w:r>
      <w:r>
        <w:rPr>
          <w:rFonts w:hint="eastAsia" w:ascii="仿宋" w:hAnsi="仿宋" w:eastAsia="仿宋" w:cs="仿宋"/>
          <w:color w:val="000000"/>
          <w:sz w:val="32"/>
          <w:szCs w:val="32"/>
        </w:rPr>
        <w:t>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w:t>
      </w:r>
      <w:r>
        <w:rPr>
          <w:rFonts w:ascii="仿宋" w:hAnsi="仿宋" w:eastAsia="仿宋" w:cs="仿宋"/>
          <w:color w:val="000000"/>
          <w:sz w:val="32"/>
          <w:szCs w:val="32"/>
        </w:rPr>
        <w:t>236.90</w:t>
      </w:r>
      <w:r>
        <w:rPr>
          <w:rFonts w:hint="eastAsia" w:ascii="仿宋" w:hAnsi="仿宋" w:eastAsia="仿宋" w:cs="仿宋"/>
          <w:color w:val="000000"/>
          <w:sz w:val="32"/>
          <w:szCs w:val="32"/>
        </w:rPr>
        <w:t>万元，占</w:t>
      </w:r>
      <w:r>
        <w:rPr>
          <w:rFonts w:ascii="仿宋" w:hAnsi="仿宋" w:eastAsia="仿宋" w:cs="仿宋"/>
          <w:color w:val="000000"/>
          <w:sz w:val="32"/>
          <w:szCs w:val="32"/>
        </w:rPr>
        <w:t>21.90%</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文化体育与传媒支出</w:t>
      </w:r>
      <w:r>
        <w:rPr>
          <w:rFonts w:ascii="仿宋" w:hAnsi="仿宋" w:eastAsia="仿宋" w:cs="仿宋"/>
          <w:b/>
          <w:bCs/>
          <w:color w:val="000000"/>
          <w:sz w:val="32"/>
          <w:szCs w:val="32"/>
        </w:rPr>
        <w:t>9.77</w:t>
      </w:r>
      <w:r>
        <w:rPr>
          <w:rFonts w:hint="eastAsia" w:ascii="仿宋" w:hAnsi="仿宋" w:eastAsia="仿宋" w:cs="仿宋"/>
          <w:b/>
          <w:bCs/>
          <w:color w:val="000000"/>
          <w:sz w:val="32"/>
          <w:szCs w:val="32"/>
        </w:rPr>
        <w:t>万元，</w:t>
      </w:r>
      <w:r>
        <w:rPr>
          <w:rFonts w:hint="eastAsia" w:ascii="仿宋" w:hAnsi="仿宋" w:eastAsia="仿宋" w:cs="仿宋"/>
          <w:color w:val="000000"/>
          <w:sz w:val="32"/>
          <w:szCs w:val="32"/>
        </w:rPr>
        <w:t>占</w:t>
      </w:r>
      <w:r>
        <w:rPr>
          <w:rFonts w:ascii="仿宋" w:hAnsi="仿宋" w:eastAsia="仿宋" w:cs="仿宋"/>
          <w:color w:val="000000"/>
          <w:sz w:val="32"/>
          <w:szCs w:val="32"/>
        </w:rPr>
        <w:t>0.90%</w:t>
      </w:r>
      <w:r>
        <w:rPr>
          <w:rFonts w:hint="eastAsia" w:ascii="仿宋" w:hAnsi="仿宋" w:eastAsia="仿宋" w:cs="仿宋"/>
          <w:color w:val="000000"/>
          <w:sz w:val="32"/>
          <w:szCs w:val="32"/>
        </w:rPr>
        <w:t>；社会保障和就业支出</w:t>
      </w:r>
      <w:r>
        <w:rPr>
          <w:rFonts w:ascii="仿宋" w:hAnsi="仿宋" w:eastAsia="仿宋" w:cs="仿宋"/>
          <w:color w:val="000000"/>
          <w:sz w:val="32"/>
          <w:szCs w:val="32"/>
        </w:rPr>
        <w:t>142.31</w:t>
      </w:r>
      <w:r>
        <w:rPr>
          <w:rFonts w:hint="eastAsia" w:ascii="仿宋" w:hAnsi="仿宋" w:eastAsia="仿宋" w:cs="仿宋"/>
          <w:color w:val="000000"/>
          <w:sz w:val="32"/>
          <w:szCs w:val="32"/>
        </w:rPr>
        <w:t>万元，占</w:t>
      </w:r>
      <w:r>
        <w:rPr>
          <w:rFonts w:ascii="仿宋" w:hAnsi="仿宋" w:eastAsia="仿宋" w:cs="仿宋"/>
          <w:color w:val="000000"/>
          <w:sz w:val="32"/>
          <w:szCs w:val="32"/>
        </w:rPr>
        <w:t>13.16%</w:t>
      </w:r>
      <w:r>
        <w:rPr>
          <w:rFonts w:hint="eastAsia" w:ascii="仿宋" w:hAnsi="仿宋" w:eastAsia="仿宋" w:cs="仿宋"/>
          <w:color w:val="000000"/>
          <w:sz w:val="32"/>
          <w:szCs w:val="32"/>
        </w:rPr>
        <w:t>；医疗卫生与计划生育支出</w:t>
      </w:r>
      <w:r>
        <w:rPr>
          <w:rFonts w:ascii="仿宋" w:hAnsi="仿宋" w:eastAsia="仿宋" w:cs="仿宋"/>
          <w:color w:val="000000"/>
          <w:sz w:val="32"/>
          <w:szCs w:val="32"/>
        </w:rPr>
        <w:t>21.20</w:t>
      </w:r>
      <w:r>
        <w:rPr>
          <w:rFonts w:hint="eastAsia" w:ascii="仿宋" w:hAnsi="仿宋" w:eastAsia="仿宋" w:cs="仿宋"/>
          <w:color w:val="000000"/>
          <w:sz w:val="32"/>
          <w:szCs w:val="32"/>
        </w:rPr>
        <w:t>万元，占</w:t>
      </w:r>
      <w:r>
        <w:rPr>
          <w:rFonts w:ascii="仿宋" w:hAnsi="仿宋" w:eastAsia="仿宋" w:cs="仿宋"/>
          <w:color w:val="000000"/>
          <w:sz w:val="32"/>
          <w:szCs w:val="32"/>
        </w:rPr>
        <w:t>1.96%</w:t>
      </w:r>
      <w:r>
        <w:rPr>
          <w:rFonts w:hint="eastAsia" w:ascii="仿宋" w:hAnsi="仿宋" w:eastAsia="仿宋" w:cs="仿宋"/>
          <w:color w:val="000000"/>
          <w:sz w:val="32"/>
          <w:szCs w:val="32"/>
        </w:rPr>
        <w:t>；节能环保支出</w:t>
      </w:r>
      <w:r>
        <w:rPr>
          <w:rFonts w:ascii="仿宋" w:hAnsi="仿宋" w:eastAsia="仿宋" w:cs="仿宋"/>
          <w:color w:val="000000"/>
          <w:sz w:val="32"/>
          <w:szCs w:val="32"/>
        </w:rPr>
        <w:t>1.50</w:t>
      </w:r>
      <w:r>
        <w:rPr>
          <w:rFonts w:hint="eastAsia" w:ascii="仿宋" w:hAnsi="仿宋" w:eastAsia="仿宋" w:cs="仿宋"/>
          <w:color w:val="000000"/>
          <w:sz w:val="32"/>
          <w:szCs w:val="32"/>
        </w:rPr>
        <w:t>万元，占</w:t>
      </w:r>
      <w:r>
        <w:rPr>
          <w:rFonts w:ascii="仿宋" w:hAnsi="仿宋" w:eastAsia="仿宋" w:cs="仿宋"/>
          <w:color w:val="000000"/>
          <w:sz w:val="32"/>
          <w:szCs w:val="32"/>
        </w:rPr>
        <w:t>0.14%</w:t>
      </w:r>
      <w:r>
        <w:rPr>
          <w:rFonts w:hint="eastAsia" w:ascii="仿宋" w:hAnsi="仿宋" w:eastAsia="仿宋" w:cs="仿宋"/>
          <w:color w:val="000000"/>
          <w:sz w:val="32"/>
          <w:szCs w:val="32"/>
        </w:rPr>
        <w:t>；城乡社区支出</w:t>
      </w:r>
      <w:r>
        <w:rPr>
          <w:rFonts w:ascii="仿宋" w:hAnsi="仿宋" w:eastAsia="仿宋" w:cs="仿宋"/>
          <w:color w:val="000000"/>
          <w:sz w:val="32"/>
          <w:szCs w:val="32"/>
        </w:rPr>
        <w:t>8.47</w:t>
      </w:r>
      <w:r>
        <w:rPr>
          <w:rFonts w:hint="eastAsia" w:ascii="仿宋" w:hAnsi="仿宋" w:eastAsia="仿宋" w:cs="仿宋"/>
          <w:color w:val="000000"/>
          <w:sz w:val="32"/>
          <w:szCs w:val="32"/>
        </w:rPr>
        <w:t>万元，占</w:t>
      </w:r>
      <w:r>
        <w:rPr>
          <w:rFonts w:ascii="仿宋" w:hAnsi="仿宋" w:eastAsia="仿宋" w:cs="仿宋"/>
          <w:color w:val="000000"/>
          <w:sz w:val="32"/>
          <w:szCs w:val="32"/>
        </w:rPr>
        <w:t>0.78%</w:t>
      </w:r>
      <w:r>
        <w:rPr>
          <w:rFonts w:hint="eastAsia" w:ascii="仿宋" w:hAnsi="仿宋" w:eastAsia="仿宋" w:cs="仿宋"/>
          <w:color w:val="000000"/>
          <w:sz w:val="32"/>
          <w:szCs w:val="32"/>
        </w:rPr>
        <w:t>；农林水支出</w:t>
      </w:r>
      <w:r>
        <w:rPr>
          <w:rFonts w:ascii="仿宋" w:hAnsi="仿宋" w:eastAsia="仿宋" w:cs="仿宋"/>
          <w:color w:val="000000"/>
          <w:sz w:val="32"/>
          <w:szCs w:val="32"/>
        </w:rPr>
        <w:t>607.77</w:t>
      </w:r>
      <w:r>
        <w:rPr>
          <w:rFonts w:hint="eastAsia" w:ascii="仿宋" w:hAnsi="仿宋" w:eastAsia="仿宋" w:cs="仿宋"/>
          <w:color w:val="000000"/>
          <w:sz w:val="32"/>
          <w:szCs w:val="32"/>
        </w:rPr>
        <w:t>万元，占</w:t>
      </w:r>
      <w:r>
        <w:rPr>
          <w:rFonts w:ascii="仿宋" w:hAnsi="仿宋" w:eastAsia="仿宋" w:cs="仿宋"/>
          <w:color w:val="000000"/>
          <w:sz w:val="32"/>
          <w:szCs w:val="32"/>
        </w:rPr>
        <w:t>56.19%</w:t>
      </w:r>
      <w:r>
        <w:rPr>
          <w:rFonts w:hint="eastAsia" w:ascii="仿宋" w:hAnsi="仿宋" w:eastAsia="仿宋" w:cs="仿宋"/>
          <w:color w:val="000000"/>
          <w:sz w:val="32"/>
          <w:szCs w:val="32"/>
        </w:rPr>
        <w:t>；资源勘探信息等支出</w:t>
      </w:r>
      <w:r>
        <w:rPr>
          <w:rFonts w:ascii="仿宋" w:hAnsi="仿宋" w:eastAsia="仿宋" w:cs="仿宋"/>
          <w:color w:val="000000"/>
          <w:sz w:val="32"/>
          <w:szCs w:val="32"/>
        </w:rPr>
        <w:t>10.00</w:t>
      </w:r>
      <w:r>
        <w:rPr>
          <w:rFonts w:hint="eastAsia" w:ascii="仿宋" w:hAnsi="仿宋" w:eastAsia="仿宋" w:cs="仿宋"/>
          <w:color w:val="000000"/>
          <w:sz w:val="32"/>
          <w:szCs w:val="32"/>
        </w:rPr>
        <w:t>万元，占</w:t>
      </w:r>
      <w:r>
        <w:rPr>
          <w:rFonts w:ascii="仿宋" w:hAnsi="仿宋" w:eastAsia="仿宋" w:cs="仿宋"/>
          <w:color w:val="000000"/>
          <w:sz w:val="32"/>
          <w:szCs w:val="32"/>
        </w:rPr>
        <w:t>0.92%</w:t>
      </w:r>
      <w:r>
        <w:rPr>
          <w:rFonts w:hint="eastAsia" w:ascii="仿宋" w:hAnsi="仿宋" w:eastAsia="仿宋" w:cs="仿宋"/>
          <w:color w:val="000000"/>
          <w:sz w:val="32"/>
          <w:szCs w:val="32"/>
        </w:rPr>
        <w:t>；住房保障支出</w:t>
      </w:r>
      <w:r>
        <w:rPr>
          <w:rFonts w:ascii="仿宋" w:hAnsi="仿宋" w:eastAsia="仿宋" w:cs="仿宋"/>
          <w:color w:val="000000"/>
          <w:sz w:val="32"/>
          <w:szCs w:val="32"/>
        </w:rPr>
        <w:t>43.69</w:t>
      </w:r>
      <w:r>
        <w:rPr>
          <w:rFonts w:hint="eastAsia" w:ascii="仿宋" w:hAnsi="仿宋" w:eastAsia="仿宋" w:cs="仿宋"/>
          <w:color w:val="000000"/>
          <w:sz w:val="32"/>
          <w:szCs w:val="32"/>
        </w:rPr>
        <w:t>万元，占</w:t>
      </w:r>
      <w:r>
        <w:rPr>
          <w:rFonts w:ascii="仿宋" w:hAnsi="仿宋" w:eastAsia="仿宋" w:cs="仿宋"/>
          <w:color w:val="000000"/>
          <w:sz w:val="32"/>
          <w:szCs w:val="32"/>
        </w:rPr>
        <w:t>4.04%</w:t>
      </w:r>
      <w:r>
        <w:rPr>
          <w:rFonts w:hint="eastAsia" w:ascii="仿宋" w:hAnsi="仿宋" w:eastAsia="仿宋" w:cs="仿宋"/>
          <w:color w:val="000000"/>
          <w:sz w:val="32"/>
          <w:szCs w:val="32"/>
        </w:rPr>
        <w:t>。</w:t>
      </w:r>
    </w:p>
    <w:p>
      <w:pPr>
        <w:spacing w:line="600" w:lineRule="exact"/>
        <w:ind w:firstLine="420" w:firstLineChars="200"/>
        <w:rPr>
          <w:rFonts w:ascii="仿宋" w:hAnsi="仿宋" w:eastAsia="仿宋"/>
          <w:color w:val="FF0000"/>
          <w:sz w:val="32"/>
          <w:szCs w:val="32"/>
        </w:rPr>
      </w:pPr>
      <w:r>
        <w:pict>
          <v:shape id="_x0000_s1032" o:spid="_x0000_s1032" o:spt="75" type="#_x0000_t75" style="position:absolute;left:0pt;margin-left:5.25pt;margin-top:18pt;height:305pt;width:429.75pt;z-index:251659264;mso-width-relative:page;mso-height-relative:page;" o:ole="t" filled="f" o:preferrelative="t" stroked="f" coordsize="21600,21600">
            <v:path/>
            <v:fill on="f" focussize="0,0"/>
            <v:stroke on="f" joinstyle="miter"/>
            <v:imagedata r:id="rId18" o:title=""/>
            <o:lock v:ext="edit" aspectratio="t"/>
          </v:shape>
          <o:OLEObject Type="Embed" ProgID="MSGraph.Chart.8" ShapeID="_x0000_s1032" DrawAspect="Content" ObjectID="_1468075730" r:id="rId17">
            <o:LockedField>false</o:LockedField>
          </o:OLEObject>
        </w:pict>
      </w: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3" w:firstLineChars="200"/>
        <w:rPr>
          <w:rFonts w:ascii="仿宋" w:hAnsi="仿宋" w:eastAsia="仿宋"/>
          <w:b/>
          <w:bCs/>
          <w:color w:val="000000"/>
          <w:sz w:val="32"/>
          <w:szCs w:val="32"/>
        </w:rPr>
      </w:pPr>
      <w:bookmarkStart w:id="39" w:name="_Toc15377212"/>
    </w:p>
    <w:p>
      <w:pPr>
        <w:spacing w:line="600"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rPr>
        <w:t>（三）一般公共预算财政拨款支出决算具体情况</w:t>
      </w:r>
      <w:bookmarkEnd w:id="39"/>
    </w:p>
    <w:p>
      <w:pPr>
        <w:spacing w:line="600" w:lineRule="exact"/>
        <w:ind w:firstLine="643" w:firstLineChars="200"/>
        <w:rPr>
          <w:rFonts w:ascii="仿宋" w:hAnsi="仿宋" w:eastAsia="仿宋"/>
          <w:color w:val="FF0000"/>
          <w:sz w:val="32"/>
          <w:szCs w:val="32"/>
        </w:rPr>
      </w:pPr>
      <w:bookmarkStart w:id="40" w:name="_Toc15377444"/>
      <w:bookmarkStart w:id="41" w:name="_Toc15377213"/>
      <w:bookmarkStart w:id="42" w:name="_Toc15378460"/>
      <w:r>
        <w:rPr>
          <w:rFonts w:ascii="仿宋" w:hAnsi="仿宋" w:eastAsia="仿宋" w:cs="仿宋"/>
          <w:b/>
          <w:bCs/>
          <w:color w:val="000000"/>
          <w:sz w:val="32"/>
          <w:szCs w:val="32"/>
        </w:rPr>
        <w:t>2018</w:t>
      </w:r>
      <w:r>
        <w:rPr>
          <w:rFonts w:hint="eastAsia" w:ascii="仿宋" w:hAnsi="仿宋" w:eastAsia="仿宋" w:cs="仿宋"/>
          <w:b/>
          <w:bCs/>
          <w:color w:val="000000"/>
          <w:sz w:val="32"/>
          <w:szCs w:val="32"/>
        </w:rPr>
        <w:t>年一般公共预算支出决算数为</w:t>
      </w:r>
      <w:r>
        <w:rPr>
          <w:rFonts w:ascii="仿宋" w:hAnsi="仿宋" w:eastAsia="仿宋" w:cs="仿宋"/>
          <w:b/>
          <w:bCs/>
          <w:color w:val="000000"/>
          <w:sz w:val="32"/>
          <w:szCs w:val="32"/>
        </w:rPr>
        <w:t>1081.61</w:t>
      </w:r>
      <w:r>
        <w:rPr>
          <w:rFonts w:hint="eastAsia" w:ascii="仿宋" w:hAnsi="仿宋" w:eastAsia="仿宋" w:cs="仿宋"/>
          <w:b/>
          <w:bCs/>
          <w:color w:val="000000"/>
          <w:sz w:val="32"/>
          <w:szCs w:val="32"/>
        </w:rPr>
        <w:t>万元</w:t>
      </w:r>
      <w:r>
        <w:rPr>
          <w:rFonts w:hint="eastAsia" w:ascii="仿宋" w:hAnsi="仿宋" w:eastAsia="仿宋" w:cs="仿宋"/>
          <w:color w:val="000000"/>
          <w:sz w:val="32"/>
          <w:szCs w:val="32"/>
        </w:rPr>
        <w:t>，</w:t>
      </w:r>
      <w:r>
        <w:rPr>
          <w:rStyle w:val="15"/>
          <w:rFonts w:hint="eastAsia" w:ascii="仿宋" w:hAnsi="仿宋" w:eastAsia="仿宋" w:cs="仿宋"/>
          <w:color w:val="000000"/>
          <w:sz w:val="32"/>
          <w:szCs w:val="32"/>
        </w:rPr>
        <w:t>完成预算</w:t>
      </w:r>
      <w:r>
        <w:rPr>
          <w:rStyle w:val="15"/>
          <w:rFonts w:ascii="仿宋" w:hAnsi="仿宋" w:eastAsia="仿宋" w:cs="仿宋"/>
          <w:color w:val="000000"/>
          <w:sz w:val="32"/>
          <w:szCs w:val="32"/>
        </w:rPr>
        <w:t>100%</w:t>
      </w:r>
      <w:r>
        <w:rPr>
          <w:rStyle w:val="15"/>
          <w:rFonts w:hint="eastAsia" w:ascii="仿宋" w:hAnsi="仿宋" w:eastAsia="仿宋" w:cs="仿宋"/>
          <w:color w:val="000000"/>
          <w:sz w:val="32"/>
          <w:szCs w:val="32"/>
        </w:rPr>
        <w:t>。其中：</w:t>
      </w:r>
      <w:bookmarkEnd w:id="40"/>
      <w:bookmarkEnd w:id="41"/>
      <w:bookmarkEnd w:id="42"/>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w:t>
      </w:r>
      <w:r>
        <w:rPr>
          <w:rStyle w:val="15"/>
          <w:rFonts w:hint="eastAsia" w:ascii="仿宋" w:hAnsi="仿宋" w:eastAsia="仿宋" w:cs="仿宋"/>
          <w:color w:val="000000"/>
          <w:sz w:val="32"/>
          <w:szCs w:val="32"/>
        </w:rPr>
        <w:t>一般公共服务（类）人大事务（款）行政运行（项）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28.34</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0" w:firstLineChars="200"/>
        <w:rPr>
          <w:rStyle w:val="15"/>
          <w:rFonts w:ascii="仿宋" w:hAnsi="仿宋" w:eastAsia="仿宋"/>
          <w:b w:val="0"/>
          <w:bCs w:val="0"/>
          <w:color w:val="000000"/>
          <w:sz w:val="32"/>
          <w:szCs w:val="32"/>
        </w:rPr>
      </w:pPr>
      <w:r>
        <w:rPr>
          <w:rStyle w:val="15"/>
          <w:rFonts w:ascii="仿宋" w:hAnsi="仿宋" w:eastAsia="仿宋" w:cs="仿宋"/>
          <w:b w:val="0"/>
          <w:bCs w:val="0"/>
          <w:color w:val="000000"/>
          <w:sz w:val="32"/>
          <w:szCs w:val="32"/>
        </w:rPr>
        <w:t>2.</w:t>
      </w:r>
      <w:r>
        <w:rPr>
          <w:rStyle w:val="15"/>
          <w:rFonts w:hint="eastAsia" w:ascii="仿宋" w:hAnsi="仿宋" w:eastAsia="仿宋" w:cs="仿宋"/>
          <w:b w:val="0"/>
          <w:bCs w:val="0"/>
          <w:color w:val="000000"/>
          <w:sz w:val="32"/>
          <w:szCs w:val="32"/>
        </w:rPr>
        <w:t>一般公共服务（类）政府办公厅（室）及相关事务（款）行政运行（项）：支出决算为</w:t>
      </w:r>
      <w:r>
        <w:rPr>
          <w:rStyle w:val="15"/>
          <w:rFonts w:ascii="仿宋" w:hAnsi="仿宋" w:eastAsia="仿宋" w:cs="仿宋"/>
          <w:b w:val="0"/>
          <w:bCs w:val="0"/>
          <w:color w:val="000000"/>
          <w:sz w:val="32"/>
          <w:szCs w:val="32"/>
        </w:rPr>
        <w:t>136.75</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3.</w:t>
      </w:r>
      <w:r>
        <w:rPr>
          <w:rStyle w:val="15"/>
          <w:rFonts w:hint="eastAsia" w:ascii="仿宋" w:hAnsi="仿宋" w:eastAsia="仿宋" w:cs="仿宋"/>
          <w:color w:val="000000"/>
          <w:sz w:val="32"/>
          <w:szCs w:val="32"/>
        </w:rPr>
        <w:t>一般公共服务（类）财政事务（款）行政运行（项）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23.19</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color w:val="000000"/>
          <w:sz w:val="32"/>
          <w:szCs w:val="32"/>
        </w:rPr>
      </w:pPr>
      <w:r>
        <w:rPr>
          <w:rStyle w:val="15"/>
          <w:rFonts w:ascii="仿宋" w:hAnsi="仿宋" w:eastAsia="仿宋" w:cs="仿宋"/>
          <w:color w:val="000000"/>
          <w:sz w:val="32"/>
          <w:szCs w:val="32"/>
        </w:rPr>
        <w:t>4.</w:t>
      </w:r>
      <w:r>
        <w:rPr>
          <w:rStyle w:val="15"/>
          <w:rFonts w:hint="eastAsia" w:ascii="仿宋" w:hAnsi="仿宋" w:eastAsia="仿宋" w:cs="仿宋"/>
          <w:color w:val="000000"/>
          <w:sz w:val="32"/>
          <w:szCs w:val="32"/>
        </w:rPr>
        <w:t>一般公共服务（类）党委办公厅（室）及相关机构事务（款）行政运行（项）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48.61</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5.</w:t>
      </w:r>
      <w:r>
        <w:rPr>
          <w:rStyle w:val="15"/>
          <w:rFonts w:hint="eastAsia" w:ascii="仿宋" w:hAnsi="仿宋" w:eastAsia="仿宋" w:cs="仿宋"/>
          <w:color w:val="000000"/>
          <w:sz w:val="32"/>
          <w:szCs w:val="32"/>
        </w:rPr>
        <w:t>文化体育与传媒支出（类）新闻出版广播影视（款）广播（项）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9.77</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6.</w:t>
      </w:r>
      <w:r>
        <w:rPr>
          <w:rStyle w:val="15"/>
          <w:rFonts w:hint="eastAsia" w:ascii="仿宋" w:hAnsi="仿宋" w:eastAsia="仿宋" w:cs="仿宋"/>
          <w:color w:val="000000"/>
          <w:sz w:val="32"/>
          <w:szCs w:val="32"/>
        </w:rPr>
        <w:t>社会保障和就业支出（类）民政管理事务（款）老龄事务（项）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17.35</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7.</w:t>
      </w:r>
      <w:r>
        <w:rPr>
          <w:rStyle w:val="15"/>
          <w:rFonts w:hint="eastAsia" w:ascii="仿宋" w:hAnsi="仿宋" w:eastAsia="仿宋" w:cs="仿宋"/>
          <w:color w:val="000000"/>
          <w:sz w:val="32"/>
          <w:szCs w:val="32"/>
        </w:rPr>
        <w:t>社会保障和就业支出（类）行政事业单位离退休（款）机关事业单位基本养老保险缴费支出（项）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43.30</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8.</w:t>
      </w:r>
      <w:r>
        <w:rPr>
          <w:rStyle w:val="15"/>
          <w:rFonts w:hint="eastAsia" w:ascii="仿宋" w:hAnsi="仿宋" w:eastAsia="仿宋" w:cs="仿宋"/>
          <w:color w:val="000000"/>
          <w:sz w:val="32"/>
          <w:szCs w:val="32"/>
        </w:rPr>
        <w:t>社会保障和就业支出（类）抚恤（款）义务兵优待（项）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10.00</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9.</w:t>
      </w:r>
      <w:r>
        <w:rPr>
          <w:rStyle w:val="15"/>
          <w:rFonts w:hint="eastAsia" w:ascii="仿宋" w:hAnsi="仿宋" w:eastAsia="仿宋" w:cs="仿宋"/>
          <w:color w:val="000000"/>
          <w:sz w:val="32"/>
          <w:szCs w:val="32"/>
        </w:rPr>
        <w:t>社会保障和就业支出（类）残疾人事业（款）其他残疾人事业支出（项）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0.5</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10.</w:t>
      </w:r>
      <w:r>
        <w:rPr>
          <w:rStyle w:val="15"/>
          <w:rFonts w:hint="eastAsia" w:ascii="仿宋" w:hAnsi="仿宋" w:eastAsia="仿宋" w:cs="仿宋"/>
          <w:color w:val="000000"/>
          <w:sz w:val="32"/>
          <w:szCs w:val="32"/>
        </w:rPr>
        <w:t>社会保障和就业支出（类）特困人员救助供养（款）农村特困人员救助供养支出（项）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71.16</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11.</w:t>
      </w:r>
      <w:r>
        <w:rPr>
          <w:rStyle w:val="15"/>
          <w:rFonts w:hint="eastAsia" w:ascii="仿宋" w:hAnsi="仿宋" w:eastAsia="仿宋" w:cs="仿宋"/>
          <w:color w:val="000000"/>
          <w:sz w:val="32"/>
          <w:szCs w:val="32"/>
        </w:rPr>
        <w:t>医疗卫生与计划生育支出（类）计划生育事务（款）计划生育机构（项）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10.76</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12.</w:t>
      </w:r>
      <w:r>
        <w:rPr>
          <w:rStyle w:val="15"/>
          <w:rFonts w:hint="eastAsia" w:ascii="仿宋" w:hAnsi="仿宋" w:eastAsia="仿宋" w:cs="仿宋"/>
          <w:color w:val="000000"/>
          <w:sz w:val="32"/>
          <w:szCs w:val="32"/>
        </w:rPr>
        <w:t>医疗卫生与计划生育支出（类）行政事业单位医疗（款）行政单位医疗（项）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10.44</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13.</w:t>
      </w:r>
      <w:r>
        <w:rPr>
          <w:rStyle w:val="15"/>
          <w:rFonts w:hint="eastAsia" w:ascii="仿宋" w:hAnsi="仿宋" w:eastAsia="仿宋" w:cs="仿宋"/>
          <w:color w:val="000000"/>
          <w:sz w:val="32"/>
          <w:szCs w:val="32"/>
        </w:rPr>
        <w:t>节能环保支出（类）污染防治（款）水体（项）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1.5</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14.</w:t>
      </w:r>
      <w:r>
        <w:rPr>
          <w:rStyle w:val="15"/>
          <w:rFonts w:hint="eastAsia" w:ascii="仿宋" w:hAnsi="仿宋" w:eastAsia="仿宋" w:cs="仿宋"/>
          <w:color w:val="000000"/>
          <w:sz w:val="32"/>
          <w:szCs w:val="32"/>
        </w:rPr>
        <w:t>城乡社区支出（类）城乡社区管理事务（款）行政运行（项）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8.47</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15.</w:t>
      </w:r>
      <w:r>
        <w:rPr>
          <w:rStyle w:val="15"/>
          <w:rFonts w:hint="eastAsia" w:ascii="仿宋" w:hAnsi="仿宋" w:eastAsia="仿宋" w:cs="仿宋"/>
          <w:color w:val="000000"/>
          <w:sz w:val="32"/>
          <w:szCs w:val="32"/>
        </w:rPr>
        <w:t>农林水支出（类）农业（款）行政运行（项）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145.72</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16.</w:t>
      </w:r>
      <w:r>
        <w:rPr>
          <w:rStyle w:val="15"/>
          <w:rFonts w:hint="eastAsia" w:ascii="仿宋" w:hAnsi="仿宋" w:eastAsia="仿宋" w:cs="仿宋"/>
          <w:color w:val="000000"/>
          <w:sz w:val="32"/>
          <w:szCs w:val="32"/>
        </w:rPr>
        <w:t>农林水支出（类）农业（款）防灾救灾（项）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13.00</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17.</w:t>
      </w:r>
      <w:r>
        <w:rPr>
          <w:rStyle w:val="15"/>
          <w:rFonts w:hint="eastAsia" w:ascii="仿宋" w:hAnsi="仿宋" w:eastAsia="仿宋" w:cs="仿宋"/>
          <w:color w:val="000000"/>
          <w:sz w:val="32"/>
          <w:szCs w:val="32"/>
        </w:rPr>
        <w:t>农林水支出（类）农业（款）农业生产支持补贴（项）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125.57</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18.</w:t>
      </w:r>
      <w:r>
        <w:rPr>
          <w:rStyle w:val="15"/>
          <w:rFonts w:hint="eastAsia" w:ascii="仿宋" w:hAnsi="仿宋" w:eastAsia="仿宋" w:cs="仿宋"/>
          <w:color w:val="000000"/>
          <w:sz w:val="32"/>
          <w:szCs w:val="32"/>
        </w:rPr>
        <w:t>农林水支出（类）农业（款）对高校毕业生到基层任职补助（项）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7.87</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19.</w:t>
      </w:r>
      <w:r>
        <w:rPr>
          <w:rStyle w:val="15"/>
          <w:rFonts w:hint="eastAsia" w:ascii="仿宋" w:hAnsi="仿宋" w:eastAsia="仿宋" w:cs="仿宋"/>
          <w:color w:val="000000"/>
          <w:sz w:val="32"/>
          <w:szCs w:val="32"/>
        </w:rPr>
        <w:t>农林水支出（类）林业（款）行政运行（项）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10.34</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20.</w:t>
      </w:r>
      <w:r>
        <w:rPr>
          <w:rStyle w:val="15"/>
          <w:rFonts w:hint="eastAsia" w:ascii="仿宋" w:hAnsi="仿宋" w:eastAsia="仿宋" w:cs="仿宋"/>
          <w:color w:val="000000"/>
          <w:sz w:val="32"/>
          <w:szCs w:val="32"/>
        </w:rPr>
        <w:t>农林水支出（类）水利（款）行政运行（项）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10.06</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21.</w:t>
      </w:r>
      <w:r>
        <w:rPr>
          <w:rStyle w:val="15"/>
          <w:rFonts w:hint="eastAsia" w:ascii="仿宋" w:hAnsi="仿宋" w:eastAsia="仿宋" w:cs="仿宋"/>
          <w:color w:val="000000"/>
          <w:sz w:val="32"/>
          <w:szCs w:val="32"/>
        </w:rPr>
        <w:t>农林水支出（类）扶贫（款）其他扶贫支出（项）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2.47</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22.</w:t>
      </w:r>
      <w:r>
        <w:rPr>
          <w:rStyle w:val="15"/>
          <w:rFonts w:hint="eastAsia" w:ascii="仿宋" w:hAnsi="仿宋" w:eastAsia="仿宋" w:cs="仿宋"/>
          <w:color w:val="000000"/>
          <w:sz w:val="32"/>
          <w:szCs w:val="32"/>
        </w:rPr>
        <w:t>农林水支出（类）农村综合改革（款）对村级一事一议的补助（项）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80.00</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23.</w:t>
      </w:r>
      <w:r>
        <w:rPr>
          <w:rStyle w:val="15"/>
          <w:rFonts w:hint="eastAsia" w:ascii="仿宋" w:hAnsi="仿宋" w:eastAsia="仿宋" w:cs="仿宋"/>
          <w:color w:val="000000"/>
          <w:sz w:val="32"/>
          <w:szCs w:val="32"/>
        </w:rPr>
        <w:t>农林水支出（类）农村综合改革（款）对村民委员会和村党支部的补助（项）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212.75</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b w:val="0"/>
          <w:bCs w:val="0"/>
          <w:color w:val="000000"/>
          <w:sz w:val="32"/>
          <w:szCs w:val="32"/>
        </w:rPr>
      </w:pPr>
      <w:r>
        <w:rPr>
          <w:rStyle w:val="15"/>
          <w:rFonts w:ascii="仿宋" w:hAnsi="仿宋" w:eastAsia="仿宋" w:cs="仿宋"/>
          <w:color w:val="000000"/>
          <w:sz w:val="32"/>
          <w:szCs w:val="32"/>
        </w:rPr>
        <w:t>24.</w:t>
      </w:r>
      <w:r>
        <w:rPr>
          <w:rStyle w:val="15"/>
          <w:rFonts w:hint="eastAsia" w:ascii="仿宋" w:hAnsi="仿宋" w:eastAsia="仿宋" w:cs="仿宋"/>
          <w:color w:val="000000"/>
          <w:sz w:val="32"/>
          <w:szCs w:val="32"/>
        </w:rPr>
        <w:t>资源勘探信息等支出（类）安全生产监管（款）其他安全生产监管支出（项）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10.00</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color w:val="000000"/>
          <w:sz w:val="32"/>
          <w:szCs w:val="32"/>
        </w:rPr>
      </w:pPr>
      <w:r>
        <w:rPr>
          <w:rStyle w:val="15"/>
          <w:rFonts w:ascii="仿宋" w:hAnsi="仿宋" w:eastAsia="仿宋" w:cs="仿宋"/>
          <w:color w:val="000000"/>
          <w:sz w:val="32"/>
          <w:szCs w:val="32"/>
        </w:rPr>
        <w:t>25.</w:t>
      </w:r>
      <w:r>
        <w:rPr>
          <w:rStyle w:val="15"/>
          <w:rFonts w:hint="eastAsia" w:ascii="仿宋" w:hAnsi="仿宋" w:eastAsia="仿宋" w:cs="仿宋"/>
          <w:color w:val="000000"/>
          <w:sz w:val="32"/>
          <w:szCs w:val="32"/>
        </w:rPr>
        <w:t>住房保障支出（类）住房保障支出（款）住房公积金（项）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w:t>
      </w:r>
      <w:r>
        <w:rPr>
          <w:rStyle w:val="15"/>
          <w:rFonts w:ascii="仿宋" w:hAnsi="仿宋" w:eastAsia="仿宋" w:cs="仿宋"/>
          <w:b w:val="0"/>
          <w:bCs w:val="0"/>
          <w:color w:val="000000"/>
          <w:sz w:val="32"/>
          <w:szCs w:val="32"/>
        </w:rPr>
        <w:t>43.69</w:t>
      </w:r>
      <w:r>
        <w:rPr>
          <w:rStyle w:val="15"/>
          <w:rFonts w:hint="eastAsia" w:ascii="仿宋" w:hAnsi="仿宋" w:eastAsia="仿宋" w:cs="仿宋"/>
          <w:b w:val="0"/>
          <w:bCs w:val="0"/>
          <w:color w:val="000000"/>
          <w:sz w:val="32"/>
          <w:szCs w:val="32"/>
        </w:rPr>
        <w:t>万元，完成预算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p>
    <w:p>
      <w:pPr>
        <w:tabs>
          <w:tab w:val="right" w:pos="8306"/>
        </w:tabs>
        <w:spacing w:line="600" w:lineRule="exact"/>
        <w:ind w:firstLine="641"/>
        <w:outlineLvl w:val="1"/>
        <w:rPr>
          <w:rStyle w:val="18"/>
        </w:rPr>
      </w:pPr>
      <w:bookmarkStart w:id="43" w:name="_Toc15377214"/>
      <w:bookmarkStart w:id="44" w:name="_Toc23235968"/>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8"/>
          <w:rFonts w:hint="eastAsia" w:ascii="黑体" w:hAnsi="黑体" w:eastAsia="黑体" w:cs="黑体"/>
          <w:b w:val="0"/>
          <w:bCs w:val="0"/>
        </w:rPr>
        <w:t>般公共预算财政拨款基本支出决算情况说明</w:t>
      </w:r>
      <w:bookmarkEnd w:id="43"/>
      <w:bookmarkEnd w:id="44"/>
      <w:r>
        <w:rPr>
          <w:rStyle w:val="18"/>
          <w:rFonts w:ascii="黑体" w:hAnsi="黑体" w:eastAsia="黑体" w:cs="Times New Roman"/>
          <w:b w:val="0"/>
          <w:bCs w:val="0"/>
        </w:rPr>
        <w:tab/>
      </w:r>
    </w:p>
    <w:p>
      <w:pPr>
        <w:spacing w:line="600" w:lineRule="exact"/>
        <w:ind w:firstLine="645"/>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年一般公共预算财政拨款基本支出</w:t>
      </w:r>
      <w:r>
        <w:rPr>
          <w:rFonts w:ascii="仿宋" w:hAnsi="仿宋" w:eastAsia="仿宋" w:cs="仿宋"/>
          <w:color w:val="000000"/>
          <w:sz w:val="32"/>
          <w:szCs w:val="32"/>
        </w:rPr>
        <w:t>1081.61</w:t>
      </w:r>
      <w:r>
        <w:rPr>
          <w:rFonts w:hint="eastAsia" w:ascii="仿宋" w:hAnsi="仿宋" w:eastAsia="仿宋" w:cs="仿宋"/>
          <w:color w:val="000000"/>
          <w:sz w:val="32"/>
          <w:szCs w:val="32"/>
        </w:rPr>
        <w:t>万元，其中：</w:t>
      </w:r>
    </w:p>
    <w:p>
      <w:pPr>
        <w:spacing w:line="600" w:lineRule="exact"/>
        <w:ind w:firstLine="645"/>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人员经费</w:t>
      </w:r>
      <w:r>
        <w:rPr>
          <w:rFonts w:ascii="仿宋" w:hAnsi="仿宋" w:eastAsia="仿宋" w:cs="仿宋"/>
          <w:color w:val="000000"/>
          <w:sz w:val="32"/>
          <w:szCs w:val="32"/>
        </w:rPr>
        <w:t>511.67</w:t>
      </w:r>
      <w:r>
        <w:rPr>
          <w:rFonts w:hint="eastAsia" w:ascii="仿宋" w:hAnsi="仿宋" w:eastAsia="仿宋" w:cs="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　　公用经费</w:t>
      </w:r>
      <w:r>
        <w:rPr>
          <w:rFonts w:ascii="仿宋" w:hAnsi="仿宋" w:eastAsia="仿宋" w:cs="仿宋"/>
          <w:color w:val="000000"/>
          <w:sz w:val="32"/>
          <w:szCs w:val="32"/>
        </w:rPr>
        <w:t>25.65</w:t>
      </w:r>
      <w:r>
        <w:rPr>
          <w:rFonts w:hint="eastAsia" w:ascii="仿宋" w:hAnsi="仿宋" w:eastAsia="仿宋" w:cs="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1"/>
        <w:outlineLvl w:val="1"/>
        <w:rPr>
          <w:rStyle w:val="18"/>
          <w:rFonts w:ascii="黑体" w:hAnsi="黑体" w:eastAsia="黑体" w:cs="Times New Roman"/>
          <w:b w:val="0"/>
          <w:bCs w:val="0"/>
        </w:rPr>
      </w:pPr>
      <w:bookmarkStart w:id="45" w:name="_Toc15377215"/>
      <w:bookmarkStart w:id="46" w:name="_Toc23235969"/>
      <w:r>
        <w:rPr>
          <w:rFonts w:hint="eastAsia" w:ascii="黑体" w:eastAsia="黑体" w:cs="黑体"/>
          <w:color w:val="000000"/>
          <w:sz w:val="32"/>
          <w:szCs w:val="32"/>
        </w:rPr>
        <w:t>七、</w:t>
      </w:r>
      <w:r>
        <w:rPr>
          <w:rStyle w:val="18"/>
          <w:rFonts w:hint="eastAsia" w:ascii="黑体" w:hAnsi="黑体" w:eastAsia="黑体" w:cs="黑体"/>
        </w:rPr>
        <w:t>“</w:t>
      </w:r>
      <w:r>
        <w:rPr>
          <w:rStyle w:val="18"/>
          <w:rFonts w:hint="eastAsia" w:ascii="黑体" w:hAnsi="黑体" w:eastAsia="黑体" w:cs="黑体"/>
          <w:b w:val="0"/>
          <w:bCs w:val="0"/>
        </w:rPr>
        <w:t>三公”经费财政拨款支出决算情况说明</w:t>
      </w:r>
      <w:bookmarkEnd w:id="45"/>
      <w:bookmarkEnd w:id="46"/>
    </w:p>
    <w:p>
      <w:pPr>
        <w:spacing w:line="600" w:lineRule="exact"/>
        <w:ind w:firstLine="640"/>
        <w:rPr>
          <w:rFonts w:ascii="仿宋" w:hAnsi="仿宋" w:eastAsia="仿宋"/>
          <w:b/>
          <w:bCs/>
          <w:color w:val="000000"/>
          <w:sz w:val="32"/>
          <w:szCs w:val="32"/>
        </w:rPr>
      </w:pPr>
      <w:bookmarkStart w:id="47" w:name="_Toc15377216"/>
      <w:r>
        <w:rPr>
          <w:rFonts w:hint="eastAsia" w:ascii="仿宋" w:hAnsi="仿宋" w:eastAsia="仿宋" w:cs="仿宋"/>
          <w:b/>
          <w:bCs/>
          <w:color w:val="000000"/>
          <w:sz w:val="32"/>
          <w:szCs w:val="32"/>
        </w:rPr>
        <w:t>（一）“三公”经费财政拨款支出决算总体情况说明</w:t>
      </w:r>
      <w:bookmarkEnd w:id="47"/>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年“三公”经费财政拨款支出决算为</w:t>
      </w:r>
      <w:r>
        <w:rPr>
          <w:rFonts w:ascii="仿宋" w:hAnsi="仿宋" w:eastAsia="仿宋" w:cs="仿宋"/>
          <w:color w:val="000000"/>
          <w:sz w:val="32"/>
          <w:szCs w:val="32"/>
        </w:rPr>
        <w:t>4.51</w:t>
      </w:r>
      <w:r>
        <w:rPr>
          <w:rFonts w:hint="eastAsia" w:ascii="仿宋" w:hAnsi="仿宋" w:eastAsia="仿宋" w:cs="仿宋"/>
          <w:color w:val="000000"/>
          <w:sz w:val="32"/>
          <w:szCs w:val="32"/>
        </w:rPr>
        <w:t>万元，完成预算</w:t>
      </w:r>
      <w:r>
        <w:rPr>
          <w:rFonts w:ascii="仿宋" w:hAnsi="仿宋" w:eastAsia="仿宋" w:cs="仿宋"/>
          <w:color w:val="000000"/>
          <w:sz w:val="32"/>
          <w:szCs w:val="32"/>
        </w:rPr>
        <w:t>56.38%</w:t>
      </w:r>
      <w:r>
        <w:rPr>
          <w:rFonts w:hint="eastAsia" w:ascii="仿宋" w:hAnsi="仿宋" w:eastAsia="仿宋" w:cs="仿宋"/>
          <w:color w:val="000000"/>
          <w:sz w:val="32"/>
          <w:szCs w:val="32"/>
        </w:rPr>
        <w:t>，决算数小于预算数（或与预算数持平）的主要原因是加强内控管理，严格遵守中央</w:t>
      </w:r>
      <w:bookmarkStart w:id="81" w:name="_GoBack"/>
      <w:r>
        <w:rPr>
          <w:rFonts w:hint="eastAsia" w:ascii="仿宋" w:hAnsi="仿宋" w:eastAsia="仿宋" w:cs="仿宋"/>
          <w:color w:val="000000"/>
          <w:sz w:val="32"/>
          <w:szCs w:val="32"/>
        </w:rPr>
        <w:t>八项规定</w:t>
      </w:r>
      <w:bookmarkEnd w:id="81"/>
      <w:r>
        <w:rPr>
          <w:rFonts w:hint="eastAsia" w:ascii="仿宋" w:hAnsi="仿宋" w:eastAsia="仿宋" w:cs="仿宋"/>
          <w:color w:val="000000"/>
          <w:sz w:val="32"/>
          <w:szCs w:val="32"/>
        </w:rPr>
        <w:t>，厉行节约，压减三公经费。</w:t>
      </w:r>
    </w:p>
    <w:p>
      <w:pPr>
        <w:spacing w:line="600" w:lineRule="exact"/>
        <w:ind w:firstLine="640"/>
        <w:rPr>
          <w:rFonts w:ascii="仿宋" w:hAnsi="仿宋" w:eastAsia="仿宋"/>
          <w:b/>
          <w:bCs/>
          <w:color w:val="000000"/>
          <w:sz w:val="32"/>
          <w:szCs w:val="32"/>
        </w:rPr>
      </w:pPr>
      <w:bookmarkStart w:id="48" w:name="_Toc15377217"/>
      <w:r>
        <w:rPr>
          <w:rFonts w:hint="eastAsia" w:ascii="仿宋" w:hAnsi="仿宋" w:eastAsia="仿宋" w:cs="仿宋"/>
          <w:b/>
          <w:bCs/>
          <w:color w:val="000000"/>
          <w:sz w:val="32"/>
          <w:szCs w:val="32"/>
        </w:rPr>
        <w:t>（二）“三公”经费财政拨款支出决算具体情况说明</w:t>
      </w:r>
      <w:bookmarkEnd w:id="48"/>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；公务用车购置及运行维护费支出决算</w:t>
      </w:r>
      <w:r>
        <w:rPr>
          <w:rFonts w:ascii="仿宋" w:hAnsi="仿宋" w:eastAsia="仿宋" w:cs="仿宋"/>
          <w:color w:val="000000"/>
          <w:sz w:val="32"/>
          <w:szCs w:val="32"/>
        </w:rPr>
        <w:t>2.65</w:t>
      </w:r>
      <w:r>
        <w:rPr>
          <w:rFonts w:hint="eastAsia" w:ascii="仿宋" w:hAnsi="仿宋" w:eastAsia="仿宋" w:cs="仿宋"/>
          <w:color w:val="000000"/>
          <w:sz w:val="32"/>
          <w:szCs w:val="32"/>
        </w:rPr>
        <w:t>万元，占</w:t>
      </w:r>
      <w:r>
        <w:rPr>
          <w:rFonts w:ascii="仿宋" w:hAnsi="仿宋" w:eastAsia="仿宋" w:cs="仿宋"/>
          <w:color w:val="000000"/>
          <w:sz w:val="32"/>
          <w:szCs w:val="32"/>
        </w:rPr>
        <w:t>58.76%</w:t>
      </w:r>
      <w:r>
        <w:rPr>
          <w:rFonts w:hint="eastAsia" w:ascii="仿宋" w:hAnsi="仿宋" w:eastAsia="仿宋" w:cs="仿宋"/>
          <w:color w:val="000000"/>
          <w:sz w:val="32"/>
          <w:szCs w:val="32"/>
        </w:rPr>
        <w:t>；公务接待费支出决算</w:t>
      </w:r>
      <w:r>
        <w:rPr>
          <w:rFonts w:ascii="仿宋" w:hAnsi="仿宋" w:eastAsia="仿宋" w:cs="仿宋"/>
          <w:color w:val="000000"/>
          <w:sz w:val="32"/>
          <w:szCs w:val="32"/>
        </w:rPr>
        <w:t>1.86</w:t>
      </w:r>
      <w:r>
        <w:rPr>
          <w:rFonts w:hint="eastAsia" w:ascii="仿宋" w:hAnsi="仿宋" w:eastAsia="仿宋" w:cs="仿宋"/>
          <w:color w:val="000000"/>
          <w:sz w:val="32"/>
          <w:szCs w:val="32"/>
        </w:rPr>
        <w:t>万元，占</w:t>
      </w:r>
      <w:r>
        <w:rPr>
          <w:rFonts w:ascii="仿宋" w:hAnsi="仿宋" w:eastAsia="仿宋" w:cs="仿宋"/>
          <w:color w:val="000000"/>
          <w:sz w:val="32"/>
          <w:szCs w:val="32"/>
        </w:rPr>
        <w:t>41.24%</w:t>
      </w:r>
      <w:r>
        <w:rPr>
          <w:rFonts w:hint="eastAsia" w:ascii="仿宋" w:hAnsi="仿宋" w:eastAsia="仿宋" w:cs="仿宋"/>
          <w:color w:val="000000"/>
          <w:sz w:val="32"/>
          <w:szCs w:val="32"/>
        </w:rPr>
        <w:t>。具体情况如下：</w:t>
      </w: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color w:val="FF0000"/>
          <w:sz w:val="32"/>
          <w:szCs w:val="32"/>
        </w:rPr>
      </w:pPr>
      <w:r>
        <w:pict>
          <v:shape id="_x0000_s1033" o:spid="_x0000_s1033" o:spt="75" type="#_x0000_t75" style="position:absolute;left:0pt;margin-left:32.3pt;margin-top:-120.2pt;height:246.75pt;width:400.9pt;z-index:251659264;mso-width-relative:page;mso-height-relative:page;" o:ole="t" filled="f" o:preferrelative="t" stroked="f" coordsize="21600,21600">
            <v:path/>
            <v:fill on="f" focussize="0,0"/>
            <v:stroke on="f" joinstyle="miter"/>
            <v:imagedata r:id="rId20" o:title=""/>
            <o:lock v:ext="edit" aspectratio="t"/>
          </v:shape>
          <o:OLEObject Type="Embed" ProgID="MSGraph.Chart.8" ShapeID="_x0000_s1033" DrawAspect="Content" ObjectID="_1468075731" r:id="rId19">
            <o:LockedField>false</o:LockedField>
          </o:OLEObject>
        </w:pict>
      </w: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color w:val="FF0000"/>
          <w:sz w:val="32"/>
          <w:szCs w:val="32"/>
        </w:rPr>
      </w:pPr>
    </w:p>
    <w:p>
      <w:pPr>
        <w:spacing w:line="600" w:lineRule="exact"/>
        <w:rPr>
          <w:rFonts w:ascii="仿宋" w:hAnsi="仿宋" w:eastAsia="仿宋"/>
          <w:color w:val="FF0000"/>
          <w:sz w:val="32"/>
          <w:szCs w:val="32"/>
        </w:rPr>
      </w:pP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人。因公出国（境）支出决算比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w:t>
      </w:r>
      <w:r>
        <w:rPr>
          <w:rFonts w:hint="eastAsia" w:ascii="仿宋_GB2312" w:eastAsia="仿宋_GB2312" w:cs="仿宋_GB2312"/>
          <w:color w:val="000000"/>
          <w:sz w:val="32"/>
          <w:szCs w:val="32"/>
        </w:rPr>
        <w:t>减少</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w:t>
      </w:r>
      <w:r>
        <w:rPr>
          <w:rFonts w:hint="eastAsia" w:ascii="仿宋_GB2312" w:eastAsia="仿宋_GB2312" w:cs="仿宋_GB2312"/>
          <w:color w:val="000000"/>
          <w:sz w:val="32"/>
          <w:szCs w:val="32"/>
        </w:rPr>
        <w:t>下降</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2.65</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66.25%</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1.09</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29.14%</w:t>
      </w:r>
      <w:r>
        <w:rPr>
          <w:rFonts w:hint="eastAsia" w:ascii="仿宋_GB2312" w:eastAsia="仿宋_GB2312" w:cs="仿宋_GB2312"/>
          <w:color w:val="000000"/>
          <w:sz w:val="32"/>
          <w:szCs w:val="32"/>
        </w:rPr>
        <w:t>。主要原因是加强管理，控制三公经费支出。</w:t>
      </w:r>
    </w:p>
    <w:p>
      <w:pPr>
        <w:spacing w:line="600"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2.65</w:t>
      </w:r>
      <w:r>
        <w:rPr>
          <w:rFonts w:hint="eastAsia" w:ascii="仿宋_GB2312" w:eastAsia="仿宋_GB2312" w:cs="仿宋_GB2312"/>
          <w:color w:val="000000"/>
          <w:sz w:val="32"/>
          <w:szCs w:val="32"/>
        </w:rPr>
        <w:t>万元。主要用于百里产业环线环境卫生整治，乡村振兴工作，精准扶贫等所需的公务用车燃料费、维修费、过路过桥费、保险费等支出。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1.86</w:t>
      </w:r>
      <w:r>
        <w:rPr>
          <w:rFonts w:hint="eastAsia" w:ascii="仿宋_GB2312" w:eastAsia="仿宋_GB2312" w:cs="仿宋_GB2312"/>
          <w:color w:val="000000"/>
          <w:sz w:val="32"/>
          <w:szCs w:val="32"/>
        </w:rPr>
        <w:t>万元，</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46.50%</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0.54</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40.91%</w:t>
      </w:r>
      <w:r>
        <w:rPr>
          <w:rFonts w:hint="eastAsia" w:ascii="仿宋_GB2312" w:eastAsia="仿宋_GB2312" w:cs="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主要用于执行公务、开展业务活动开支的交通费、住宿费、用餐费等。国内公务接待</w:t>
      </w:r>
      <w:r>
        <w:rPr>
          <w:rFonts w:ascii="仿宋_GB2312" w:eastAsia="仿宋_GB2312" w:cs="仿宋_GB2312"/>
          <w:color w:val="000000"/>
          <w:sz w:val="32"/>
          <w:szCs w:val="32"/>
        </w:rPr>
        <w:t>60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370</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1.86</w:t>
      </w:r>
      <w:r>
        <w:rPr>
          <w:rFonts w:hint="eastAsia" w:ascii="仿宋_GB2312" w:eastAsia="仿宋_GB2312" w:cs="仿宋_GB2312"/>
          <w:color w:val="000000"/>
          <w:sz w:val="32"/>
          <w:szCs w:val="32"/>
        </w:rPr>
        <w:t>万元，具体内容包括：乡村振兴工作接待</w:t>
      </w:r>
      <w:r>
        <w:rPr>
          <w:rFonts w:ascii="仿宋_GB2312" w:eastAsia="仿宋_GB2312" w:cs="仿宋_GB2312"/>
          <w:color w:val="000000"/>
          <w:sz w:val="32"/>
          <w:szCs w:val="32"/>
        </w:rPr>
        <w:t>0.66</w:t>
      </w:r>
      <w:r>
        <w:rPr>
          <w:rFonts w:hint="eastAsia" w:ascii="仿宋_GB2312" w:eastAsia="仿宋_GB2312" w:cs="仿宋_GB2312"/>
          <w:color w:val="000000"/>
          <w:sz w:val="32"/>
          <w:szCs w:val="32"/>
        </w:rPr>
        <w:t>万元，安全社区建设工作接待</w:t>
      </w:r>
      <w:r>
        <w:rPr>
          <w:rFonts w:ascii="仿宋_GB2312" w:eastAsia="仿宋_GB2312" w:cs="仿宋_GB2312"/>
          <w:color w:val="000000"/>
          <w:sz w:val="32"/>
          <w:szCs w:val="32"/>
        </w:rPr>
        <w:t>0.53</w:t>
      </w:r>
      <w:r>
        <w:rPr>
          <w:rFonts w:hint="eastAsia" w:ascii="仿宋_GB2312" w:eastAsia="仿宋_GB2312" w:cs="仿宋_GB2312"/>
          <w:color w:val="000000"/>
          <w:sz w:val="32"/>
          <w:szCs w:val="32"/>
        </w:rPr>
        <w:t>万元，接待省、市、县领导考察调研餐费</w:t>
      </w:r>
      <w:r>
        <w:rPr>
          <w:rFonts w:ascii="仿宋_GB2312" w:eastAsia="仿宋_GB2312" w:cs="仿宋_GB2312"/>
          <w:color w:val="000000"/>
          <w:sz w:val="32"/>
          <w:szCs w:val="32"/>
        </w:rPr>
        <w:t>0.67</w:t>
      </w:r>
      <w:r>
        <w:rPr>
          <w:rFonts w:hint="eastAsia" w:ascii="仿宋_GB2312" w:eastAsia="仿宋_GB2312" w:cs="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cs="仿宋"/>
          <w:b/>
          <w:bCs/>
          <w:color w:val="000000"/>
          <w:sz w:val="32"/>
          <w:szCs w:val="32"/>
        </w:rPr>
        <w:t>外事接待支出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49" w:name="_Toc15377218"/>
    </w:p>
    <w:p>
      <w:pPr>
        <w:spacing w:line="600" w:lineRule="exact"/>
        <w:ind w:firstLine="641"/>
        <w:outlineLvl w:val="1"/>
        <w:rPr>
          <w:rStyle w:val="18"/>
          <w:rFonts w:ascii="黑体" w:hAnsi="黑体" w:eastAsia="黑体" w:cs="Times New Roman"/>
        </w:rPr>
      </w:pPr>
      <w:bookmarkStart w:id="50" w:name="_Toc23235970"/>
      <w:r>
        <w:rPr>
          <w:rStyle w:val="18"/>
          <w:rFonts w:hint="eastAsia" w:cs="宋体"/>
        </w:rPr>
        <w:t>八、</w:t>
      </w:r>
      <w:r>
        <w:rPr>
          <w:rStyle w:val="18"/>
          <w:rFonts w:hint="eastAsia" w:ascii="黑体" w:hAnsi="黑体" w:eastAsia="黑体" w:cs="黑体"/>
          <w:b w:val="0"/>
          <w:bCs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70.64</w:t>
      </w:r>
      <w:r>
        <w:rPr>
          <w:rFonts w:hint="eastAsia" w:ascii="仿宋_GB2312" w:eastAsia="仿宋_GB2312" w:cs="仿宋_GB2312"/>
          <w:color w:val="000000"/>
          <w:sz w:val="32"/>
          <w:szCs w:val="32"/>
        </w:rPr>
        <w:t>万元。</w:t>
      </w:r>
    </w:p>
    <w:p>
      <w:pPr>
        <w:spacing w:line="600" w:lineRule="exact"/>
        <w:ind w:firstLine="640" w:firstLineChars="200"/>
        <w:outlineLvl w:val="1"/>
        <w:rPr>
          <w:rStyle w:val="18"/>
          <w:rFonts w:ascii="黑体" w:hAnsi="黑体" w:eastAsia="黑体" w:cs="Times New Roman"/>
          <w:b w:val="0"/>
          <w:bCs w:val="0"/>
        </w:rPr>
      </w:pPr>
      <w:bookmarkStart w:id="51" w:name="_Toc23235971"/>
      <w:bookmarkStart w:id="52" w:name="_Toc15377219"/>
      <w:r>
        <w:rPr>
          <w:rStyle w:val="18"/>
          <w:rFonts w:hint="eastAsia" w:ascii="黑体" w:hAnsi="黑体" w:eastAsia="黑体" w:cs="黑体"/>
          <w:b w:val="0"/>
          <w:bCs w:val="0"/>
        </w:rPr>
        <w:t>九、国有资本经营预算支出决算情况说明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pStyle w:val="28"/>
        <w:numPr>
          <w:ilvl w:val="0"/>
          <w:numId w:val="2"/>
        </w:numPr>
        <w:spacing w:line="600" w:lineRule="exact"/>
        <w:ind w:left="1349" w:firstLineChars="0"/>
        <w:outlineLvl w:val="1"/>
        <w:rPr>
          <w:rFonts w:ascii="黑体" w:hAnsi="黑体" w:eastAsia="黑体"/>
          <w:sz w:val="32"/>
          <w:szCs w:val="32"/>
        </w:rPr>
      </w:pPr>
      <w:bookmarkStart w:id="53" w:name="_Toc23235972"/>
      <w:r>
        <w:rPr>
          <w:rStyle w:val="18"/>
          <w:rFonts w:hint="eastAsia" w:ascii="黑体" w:hAnsi="黑体" w:eastAsia="黑体" w:cs="黑体"/>
          <w:b w:val="0"/>
          <w:bCs w:val="0"/>
        </w:rPr>
        <w:t>预算绩效情况说明</w:t>
      </w:r>
      <w:bookmarkEnd w:id="53"/>
    </w:p>
    <w:p>
      <w:pPr>
        <w:numPr>
          <w:ilvl w:val="0"/>
          <w:numId w:val="3"/>
        </w:numPr>
        <w:spacing w:line="600" w:lineRule="exact"/>
        <w:ind w:firstLine="643" w:firstLineChars="200"/>
        <w:rPr>
          <w:rFonts w:ascii="楷体_GB2312" w:hAnsi="仿宋" w:eastAsia="楷体_GB2312"/>
          <w:b/>
          <w:bCs/>
          <w:sz w:val="32"/>
          <w:szCs w:val="32"/>
        </w:rPr>
      </w:pPr>
      <w:r>
        <w:rPr>
          <w:rFonts w:hint="eastAsia" w:ascii="楷体_GB2312" w:hAnsi="仿宋" w:eastAsia="楷体_GB2312" w:cs="楷体_GB2312"/>
          <w:b/>
          <w:bCs/>
          <w:sz w:val="32"/>
          <w:szCs w:val="32"/>
        </w:rPr>
        <w:t>预算绩效管理工作开展情况。</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仿宋_GB2312" w:eastAsia="仿宋_GB2312" w:cs="仿宋_GB2312"/>
          <w:sz w:val="32"/>
          <w:szCs w:val="32"/>
        </w:rPr>
        <w:t>根据预算绩效管理要求，本部门在年初预算编制阶段，按要求对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年部门整体支出开展绩效自评，从评价情况来看，在</w:t>
      </w: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部门预算支出的各项经费收支过程中，严格按照部门预算要求进行实施，人员工资、民生补贴及时发放，基础设施建设资金能到位，基础设施大有改善，全乡人民物质文化生活的逐步提高，政府各职能部门均能正常运转，总体运行情况良好。</w:t>
      </w:r>
    </w:p>
    <w:p>
      <w:pPr>
        <w:numPr>
          <w:ilvl w:val="0"/>
          <w:numId w:val="3"/>
        </w:numPr>
        <w:spacing w:line="600" w:lineRule="exact"/>
        <w:ind w:firstLine="643" w:firstLineChars="200"/>
        <w:rPr>
          <w:rFonts w:ascii="仿宋_GB2312" w:hAnsi="仿宋_GB2312" w:eastAsia="仿宋_GB2312"/>
          <w:sz w:val="32"/>
          <w:szCs w:val="32"/>
        </w:rPr>
      </w:pPr>
      <w:r>
        <w:rPr>
          <w:rFonts w:hint="eastAsia" w:ascii="楷体_GB2312" w:hAnsi="仿宋" w:eastAsia="楷体_GB2312" w:cs="楷体_GB2312"/>
          <w:b/>
          <w:bCs/>
          <w:sz w:val="32"/>
          <w:szCs w:val="32"/>
        </w:rPr>
        <w:t>项目绩效目标完成情况：无。</w:t>
      </w:r>
    </w:p>
    <w:p>
      <w:pPr>
        <w:numPr>
          <w:ilvl w:val="0"/>
          <w:numId w:val="3"/>
        </w:numPr>
        <w:spacing w:line="580" w:lineRule="exact"/>
        <w:ind w:firstLine="643" w:firstLineChars="200"/>
        <w:rPr>
          <w:rFonts w:ascii="仿宋" w:hAnsi="仿宋" w:eastAsia="仿宋"/>
          <w:sz w:val="32"/>
          <w:szCs w:val="32"/>
        </w:rPr>
      </w:pPr>
      <w:r>
        <w:rPr>
          <w:rFonts w:hint="eastAsia" w:ascii="仿宋" w:hAnsi="仿宋" w:eastAsia="仿宋" w:cs="仿宋"/>
          <w:b/>
          <w:bCs/>
          <w:sz w:val="32"/>
          <w:szCs w:val="32"/>
        </w:rPr>
        <w:t>部门开展绩效评价结果。</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年部门整体支出绩效评价情况开展自评，《集益乡人民政府</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bookmarkStart w:id="54" w:name="_Toc15377221"/>
    </w:p>
    <w:p>
      <w:pPr>
        <w:spacing w:line="600" w:lineRule="exact"/>
        <w:ind w:firstLine="640" w:firstLineChars="200"/>
        <w:outlineLvl w:val="1"/>
        <w:rPr>
          <w:rStyle w:val="18"/>
          <w:rFonts w:ascii="黑体" w:hAnsi="黑体" w:eastAsia="黑体" w:cs="Times New Roman"/>
        </w:rPr>
      </w:pPr>
      <w:bookmarkStart w:id="55" w:name="_Toc23235973"/>
      <w:r>
        <w:rPr>
          <w:rFonts w:hint="eastAsia" w:ascii="黑体" w:hAnsi="黑体" w:eastAsia="黑体" w:cs="黑体"/>
          <w:color w:val="000000"/>
          <w:sz w:val="32"/>
          <w:szCs w:val="32"/>
        </w:rPr>
        <w:t>十一</w:t>
      </w:r>
      <w:r>
        <w:rPr>
          <w:rStyle w:val="18"/>
          <w:rFonts w:hint="eastAsia" w:ascii="黑体" w:hAnsi="黑体" w:eastAsia="黑体" w:cs="黑体"/>
        </w:rPr>
        <w:t>、</w:t>
      </w:r>
      <w:r>
        <w:rPr>
          <w:rStyle w:val="18"/>
          <w:rFonts w:hint="eastAsia" w:ascii="黑体" w:hAnsi="黑体" w:eastAsia="黑体" w:cs="黑体"/>
          <w:b w:val="0"/>
          <w:bCs w:val="0"/>
        </w:rPr>
        <w:t>其他重要事项的情况说明</w:t>
      </w:r>
      <w:bookmarkEnd w:id="54"/>
      <w:bookmarkEnd w:id="55"/>
    </w:p>
    <w:p>
      <w:pPr>
        <w:spacing w:line="600" w:lineRule="exact"/>
        <w:ind w:firstLine="643" w:firstLineChars="200"/>
        <w:rPr>
          <w:rFonts w:ascii="仿宋" w:hAnsi="仿宋" w:eastAsia="仿宋"/>
          <w:color w:val="000000"/>
          <w:sz w:val="32"/>
          <w:szCs w:val="32"/>
        </w:rPr>
      </w:pPr>
      <w:bookmarkStart w:id="56" w:name="_Toc15377222"/>
      <w:r>
        <w:rPr>
          <w:rFonts w:hint="eastAsia" w:ascii="仿宋" w:hAnsi="仿宋" w:eastAsia="仿宋" w:cs="仿宋"/>
          <w:b/>
          <w:bCs/>
          <w:color w:val="000000"/>
          <w:sz w:val="32"/>
          <w:szCs w:val="32"/>
        </w:rPr>
        <w:t>（一）机关运行经费支出情况</w:t>
      </w:r>
      <w:bookmarkEnd w:id="56"/>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年，集益乡人民政府机关运行经费支出</w:t>
      </w:r>
      <w:r>
        <w:rPr>
          <w:rFonts w:ascii="仿宋_GB2312" w:eastAsia="仿宋_GB2312" w:cs="仿宋_GB2312"/>
          <w:color w:val="000000"/>
          <w:sz w:val="32"/>
          <w:szCs w:val="32"/>
        </w:rPr>
        <w:t>25.65</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9.91</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27.87%</w:t>
      </w:r>
      <w:r>
        <w:rPr>
          <w:rFonts w:hint="eastAsia" w:ascii="仿宋_GB2312" w:eastAsia="仿宋_GB2312" w:cs="仿宋_GB2312"/>
          <w:color w:val="000000"/>
          <w:sz w:val="32"/>
          <w:szCs w:val="32"/>
        </w:rPr>
        <w:t>。</w:t>
      </w:r>
    </w:p>
    <w:p>
      <w:pPr>
        <w:autoSpaceDE w:val="0"/>
        <w:autoSpaceDN w:val="0"/>
        <w:adjustRightInd w:val="0"/>
        <w:spacing w:line="600" w:lineRule="exact"/>
        <w:ind w:firstLine="643" w:firstLineChars="200"/>
        <w:jc w:val="left"/>
        <w:rPr>
          <w:rFonts w:ascii="仿宋" w:hAnsi="仿宋" w:eastAsia="仿宋"/>
          <w:b/>
          <w:bCs/>
          <w:color w:val="000000"/>
          <w:sz w:val="32"/>
          <w:szCs w:val="32"/>
        </w:rPr>
      </w:pPr>
      <w:bookmarkStart w:id="57" w:name="_Toc15377223"/>
      <w:r>
        <w:rPr>
          <w:rFonts w:hint="eastAsia" w:ascii="仿宋" w:hAnsi="仿宋" w:eastAsia="仿宋" w:cs="仿宋"/>
          <w:b/>
          <w:bCs/>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年，集益乡人民政府政府采购支出总额</w:t>
      </w:r>
      <w:r>
        <w:rPr>
          <w:rFonts w:ascii="仿宋_GB2312" w:eastAsia="仿宋_GB2312" w:cs="仿宋_GB2312"/>
          <w:color w:val="000000"/>
          <w:sz w:val="32"/>
          <w:szCs w:val="32"/>
        </w:rPr>
        <w:t>37.73</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2.11</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20.69</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14.93</w:t>
      </w:r>
      <w:r>
        <w:rPr>
          <w:rFonts w:hint="eastAsia" w:ascii="仿宋_GB2312" w:eastAsia="仿宋_GB2312" w:cs="仿宋_GB2312"/>
          <w:color w:val="000000"/>
          <w:sz w:val="32"/>
          <w:szCs w:val="32"/>
        </w:rPr>
        <w:t>万元。主要用于安全社区建设、乡村振兴风貌塑造、办公设施添置。授予中小企业合同金额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autoSpaceDE w:val="0"/>
        <w:autoSpaceDN w:val="0"/>
        <w:adjustRightInd w:val="0"/>
        <w:spacing w:line="600" w:lineRule="exact"/>
        <w:ind w:firstLine="643" w:firstLineChars="200"/>
        <w:jc w:val="left"/>
        <w:rPr>
          <w:rFonts w:ascii="仿宋" w:hAnsi="仿宋" w:eastAsia="仿宋"/>
          <w:b/>
          <w:bCs/>
          <w:color w:val="000000"/>
          <w:sz w:val="32"/>
          <w:szCs w:val="32"/>
        </w:rPr>
      </w:pPr>
      <w:bookmarkStart w:id="58" w:name="_Toc15377224"/>
      <w:r>
        <w:rPr>
          <w:rFonts w:hint="eastAsia" w:ascii="仿宋" w:hAnsi="仿宋" w:eastAsia="仿宋" w:cs="仿宋"/>
          <w:b/>
          <w:bCs/>
          <w:color w:val="000000"/>
          <w:sz w:val="32"/>
          <w:szCs w:val="32"/>
        </w:rPr>
        <w:t>（三）国有资产占有使用情况</w:t>
      </w:r>
      <w:bookmarkEnd w:id="5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日，集益乡人民政府共有车辆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r>
        <w:rPr>
          <w:rFonts w:ascii="仿宋_GB2312" w:eastAsia="仿宋_GB2312"/>
          <w:b/>
          <w:bCs/>
          <w:color w:val="000000"/>
          <w:sz w:val="32"/>
          <w:szCs w:val="32"/>
        </w:rPr>
        <w:br w:type="page"/>
      </w:r>
    </w:p>
    <w:p>
      <w:pPr>
        <w:numPr>
          <w:ilvl w:val="0"/>
          <w:numId w:val="4"/>
        </w:numPr>
        <w:spacing w:line="600" w:lineRule="exact"/>
        <w:ind w:firstLine="660" w:firstLineChars="150"/>
        <w:jc w:val="center"/>
        <w:outlineLvl w:val="0"/>
        <w:rPr>
          <w:rStyle w:val="17"/>
          <w:rFonts w:ascii="方正小标宋_GBK" w:hAnsi="黑体" w:eastAsia="方正小标宋_GBK"/>
          <w:b w:val="0"/>
          <w:bCs w:val="0"/>
        </w:rPr>
      </w:pPr>
      <w:bookmarkStart w:id="59" w:name="_Toc15377225"/>
      <w:bookmarkStart w:id="60" w:name="_Toc23235974"/>
      <w:r>
        <w:rPr>
          <w:rFonts w:hint="eastAsia" w:ascii="方正小标宋_GBK" w:hAnsi="黑体" w:eastAsia="方正小标宋_GBK" w:cs="方正小标宋_GBK"/>
          <w:b/>
          <w:bCs/>
          <w:color w:val="000000"/>
          <w:sz w:val="44"/>
          <w:szCs w:val="44"/>
        </w:rPr>
        <w:t>名</w:t>
      </w:r>
      <w:r>
        <w:rPr>
          <w:rStyle w:val="17"/>
          <w:rFonts w:hint="eastAsia" w:ascii="方正小标宋_GBK" w:hAnsi="黑体" w:eastAsia="方正小标宋_GBK" w:cs="方正小标宋_GBK"/>
          <w:b w:val="0"/>
          <w:bCs w:val="0"/>
        </w:rPr>
        <w:t>词解释</w:t>
      </w:r>
      <w:bookmarkEnd w:id="59"/>
      <w:bookmarkEnd w:id="60"/>
    </w:p>
    <w:p>
      <w:pPr>
        <w:spacing w:line="600" w:lineRule="exact"/>
        <w:jc w:val="left"/>
        <w:rPr>
          <w:rFonts w:ascii="宋体"/>
          <w:b/>
          <w:bCs/>
          <w:color w:val="000000"/>
          <w:sz w:val="44"/>
          <w:szCs w:val="44"/>
        </w:rPr>
      </w:pP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事业收入：指事业单位开展专业业务活动及辅助活动取得的收入。如…（二级预算单位事业收入情况）等。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经营收入：指事业单位在专业业务活动及其辅助活动之外开展非独立核算经营活动取得的收入。如…（二级预算单位经营收入情况）等。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其他收入：指单位取得的除上述收入以外的各项收入。主要是…（收入类型）等。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一般公共服务支出（类）人大事务（款）行政运行（项）：指行政单位（包括实行公务员管理的事业单位）的基本支出。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一般公共服务支出（类）政府办公厅（室）及相关机构事务（款）行政运行（项）：指行政单位（包括实行公务员管理的事业单位）的基本支出。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11. </w:t>
      </w:r>
      <w:r>
        <w:rPr>
          <w:rFonts w:hint="eastAsia" w:ascii="仿宋_GB2312" w:eastAsia="仿宋_GB2312" w:cs="仿宋_GB2312"/>
          <w:color w:val="000000"/>
          <w:sz w:val="32"/>
          <w:szCs w:val="32"/>
        </w:rPr>
        <w:t>一般公共服务支出（类）财政事务（款）行政运行（项）：指行政单位（包括实行公务员管理的事业单位）的财政事务方面基本支出。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12. </w:t>
      </w:r>
      <w:r>
        <w:rPr>
          <w:rFonts w:hint="eastAsia" w:ascii="仿宋_GB2312" w:eastAsia="仿宋_GB2312" w:cs="仿宋_GB2312"/>
          <w:color w:val="000000"/>
          <w:sz w:val="32"/>
          <w:szCs w:val="32"/>
        </w:rPr>
        <w:t>一般公共服务支出（类）党委办公厅（室）及相关机构事务（款）行政运行（项）：指行政单位（包括实行公务员管理的事业单位）的党委办公厅（室）及相关机构事务方面基本支出。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文化体育与传媒支出（类）新闻出版广播影视（款）广播（项）：指广播电台、广播发射台、广播转播台及有线广播站的支出。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社会保障和就业支出（类）民政管理事务（款）老龄事物（项）：指老龄事物方面的支出。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15. </w:t>
      </w:r>
      <w:r>
        <w:rPr>
          <w:rFonts w:hint="eastAsia" w:ascii="仿宋_GB2312" w:eastAsia="仿宋_GB2312" w:cs="仿宋_GB2312"/>
          <w:color w:val="000000"/>
          <w:sz w:val="32"/>
          <w:szCs w:val="32"/>
        </w:rPr>
        <w:t>社会保障和就业支出（类）行政事业单位离退休（款）机关事业单位基本养老保险缴费支出（项）：指机关事业单位实施养老保险制度由单位缴纳的基本养老保险费支出。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16. </w:t>
      </w:r>
      <w:r>
        <w:rPr>
          <w:rFonts w:hint="eastAsia" w:ascii="仿宋_GB2312" w:eastAsia="仿宋_GB2312" w:cs="仿宋_GB2312"/>
          <w:color w:val="000000"/>
          <w:sz w:val="32"/>
          <w:szCs w:val="32"/>
        </w:rPr>
        <w:t>社会保障和就业支出（类）抚恤（款）义务兵优待（项）：指用于义务兵优待方面的支出。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17. </w:t>
      </w:r>
      <w:r>
        <w:rPr>
          <w:rFonts w:hint="eastAsia" w:ascii="仿宋_GB2312" w:eastAsia="仿宋_GB2312" w:cs="仿宋_GB2312"/>
          <w:color w:val="000000"/>
          <w:sz w:val="32"/>
          <w:szCs w:val="32"/>
        </w:rPr>
        <w:t>社会保障和就业支出（类）残疾人事业（款）其他残疾人事业支出（项）：指除基本支出外的其他用于残疾人事业方面的支出。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18. </w:t>
      </w:r>
      <w:r>
        <w:rPr>
          <w:rFonts w:hint="eastAsia" w:ascii="仿宋_GB2312" w:eastAsia="仿宋_GB2312" w:cs="仿宋_GB2312"/>
          <w:color w:val="000000"/>
          <w:sz w:val="32"/>
          <w:szCs w:val="32"/>
        </w:rPr>
        <w:t>社会保障和就业支出等（类）特困人员救助供养（款）农村特困人员救助供养支出（项）：指农村特困人员救助供养支出。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医疗卫生与计划生育支出（类）计划生育事务（款）计划生育机构（项）：指计划生育卫生和计划生育部门所属计划生育机构支出。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20. </w:t>
      </w:r>
      <w:r>
        <w:rPr>
          <w:rFonts w:hint="eastAsia" w:ascii="仿宋_GB2312" w:eastAsia="仿宋_GB2312" w:cs="仿宋_GB2312"/>
          <w:color w:val="000000"/>
          <w:sz w:val="32"/>
          <w:szCs w:val="32"/>
        </w:rPr>
        <w:t>医疗卫生与计划生育支出（类）行政事业单位医疗（款）行政单位医疗（项）：指财政部门集中安排的行政单位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节能环保支出（类）污染防治（款）水体（项）：指政府在排水、污水处理、水污染防治、湖库生态环境保护、水源地保护、国土江河综合整治、河流治理与保护、地下水修复与保护等方面的支出。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22.</w:t>
      </w:r>
      <w:r>
        <w:rPr>
          <w:rFonts w:hint="eastAsia" w:ascii="仿宋_GB2312" w:eastAsia="仿宋_GB2312" w:cs="仿宋_GB2312"/>
          <w:color w:val="000000"/>
          <w:sz w:val="32"/>
          <w:szCs w:val="32"/>
        </w:rPr>
        <w:t>城乡社区支出（类）城乡社区管理事务（款）行政运行（项）：指行政单位（包括实行公务员管理的事业单位）在城乡社区事务管理的基本支出。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23.</w:t>
      </w:r>
      <w:r>
        <w:rPr>
          <w:rFonts w:hint="eastAsia" w:ascii="仿宋_GB2312" w:eastAsia="仿宋_GB2312" w:cs="仿宋_GB2312"/>
          <w:color w:val="000000"/>
          <w:sz w:val="32"/>
          <w:szCs w:val="32"/>
        </w:rPr>
        <w:t>城乡社区支出（类）国有土地使用权出让收入及对应专项债务收入安排的支出（款）其他国有土地使用权出让收入安排的支出（项）：指土地出让收入用于其他方面的支出。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24.</w:t>
      </w:r>
      <w:r>
        <w:rPr>
          <w:rFonts w:hint="eastAsia" w:ascii="仿宋_GB2312" w:eastAsia="仿宋_GB2312" w:cs="仿宋_GB2312"/>
          <w:color w:val="000000"/>
          <w:sz w:val="32"/>
          <w:szCs w:val="32"/>
        </w:rPr>
        <w:t>农林水支出（类）农业（款）行政运行（项）：指行政单位（包括实行公务员管理的事业单位）在农业方面的基本支出。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25.</w:t>
      </w:r>
      <w:r>
        <w:rPr>
          <w:rFonts w:hint="eastAsia" w:ascii="仿宋_GB2312" w:eastAsia="仿宋_GB2312" w:cs="仿宋_GB2312"/>
          <w:color w:val="000000"/>
          <w:sz w:val="32"/>
          <w:szCs w:val="32"/>
        </w:rPr>
        <w:t>农林水支出（类）农业（款）防灾救灾（项）：指对农业因遭受自然、生物灾害损失给予的补助，促进农业防灾增产措施补助、海难救助补助、草原扑火防火及因其他灾害导致农牧渔业生产者损失给予的补助。</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26.</w:t>
      </w:r>
      <w:r>
        <w:rPr>
          <w:rFonts w:hint="eastAsia" w:ascii="仿宋_GB2312" w:eastAsia="仿宋_GB2312" w:cs="仿宋_GB2312"/>
          <w:color w:val="000000"/>
          <w:sz w:val="32"/>
          <w:szCs w:val="32"/>
        </w:rPr>
        <w:t>农林水支出（类）农业（款）农业生产支持补贴（项）：指对种粮农民直接补贴，对农业生产资料补贴、技术物化补贴，推广先进适用农机农艺技术等方面的支出。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27.</w:t>
      </w:r>
      <w:r>
        <w:rPr>
          <w:rFonts w:hint="eastAsia" w:ascii="仿宋_GB2312" w:eastAsia="仿宋_GB2312" w:cs="仿宋_GB2312"/>
          <w:color w:val="000000"/>
          <w:sz w:val="32"/>
          <w:szCs w:val="32"/>
        </w:rPr>
        <w:t>农林水支出（类）农业（款）对高校毕业生到基层任职补助（项）：指按规定对高校毕业生到基层任职的补助支出。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28.</w:t>
      </w:r>
      <w:r>
        <w:rPr>
          <w:rFonts w:hint="eastAsia" w:ascii="仿宋_GB2312" w:eastAsia="仿宋_GB2312" w:cs="仿宋_GB2312"/>
          <w:color w:val="000000"/>
          <w:sz w:val="32"/>
          <w:szCs w:val="32"/>
        </w:rPr>
        <w:t>农林水支出（类）林业（款）行政运行（项）：指行政单位（包括实行公务员管理的事业单位）用于林业方面的支出。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29.</w:t>
      </w:r>
      <w:r>
        <w:rPr>
          <w:rFonts w:hint="eastAsia" w:ascii="仿宋_GB2312" w:eastAsia="仿宋_GB2312" w:cs="仿宋_GB2312"/>
          <w:color w:val="000000"/>
          <w:sz w:val="32"/>
          <w:szCs w:val="32"/>
        </w:rPr>
        <w:t>农林水支出（类）水利（款）行政运行（项）：指行政单位（包括实行公务员管理的事业单位）用于水利方面的支出。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30.</w:t>
      </w:r>
      <w:r>
        <w:rPr>
          <w:rFonts w:hint="eastAsia" w:ascii="仿宋_GB2312" w:eastAsia="仿宋_GB2312" w:cs="仿宋_GB2312"/>
          <w:color w:val="000000"/>
          <w:sz w:val="32"/>
          <w:szCs w:val="32"/>
        </w:rPr>
        <w:t>农林水支出（类）扶贫（款）其他扶贫支出（项）：指除基本支出外的其他用于扶贫方面的支出。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31.</w:t>
      </w:r>
      <w:r>
        <w:rPr>
          <w:rFonts w:hint="eastAsia" w:ascii="仿宋_GB2312" w:eastAsia="仿宋_GB2312" w:cs="仿宋_GB2312"/>
          <w:color w:val="000000"/>
          <w:sz w:val="32"/>
          <w:szCs w:val="32"/>
        </w:rPr>
        <w:t>农林水支出（类）农村综合改革（款）对村级一事一议的补助（项）：指农村税费改革后对村级公益事业建设一事一议的补助支出。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32.</w:t>
      </w:r>
      <w:r>
        <w:rPr>
          <w:rFonts w:hint="eastAsia" w:ascii="仿宋_GB2312" w:eastAsia="仿宋_GB2312" w:cs="仿宋_GB2312"/>
          <w:color w:val="000000"/>
          <w:sz w:val="32"/>
          <w:szCs w:val="32"/>
        </w:rPr>
        <w:t>农林水支出（类）农村综合改革（款）对村民委员会和村党支部的补助（项）：指各级财政对村民委员会和村党支部的补助支出。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33.</w:t>
      </w:r>
      <w:r>
        <w:rPr>
          <w:rFonts w:hint="eastAsia" w:ascii="仿宋_GB2312" w:eastAsia="仿宋_GB2312" w:cs="仿宋_GB2312"/>
          <w:color w:val="000000"/>
          <w:sz w:val="32"/>
          <w:szCs w:val="32"/>
        </w:rPr>
        <w:t>资源勘探信息等支出（类）安全生产监管（款）其他安全生产监管支出（项）：指除基本支出外的其他用于安全生产监管方面的支出。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34.</w:t>
      </w:r>
      <w:r>
        <w:rPr>
          <w:rFonts w:hint="eastAsia" w:ascii="仿宋_GB2312" w:eastAsia="仿宋_GB2312" w:cs="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35.</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36.</w:t>
      </w:r>
      <w:r>
        <w:rPr>
          <w:rFonts w:hint="eastAsia" w:ascii="仿宋_GB2312" w:eastAsia="仿宋_GB2312" w:cs="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37.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jc w:val="center"/>
        <w:outlineLvl w:val="0"/>
        <w:rPr>
          <w:rFonts w:hint="eastAsia" w:ascii="仿宋_GB2312" w:eastAsia="仿宋_GB2312" w:cs="仿宋_GB2312"/>
          <w:sz w:val="32"/>
          <w:szCs w:val="32"/>
        </w:rPr>
      </w:pPr>
      <w:bookmarkStart w:id="61" w:name="_Toc23235975"/>
      <w:r>
        <w:rPr>
          <w:rFonts w:ascii="仿宋_GB2312" w:eastAsia="仿宋_GB2312" w:cs="仿宋_GB2312"/>
          <w:sz w:val="32"/>
          <w:szCs w:val="32"/>
        </w:rPr>
        <w:t>39.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End w:id="61"/>
      <w:bookmarkStart w:id="62" w:name="_Toc15377226"/>
    </w:p>
    <w:p>
      <w:pPr>
        <w:widowControl/>
        <w:jc w:val="center"/>
        <w:outlineLvl w:val="0"/>
        <w:rPr>
          <w:rFonts w:hint="eastAsia" w:ascii="仿宋_GB2312" w:eastAsia="仿宋_GB2312" w:cs="仿宋_GB2312"/>
          <w:sz w:val="32"/>
          <w:szCs w:val="32"/>
        </w:rPr>
      </w:pPr>
    </w:p>
    <w:p>
      <w:pPr>
        <w:widowControl/>
        <w:jc w:val="center"/>
        <w:outlineLvl w:val="0"/>
        <w:rPr>
          <w:rFonts w:hint="eastAsia" w:ascii="仿宋_GB2312" w:eastAsia="仿宋_GB2312" w:cs="仿宋_GB2312"/>
          <w:sz w:val="32"/>
          <w:szCs w:val="32"/>
        </w:rPr>
      </w:pPr>
    </w:p>
    <w:p>
      <w:pPr>
        <w:widowControl/>
        <w:jc w:val="center"/>
        <w:outlineLvl w:val="0"/>
        <w:rPr>
          <w:rFonts w:hint="eastAsia" w:ascii="仿宋_GB2312" w:eastAsia="仿宋_GB2312" w:cs="仿宋_GB2312"/>
          <w:sz w:val="32"/>
          <w:szCs w:val="32"/>
        </w:rPr>
      </w:pPr>
    </w:p>
    <w:p>
      <w:pPr>
        <w:widowControl/>
        <w:jc w:val="center"/>
        <w:outlineLvl w:val="0"/>
        <w:rPr>
          <w:rFonts w:eastAsia="方正小标宋_GBK"/>
          <w:bCs/>
          <w:color w:val="000000"/>
          <w:sz w:val="44"/>
          <w:szCs w:val="44"/>
        </w:rPr>
        <w:sectPr>
          <w:footerReference r:id="rId4" w:type="first"/>
          <w:footerReference r:id="rId3" w:type="default"/>
          <w:pgSz w:w="11906" w:h="16838"/>
          <w:pgMar w:top="1701" w:right="1474" w:bottom="1588" w:left="1531" w:header="851" w:footer="992" w:gutter="0"/>
          <w:pgNumType w:start="1"/>
          <w:cols w:space="425" w:num="1"/>
          <w:titlePg/>
          <w:docGrid w:linePitch="312" w:charSpace="0"/>
        </w:sectPr>
      </w:pPr>
    </w:p>
    <w:p>
      <w:pPr>
        <w:widowControl/>
        <w:jc w:val="center"/>
        <w:outlineLvl w:val="0"/>
        <w:rPr>
          <w:rFonts w:hint="eastAsia" w:eastAsia="方正小标宋_GBK"/>
          <w:bCs/>
          <w:color w:val="000000"/>
          <w:sz w:val="44"/>
          <w:szCs w:val="44"/>
        </w:rPr>
      </w:pPr>
      <w:bookmarkStart w:id="63" w:name="_Toc23235976"/>
      <w:r>
        <w:rPr>
          <w:rFonts w:eastAsia="方正小标宋_GBK"/>
          <w:bCs/>
          <w:color w:val="000000"/>
          <w:sz w:val="44"/>
          <w:szCs w:val="44"/>
        </w:rPr>
        <w:t>第四部分</w:t>
      </w:r>
      <w:r>
        <w:rPr>
          <w:rFonts w:hint="eastAsia" w:eastAsia="方正小标宋_GBK"/>
          <w:bCs/>
          <w:color w:val="000000"/>
          <w:sz w:val="44"/>
          <w:szCs w:val="44"/>
        </w:rPr>
        <w:t xml:space="preserve"> 附件</w:t>
      </w:r>
      <w:bookmarkEnd w:id="63"/>
    </w:p>
    <w:tbl>
      <w:tblPr>
        <w:tblStyle w:val="12"/>
        <w:tblW w:w="16080" w:type="dxa"/>
        <w:tblInd w:w="93" w:type="dxa"/>
        <w:tblLayout w:type="autofit"/>
        <w:tblCellMar>
          <w:top w:w="0" w:type="dxa"/>
          <w:left w:w="108" w:type="dxa"/>
          <w:bottom w:w="0" w:type="dxa"/>
          <w:right w:w="108" w:type="dxa"/>
        </w:tblCellMar>
      </w:tblPr>
      <w:tblGrid>
        <w:gridCol w:w="1040"/>
        <w:gridCol w:w="1280"/>
        <w:gridCol w:w="2920"/>
        <w:gridCol w:w="5480"/>
        <w:gridCol w:w="4280"/>
        <w:gridCol w:w="1080"/>
      </w:tblGrid>
      <w:tr>
        <w:tblPrEx>
          <w:tblCellMar>
            <w:top w:w="0" w:type="dxa"/>
            <w:left w:w="108" w:type="dxa"/>
            <w:bottom w:w="0" w:type="dxa"/>
            <w:right w:w="108" w:type="dxa"/>
          </w:tblCellMar>
        </w:tblPrEx>
        <w:trPr>
          <w:trHeight w:val="360" w:hRule="atLeast"/>
        </w:trPr>
        <w:tc>
          <w:tcPr>
            <w:tcW w:w="1040" w:type="dxa"/>
            <w:tcBorders>
              <w:top w:val="nil"/>
              <w:left w:val="nil"/>
              <w:bottom w:val="nil"/>
              <w:right w:val="nil"/>
            </w:tcBorders>
            <w:shd w:val="clear" w:color="auto" w:fill="auto"/>
            <w:vAlign w:val="center"/>
          </w:tcPr>
          <w:p>
            <w:pPr>
              <w:widowControl/>
              <w:jc w:val="left"/>
              <w:rPr>
                <w:rFonts w:ascii="黑体" w:hAnsi="黑体" w:eastAsia="黑体" w:cs="宋体"/>
                <w:kern w:val="0"/>
                <w:sz w:val="24"/>
                <w:szCs w:val="24"/>
              </w:rPr>
            </w:pPr>
            <w:bookmarkStart w:id="64" w:name="RANGE!A1:E40"/>
            <w:r>
              <w:rPr>
                <w:rFonts w:hint="eastAsia" w:ascii="黑体" w:hAnsi="黑体" w:eastAsia="黑体" w:cs="宋体"/>
                <w:kern w:val="0"/>
                <w:sz w:val="24"/>
                <w:szCs w:val="24"/>
              </w:rPr>
              <w:t>附件1</w:t>
            </w:r>
            <w:bookmarkEnd w:id="64"/>
          </w:p>
        </w:tc>
        <w:tc>
          <w:tcPr>
            <w:tcW w:w="1280" w:type="dxa"/>
            <w:tcBorders>
              <w:top w:val="nil"/>
              <w:left w:val="nil"/>
              <w:bottom w:val="nil"/>
              <w:right w:val="nil"/>
            </w:tcBorders>
            <w:shd w:val="clear" w:color="auto" w:fill="auto"/>
            <w:noWrap/>
            <w:vAlign w:val="center"/>
          </w:tcPr>
          <w:p>
            <w:pPr>
              <w:widowControl/>
              <w:jc w:val="center"/>
              <w:rPr>
                <w:rFonts w:ascii="宋体" w:hAnsi="宋体" w:cs="宋体"/>
                <w:kern w:val="0"/>
                <w:sz w:val="18"/>
                <w:szCs w:val="18"/>
              </w:rPr>
            </w:pPr>
          </w:p>
        </w:tc>
        <w:tc>
          <w:tcPr>
            <w:tcW w:w="2920" w:type="dxa"/>
            <w:tcBorders>
              <w:top w:val="nil"/>
              <w:left w:val="nil"/>
              <w:bottom w:val="nil"/>
              <w:right w:val="nil"/>
            </w:tcBorders>
            <w:shd w:val="clear" w:color="auto" w:fill="auto"/>
            <w:noWrap/>
            <w:vAlign w:val="center"/>
          </w:tcPr>
          <w:p>
            <w:pPr>
              <w:widowControl/>
              <w:jc w:val="left"/>
              <w:rPr>
                <w:rFonts w:ascii="宋体" w:hAnsi="宋体" w:cs="宋体"/>
                <w:kern w:val="0"/>
                <w:sz w:val="18"/>
                <w:szCs w:val="18"/>
              </w:rPr>
            </w:pPr>
          </w:p>
        </w:tc>
        <w:tc>
          <w:tcPr>
            <w:tcW w:w="5480" w:type="dxa"/>
            <w:tcBorders>
              <w:top w:val="nil"/>
              <w:left w:val="nil"/>
              <w:bottom w:val="nil"/>
              <w:right w:val="nil"/>
            </w:tcBorders>
            <w:shd w:val="clear" w:color="auto" w:fill="auto"/>
            <w:vAlign w:val="center"/>
          </w:tcPr>
          <w:p>
            <w:pPr>
              <w:widowControl/>
              <w:jc w:val="left"/>
              <w:rPr>
                <w:rFonts w:ascii="宋体" w:hAnsi="宋体" w:cs="宋体"/>
                <w:kern w:val="0"/>
                <w:sz w:val="18"/>
                <w:szCs w:val="18"/>
              </w:rPr>
            </w:pPr>
          </w:p>
        </w:tc>
        <w:tc>
          <w:tcPr>
            <w:tcW w:w="4280" w:type="dxa"/>
            <w:tcBorders>
              <w:top w:val="nil"/>
              <w:left w:val="nil"/>
              <w:bottom w:val="nil"/>
              <w:right w:val="nil"/>
            </w:tcBorders>
            <w:shd w:val="clear" w:color="auto" w:fill="auto"/>
            <w:vAlign w:val="center"/>
          </w:tcPr>
          <w:p>
            <w:pPr>
              <w:widowControl/>
              <w:jc w:val="left"/>
              <w:rPr>
                <w:rFonts w:ascii="宋体" w:hAnsi="宋体" w:cs="宋体"/>
                <w:kern w:val="0"/>
                <w:sz w:val="18"/>
                <w:szCs w:val="18"/>
              </w:rPr>
            </w:pPr>
          </w:p>
        </w:tc>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470" w:hRule="atLeast"/>
        </w:trPr>
        <w:tc>
          <w:tcPr>
            <w:tcW w:w="15000" w:type="dxa"/>
            <w:gridSpan w:val="5"/>
            <w:tcBorders>
              <w:top w:val="nil"/>
              <w:left w:val="nil"/>
              <w:bottom w:val="nil"/>
              <w:right w:val="nil"/>
            </w:tcBorders>
            <w:shd w:val="clear" w:color="auto" w:fill="auto"/>
            <w:vAlign w:val="center"/>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部门整体支出绩效评价指标体系</w:t>
            </w:r>
          </w:p>
        </w:tc>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00" w:hRule="atLeast"/>
        </w:trPr>
        <w:tc>
          <w:tcPr>
            <w:tcW w:w="1040" w:type="dxa"/>
            <w:tcBorders>
              <w:top w:val="nil"/>
              <w:left w:val="nil"/>
              <w:bottom w:val="nil"/>
              <w:right w:val="nil"/>
            </w:tcBorders>
            <w:shd w:val="clear" w:color="auto" w:fill="auto"/>
            <w:vAlign w:val="center"/>
          </w:tcPr>
          <w:p>
            <w:pPr>
              <w:widowControl/>
              <w:jc w:val="center"/>
              <w:rPr>
                <w:rFonts w:ascii="宋体" w:hAnsi="宋体" w:cs="宋体"/>
                <w:b/>
                <w:bCs/>
                <w:kern w:val="0"/>
                <w:sz w:val="18"/>
                <w:szCs w:val="18"/>
              </w:rPr>
            </w:pPr>
          </w:p>
        </w:tc>
        <w:tc>
          <w:tcPr>
            <w:tcW w:w="1280" w:type="dxa"/>
            <w:tcBorders>
              <w:top w:val="nil"/>
              <w:left w:val="nil"/>
              <w:bottom w:val="nil"/>
              <w:right w:val="nil"/>
            </w:tcBorders>
            <w:shd w:val="clear" w:color="auto" w:fill="auto"/>
            <w:vAlign w:val="center"/>
          </w:tcPr>
          <w:p>
            <w:pPr>
              <w:widowControl/>
              <w:jc w:val="center"/>
              <w:rPr>
                <w:rFonts w:ascii="宋体" w:hAnsi="宋体" w:cs="宋体"/>
                <w:b/>
                <w:bCs/>
                <w:kern w:val="0"/>
                <w:sz w:val="18"/>
                <w:szCs w:val="18"/>
              </w:rPr>
            </w:pPr>
          </w:p>
        </w:tc>
        <w:tc>
          <w:tcPr>
            <w:tcW w:w="2920" w:type="dxa"/>
            <w:tcBorders>
              <w:top w:val="nil"/>
              <w:left w:val="nil"/>
              <w:bottom w:val="nil"/>
              <w:right w:val="nil"/>
            </w:tcBorders>
            <w:shd w:val="clear" w:color="auto" w:fill="auto"/>
            <w:vAlign w:val="center"/>
          </w:tcPr>
          <w:p>
            <w:pPr>
              <w:widowControl/>
              <w:jc w:val="center"/>
              <w:rPr>
                <w:rFonts w:ascii="宋体" w:hAnsi="宋体" w:cs="宋体"/>
                <w:b/>
                <w:bCs/>
                <w:kern w:val="0"/>
                <w:sz w:val="18"/>
                <w:szCs w:val="18"/>
              </w:rPr>
            </w:pPr>
          </w:p>
        </w:tc>
        <w:tc>
          <w:tcPr>
            <w:tcW w:w="5480" w:type="dxa"/>
            <w:tcBorders>
              <w:top w:val="nil"/>
              <w:left w:val="nil"/>
              <w:bottom w:val="nil"/>
              <w:right w:val="nil"/>
            </w:tcBorders>
            <w:shd w:val="clear" w:color="auto" w:fill="auto"/>
            <w:vAlign w:val="center"/>
          </w:tcPr>
          <w:p>
            <w:pPr>
              <w:widowControl/>
              <w:jc w:val="center"/>
              <w:rPr>
                <w:rFonts w:ascii="宋体" w:hAnsi="宋体" w:cs="宋体"/>
                <w:b/>
                <w:bCs/>
                <w:kern w:val="0"/>
                <w:sz w:val="18"/>
                <w:szCs w:val="18"/>
              </w:rPr>
            </w:pPr>
          </w:p>
        </w:tc>
        <w:tc>
          <w:tcPr>
            <w:tcW w:w="4280" w:type="dxa"/>
            <w:tcBorders>
              <w:top w:val="nil"/>
              <w:left w:val="nil"/>
              <w:bottom w:val="nil"/>
              <w:right w:val="nil"/>
            </w:tcBorders>
            <w:shd w:val="clear" w:color="auto" w:fill="auto"/>
            <w:vAlign w:val="center"/>
          </w:tcPr>
          <w:p>
            <w:pPr>
              <w:widowControl/>
              <w:jc w:val="center"/>
              <w:rPr>
                <w:rFonts w:ascii="宋体" w:hAnsi="宋体" w:cs="宋体"/>
                <w:b/>
                <w:bCs/>
                <w:kern w:val="0"/>
                <w:sz w:val="18"/>
                <w:szCs w:val="18"/>
              </w:rPr>
            </w:pPr>
          </w:p>
        </w:tc>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00" w:hRule="atLeast"/>
        </w:trPr>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92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54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指标解释</w:t>
            </w:r>
          </w:p>
        </w:tc>
        <w:tc>
          <w:tcPr>
            <w:tcW w:w="42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 注</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评价得分</w:t>
            </w:r>
          </w:p>
        </w:tc>
      </w:tr>
      <w:tr>
        <w:tblPrEx>
          <w:tblCellMar>
            <w:top w:w="0" w:type="dxa"/>
            <w:left w:w="108" w:type="dxa"/>
            <w:bottom w:w="0" w:type="dxa"/>
            <w:right w:w="108" w:type="dxa"/>
          </w:tblCellMar>
        </w:tblPrEx>
        <w:trPr>
          <w:trHeight w:val="540" w:hRule="atLeast"/>
        </w:trPr>
        <w:tc>
          <w:tcPr>
            <w:tcW w:w="1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预算编制</w:t>
            </w:r>
          </w:p>
          <w:p>
            <w:pPr>
              <w:widowControl/>
              <w:jc w:val="center"/>
              <w:rPr>
                <w:rFonts w:ascii="宋体" w:hAnsi="宋体" w:cs="宋体"/>
                <w:kern w:val="0"/>
                <w:sz w:val="18"/>
                <w:szCs w:val="18"/>
              </w:rPr>
            </w:pPr>
            <w:r>
              <w:rPr>
                <w:rFonts w:hint="eastAsia" w:ascii="宋体" w:hAnsi="宋体" w:cs="宋体"/>
                <w:kern w:val="0"/>
                <w:sz w:val="18"/>
                <w:szCs w:val="18"/>
              </w:rPr>
              <w:t>（10分）</w:t>
            </w:r>
          </w:p>
        </w:tc>
        <w:tc>
          <w:tcPr>
            <w:tcW w:w="1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报送时效（1分）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基础信息更新（1分）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部门是否按照市级部门预算编制通知和有关要求，按时完成基础、项目库报送工作</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超过规定5个工作日内扣0.5分，10个工作日内扣1分，以此类推，直至扣完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1</w:t>
            </w:r>
          </w:p>
        </w:tc>
      </w:tr>
      <w:tr>
        <w:tblPrEx>
          <w:tblCellMar>
            <w:top w:w="0" w:type="dxa"/>
            <w:left w:w="108" w:type="dxa"/>
            <w:bottom w:w="0" w:type="dxa"/>
            <w:right w:w="108" w:type="dxa"/>
          </w:tblCellMar>
        </w:tblPrEx>
        <w:trPr>
          <w:trHeight w:val="540"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编制质量（2分）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预算编制准确（1分）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（预算资金总来源-中期评估调整取消资金-预算结余注销资金）÷预算资金总来源×指标分值</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其中：预算资金总来源是指市级年初预算与执行中追加预算（不含当年上级专款）总和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w:t>
            </w:r>
          </w:p>
        </w:tc>
      </w:tr>
      <w:tr>
        <w:tblPrEx>
          <w:tblCellMar>
            <w:top w:w="0" w:type="dxa"/>
            <w:left w:w="108" w:type="dxa"/>
            <w:bottom w:w="0" w:type="dxa"/>
            <w:right w:w="108" w:type="dxa"/>
          </w:tblCellMar>
        </w:tblPrEx>
        <w:trPr>
          <w:trHeight w:val="540"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部门预算审查（1分）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根据市人大财经工委对预算草案审查结果进行考核</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对预工委审查后提出并确需修改的问题，每个问题扣0.02分，直至扣完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w:t>
            </w:r>
          </w:p>
        </w:tc>
      </w:tr>
      <w:tr>
        <w:tblPrEx>
          <w:tblCellMar>
            <w:top w:w="0" w:type="dxa"/>
            <w:left w:w="108" w:type="dxa"/>
            <w:bottom w:w="0" w:type="dxa"/>
            <w:right w:w="108" w:type="dxa"/>
          </w:tblCellMar>
        </w:tblPrEx>
        <w:trPr>
          <w:trHeight w:val="540"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绩效目标（5分）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部门整体绩效目标（2分）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部门整体绩效目标编制完整、合理</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部门整体绩效目标能完整、合理反映部门年度职责履行情况的得分，否则不得分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25"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重点项目绩效目标（3分）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项目绩效目标编制明确、量化</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项目支出绩效目标编制不明确和量化的发现一个口0.5分，直至扣完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3</w:t>
            </w:r>
          </w:p>
        </w:tc>
      </w:tr>
      <w:tr>
        <w:tblPrEx>
          <w:tblCellMar>
            <w:top w:w="0" w:type="dxa"/>
            <w:left w:w="108" w:type="dxa"/>
            <w:bottom w:w="0" w:type="dxa"/>
            <w:right w:w="108" w:type="dxa"/>
          </w:tblCellMar>
        </w:tblPrEx>
        <w:trPr>
          <w:trHeight w:val="345"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转移支付提前下达（1分）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转移支付提前下达（1分）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按规定提前下达转移支付</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未按规定提前下达转移支付的，按比例进行扣分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w:t>
            </w:r>
          </w:p>
        </w:tc>
      </w:tr>
      <w:tr>
        <w:tblPrEx>
          <w:tblCellMar>
            <w:top w:w="0" w:type="dxa"/>
            <w:left w:w="108" w:type="dxa"/>
            <w:bottom w:w="0" w:type="dxa"/>
            <w:right w:w="108" w:type="dxa"/>
          </w:tblCellMar>
        </w:tblPrEx>
        <w:trPr>
          <w:trHeight w:val="525"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专项转移支付分地区分项目编制（1分）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专项转移支付分地区分项目编制（1分）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按规定分地区分项目编制专项转移支付</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未按规定编制的，按比例进行扣分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w:t>
            </w:r>
          </w:p>
        </w:tc>
      </w:tr>
      <w:tr>
        <w:tblPrEx>
          <w:tblCellMar>
            <w:top w:w="0" w:type="dxa"/>
            <w:left w:w="108" w:type="dxa"/>
            <w:bottom w:w="0" w:type="dxa"/>
            <w:right w:w="108" w:type="dxa"/>
          </w:tblCellMar>
        </w:tblPrEx>
        <w:trPr>
          <w:trHeight w:val="525" w:hRule="atLeast"/>
        </w:trPr>
        <w:tc>
          <w:tcPr>
            <w:tcW w:w="10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预算执行</w:t>
            </w:r>
          </w:p>
          <w:p>
            <w:pPr>
              <w:widowControl/>
              <w:jc w:val="center"/>
              <w:rPr>
                <w:rFonts w:ascii="宋体" w:hAnsi="宋体" w:cs="宋体"/>
                <w:kern w:val="0"/>
                <w:sz w:val="18"/>
                <w:szCs w:val="18"/>
              </w:rPr>
            </w:pPr>
            <w:r>
              <w:rPr>
                <w:rFonts w:hint="eastAsia" w:ascii="宋体" w:hAnsi="宋体" w:cs="宋体"/>
                <w:kern w:val="0"/>
                <w:sz w:val="18"/>
                <w:szCs w:val="18"/>
              </w:rPr>
              <w:t>（20分）</w:t>
            </w: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执行进度（10分）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省级财力专项预算分配时限（4分）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按规定及时分配省级财力专项预算</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按《预算法》规定时限完成分配的考核得分，否则不得分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4</w:t>
            </w:r>
          </w:p>
        </w:tc>
      </w:tr>
      <w:tr>
        <w:tblPrEx>
          <w:tblCellMar>
            <w:top w:w="0" w:type="dxa"/>
            <w:left w:w="108" w:type="dxa"/>
            <w:bottom w:w="0" w:type="dxa"/>
            <w:right w:w="108" w:type="dxa"/>
          </w:tblCellMar>
        </w:tblPrEx>
        <w:trPr>
          <w:trHeight w:val="57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中央专款分配合规率（3分）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按《预算法》规定在一个月内分配中央专款</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（1-未按规定时间在一个月内分配的中央专款规模÷中央专款总规模）×指标分值</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3</w:t>
            </w:r>
          </w:p>
        </w:tc>
      </w:tr>
      <w:tr>
        <w:tblPrEx>
          <w:tblCellMar>
            <w:top w:w="0" w:type="dxa"/>
            <w:left w:w="108" w:type="dxa"/>
            <w:bottom w:w="0" w:type="dxa"/>
            <w:right w:w="108" w:type="dxa"/>
          </w:tblCellMar>
        </w:tblPrEx>
        <w:trPr>
          <w:trHeight w:val="33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部门预算执行进度（3分）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部门按要求严格预算执行管理</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部门预算实际列支数÷部门预算总额×指标分值</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3</w:t>
            </w:r>
          </w:p>
        </w:tc>
      </w:tr>
      <w:tr>
        <w:tblPrEx>
          <w:tblCellMar>
            <w:top w:w="0" w:type="dxa"/>
            <w:left w:w="108" w:type="dxa"/>
            <w:bottom w:w="0" w:type="dxa"/>
            <w:right w:w="108" w:type="dxa"/>
          </w:tblCellMar>
        </w:tblPrEx>
        <w:trPr>
          <w:trHeight w:val="58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预算调整（4分）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执行中期评估（4分）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部门中期评估调整取消资金÷(中期评估调整取消资金+预算结余注销资金×指标分值</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当中期评估调整取消资金与结余注销资金之和为零时，得满分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4</w:t>
            </w:r>
          </w:p>
        </w:tc>
      </w:tr>
      <w:tr>
        <w:tblPrEx>
          <w:tblCellMar>
            <w:top w:w="0" w:type="dxa"/>
            <w:left w:w="108" w:type="dxa"/>
            <w:bottom w:w="0" w:type="dxa"/>
            <w:right w:w="108" w:type="dxa"/>
          </w:tblCellMar>
        </w:tblPrEx>
        <w:trPr>
          <w:trHeight w:val="51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行政成本（6分）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节能降耗（3分）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严格执行节能降耗</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根据机关事务管理局节能考核换算得分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3</w:t>
            </w:r>
          </w:p>
        </w:tc>
      </w:tr>
      <w:tr>
        <w:tblPrEx>
          <w:tblCellMar>
            <w:top w:w="0" w:type="dxa"/>
            <w:left w:w="108" w:type="dxa"/>
            <w:bottom w:w="0" w:type="dxa"/>
            <w:right w:w="108" w:type="dxa"/>
          </w:tblCellMar>
        </w:tblPrEx>
        <w:trPr>
          <w:trHeight w:val="55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“三公”经费（3分）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严格执行“三公经费”预算</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部门“三公”经费决算数一项超预算扣1分，两项超预算扣2分，以此类推，直至扣完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3</w:t>
            </w:r>
          </w:p>
        </w:tc>
      </w:tr>
      <w:tr>
        <w:tblPrEx>
          <w:tblCellMar>
            <w:top w:w="0" w:type="dxa"/>
            <w:left w:w="108" w:type="dxa"/>
            <w:bottom w:w="0" w:type="dxa"/>
            <w:right w:w="108" w:type="dxa"/>
          </w:tblCellMar>
        </w:tblPrEx>
        <w:trPr>
          <w:trHeight w:val="450" w:hRule="atLeast"/>
        </w:trPr>
        <w:tc>
          <w:tcPr>
            <w:tcW w:w="10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综合管理（40分）</w:t>
            </w:r>
          </w:p>
        </w:tc>
        <w:tc>
          <w:tcPr>
            <w:tcW w:w="1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债务管理（2分）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债务还本付息（2分）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按规定做好政府性债务还本付息工作</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实际还本付息金额÷应付金额×指标分值</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81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非税收入执收情况（4分）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非税收入征收情况（2分）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是否按照规定的项目、标准、征收方式执收非税收入、非税收入项目设立的权限和缓减免的依据，对非税收入进行缓减免</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发现有未按规定的非税收入项目、标准执收非税收入或有违反规定缓减免非税收入的，发现一次扣0.5分，直至扣完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8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非税收入上缴情况（2分）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是否及时足额将非税收入缴入财政</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发现未及时足额将非税收入缴入财政的或则截留、挪用非税收入的，发现一次扣0.5分，直至扣完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2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政府采购实施计划（4分）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政府采购实施计划编制（2分）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实施计划与政府采购预算的一致性</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（1-调整或细化资金/政府采购预算资金）×分值</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8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政府采购实施计划执行（2分）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执行的实施计划与备案的实施计划的一致性</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（1-实施计划本案后的调整或细化资金/实施计划备案后的资金）×分值</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79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资产管理（6分）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资产管理信息系统建设情况（2分）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考核部门和单位将国有资产纳入资产信息系统管理情况</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①未将所属单位国有资产纳入系统管理，每少一个单位扣1分。②未将资产变动情况及时录入系统，每次扣0.5分。③未落实人员负责管理系统，扣1分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106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行政事业单位资产清查开展情况（2分）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考核行政事业单位按要求及时、准确、全面开展资产清查工作情况</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①未在规定时间内完成资产清查任务，扣1分。②资产清查结果与财政组织复核的结果误差超过10%的，扣1分。③未及时更新资产管理信息系统，导致系统资产数据与上报财政的资产清查结果不一致，扣1分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100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行政事业单位资产报表上报情况（2分）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考核行政事业单位上报国有资产报表数据的真实性、准确性、全面性</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①未落实专人负责资产报表，未及时上报资产报表，扣1分。②报表填报不规范，内容不完整，数据不真实，扣1分。③未提交分析报告，对资产变动情况未作分析说明，扣1分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81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内控制度管理（2分）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内部控制制度健全完整（2分）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考核部门内部控制制度的设置和执行情况</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内部控制制度健全完整并执行良好的得分，否则不得分。在本年度内因内控制度不健全或执行不到位，造成单位出现廉政风险或发生重大责任事故的不得分</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76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信息公开（6分）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预算公开（2分）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除涉密信息外，各部门要在财政部门批复后二十日内向社会公开本部门预算（含所有财政资金安排的“三公”经费、机关运行经费的安排、使用情况等）</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按市级财政通知要求公开预算，未按要求公开的，发现一处口0.5分，直至扣完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75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决算公开（2分）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除涉密信息外，各部门要在财政部门批复后二十日内向社会公开本部门决算（含所有财政资金安排的“三公”经费、机关运行经费的安排、使用情况等）</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未按要求公开的，发现一处扣0.5分，直至扣完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2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绩效信息公开（2分）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按要求公开部门整体支出绩效自评报告及其他按要求应公开的绩效信息</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未按要求公开的，发现一处扣0.5分，直至扣完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4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绩效评价（10分）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评价项目覆盖率（2分）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部门实施绩效评价项目数量占部门申报绩效目标项目数量的比重，用以反映和考核部门实施绩效评价项目资金覆盖情况</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评价覆盖率=实施绩效评价项目数量/申报绩效目标数量×100%</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31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评价层次（2分）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部门（单位）是否对下级预算单位开展整体绩效评价</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实施评价下级预算单位的得分，否则不得分</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5"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评价结果报告（2分）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部门是否按要求向财政部门报告自评报告等相关绩效信息</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未按要求报送的，发现一处扣0.5分，直至扣完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1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整改完成率（4分）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部门是否按要求针对绩效评价发现问题制定整改措施，并整改落实到位</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完成率=应制定整改措施的项目数量/部门实际制定整改措施项目数量×100%</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4</w:t>
            </w:r>
          </w:p>
        </w:tc>
      </w:tr>
      <w:tr>
        <w:tblPrEx>
          <w:tblCellMar>
            <w:top w:w="0" w:type="dxa"/>
            <w:left w:w="108" w:type="dxa"/>
            <w:bottom w:w="0" w:type="dxa"/>
            <w:right w:w="108" w:type="dxa"/>
          </w:tblCellMar>
        </w:tblPrEx>
        <w:trPr>
          <w:trHeight w:val="96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依法接受财政监督（6分）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是否按要求开展自查自纠（2分）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根据相关自查自纠报告、报表报送时效和质量进行考核</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未在规定时间内报送自查自纠相关材料（包括：纸质和电子版）的，扣0.5分；报告内容不完整，扣1分；报表质量差（如：数据、逻辑、勾稽关系错误）等扣0.5分；直至扣完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1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重点检查发现违规违纪问题（2分）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根据检查组提供的工作底稿、检查报告等资料进行考核</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专项检查发现的违纪违规问题，每个问题扣0.5分，直至扣完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51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存在问题整改是否到位（2分）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根据相关整改报告、凭证依据等相关证明材料进行考核</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未在规定时间内完成整改，并提供相关证明材料的，每个问题扣0.5分，直至扣完</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2</w:t>
            </w:r>
          </w:p>
        </w:tc>
      </w:tr>
      <w:tr>
        <w:tblPrEx>
          <w:tblCellMar>
            <w:top w:w="0" w:type="dxa"/>
            <w:left w:w="108" w:type="dxa"/>
            <w:bottom w:w="0" w:type="dxa"/>
            <w:right w:w="108" w:type="dxa"/>
          </w:tblCellMar>
        </w:tblPrEx>
        <w:trPr>
          <w:trHeight w:val="450" w:hRule="atLeast"/>
        </w:trPr>
        <w:tc>
          <w:tcPr>
            <w:tcW w:w="10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整体效益（30分）</w:t>
            </w:r>
          </w:p>
        </w:tc>
        <w:tc>
          <w:tcPr>
            <w:tcW w:w="12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部门整体绩效（30分）</w:t>
            </w: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部门职责履行结果（10分）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履行法定职责，完成市委、市政府决策部署和重大工作任务完成情况</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根据市政府部门绩效评估结果换算</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10</w:t>
            </w:r>
          </w:p>
        </w:tc>
      </w:tr>
      <w:tr>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重点项目绩效评价结果（10分）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部门实施重大项目的经济、社会效益</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根据市级财政部门组织实施项目绩效评价结果换算</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10</w:t>
            </w:r>
          </w:p>
        </w:tc>
      </w:tr>
      <w:tr>
        <w:tblPrEx>
          <w:tblCellMar>
            <w:top w:w="0" w:type="dxa"/>
            <w:left w:w="108" w:type="dxa"/>
            <w:bottom w:w="0" w:type="dxa"/>
            <w:right w:w="108" w:type="dxa"/>
          </w:tblCellMar>
        </w:tblPrEx>
        <w:trPr>
          <w:trHeight w:val="780" w:hRule="atLeast"/>
        </w:trPr>
        <w:tc>
          <w:tcPr>
            <w:tcW w:w="10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29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服务对象满意度（10分）</w:t>
            </w:r>
          </w:p>
        </w:tc>
        <w:tc>
          <w:tcPr>
            <w:tcW w:w="5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密切联系群众、服务群众情况，办理人大代表建议、政协提案情况，妥善处理群众来信来访、化解社会矛盾情况，加强政风行风建设、解决损害群众利益情况</w:t>
            </w:r>
          </w:p>
        </w:tc>
        <w:tc>
          <w:tcPr>
            <w:tcW w:w="4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根据市政府部门绩效评估结果换算</w:t>
            </w:r>
          </w:p>
        </w:tc>
        <w:tc>
          <w:tcPr>
            <w:tcW w:w="108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4"/>
                <w:szCs w:val="24"/>
              </w:rPr>
            </w:pPr>
            <w:r>
              <w:rPr>
                <w:rFonts w:hint="eastAsia" w:ascii="宋体" w:hAnsi="宋体" w:cs="宋体"/>
                <w:kern w:val="0"/>
                <w:sz w:val="24"/>
                <w:szCs w:val="24"/>
              </w:rPr>
              <w:t>10</w:t>
            </w:r>
          </w:p>
        </w:tc>
      </w:tr>
      <w:tr>
        <w:tblPrEx>
          <w:tblCellMar>
            <w:top w:w="0" w:type="dxa"/>
            <w:left w:w="108" w:type="dxa"/>
            <w:bottom w:w="0" w:type="dxa"/>
            <w:right w:w="108" w:type="dxa"/>
          </w:tblCellMar>
        </w:tblPrEx>
        <w:trPr>
          <w:trHeight w:val="525" w:hRule="atLeast"/>
        </w:trPr>
        <w:tc>
          <w:tcPr>
            <w:tcW w:w="15000" w:type="dxa"/>
            <w:gridSpan w:val="5"/>
            <w:tcBorders>
              <w:top w:val="single" w:color="auto" w:sz="4" w:space="0"/>
              <w:left w:val="nil"/>
              <w:bottom w:val="nil"/>
              <w:right w:val="nil"/>
            </w:tcBorders>
            <w:shd w:val="clear" w:color="auto" w:fill="auto"/>
            <w:vAlign w:val="center"/>
          </w:tcPr>
          <w:p>
            <w:pPr>
              <w:widowControl/>
              <w:jc w:val="left"/>
              <w:rPr>
                <w:rFonts w:ascii="宋体" w:hAnsi="宋体" w:cs="宋体"/>
                <w:b/>
                <w:bCs/>
                <w:kern w:val="0"/>
                <w:sz w:val="18"/>
                <w:szCs w:val="18"/>
              </w:rPr>
            </w:pPr>
            <w:r>
              <w:rPr>
                <w:rFonts w:hint="eastAsia" w:ascii="宋体" w:hAnsi="宋体" w:cs="宋体"/>
                <w:b/>
                <w:bCs/>
                <w:kern w:val="0"/>
                <w:sz w:val="18"/>
                <w:szCs w:val="18"/>
              </w:rPr>
              <w:t>注：若某部门不存在某项评价内容或评价指标，则改评价内容或评价指标不计入该部门考核评价范围，即该部门评价总分=不含该评价内容或指标的评价总分/（100-该评价内容或指标所占分值）×100。</w:t>
            </w:r>
          </w:p>
        </w:tc>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bl>
    <w:p>
      <w:pPr>
        <w:widowControl/>
        <w:jc w:val="center"/>
        <w:outlineLvl w:val="0"/>
        <w:rPr>
          <w:rFonts w:eastAsia="方正小标宋_GBK"/>
          <w:bCs/>
          <w:color w:val="000000"/>
          <w:sz w:val="44"/>
          <w:szCs w:val="44"/>
        </w:rPr>
        <w:sectPr>
          <w:footerReference r:id="rId5" w:type="default"/>
          <w:pgSz w:w="16838" w:h="11906" w:orient="landscape"/>
          <w:pgMar w:top="1531" w:right="340" w:bottom="1474" w:left="340" w:header="851" w:footer="992" w:gutter="0"/>
          <w:cols w:space="425" w:num="1"/>
          <w:titlePg/>
          <w:docGrid w:linePitch="312" w:charSpace="0"/>
        </w:sectPr>
      </w:pPr>
    </w:p>
    <w:p>
      <w:pPr>
        <w:widowControl/>
        <w:jc w:val="center"/>
        <w:outlineLvl w:val="0"/>
        <w:rPr>
          <w:rFonts w:eastAsia="方正小标宋_GBK"/>
          <w:bCs/>
          <w:color w:val="000000"/>
          <w:sz w:val="44"/>
          <w:szCs w:val="44"/>
        </w:rPr>
      </w:pPr>
    </w:p>
    <w:p>
      <w:pPr>
        <w:pStyle w:val="3"/>
        <w:spacing w:line="415" w:lineRule="auto"/>
        <w:rPr>
          <w:rStyle w:val="17"/>
          <w:rFonts w:ascii="仿宋" w:hAnsi="仿宋" w:eastAsia="仿宋" w:cs="仿宋"/>
          <w:b w:val="0"/>
          <w:bCs w:val="0"/>
          <w:sz w:val="32"/>
          <w:szCs w:val="32"/>
        </w:rPr>
      </w:pPr>
      <w:bookmarkStart w:id="65" w:name="_Toc23235977"/>
      <w:r>
        <w:rPr>
          <w:rStyle w:val="17"/>
          <w:rFonts w:hint="eastAsia" w:ascii="仿宋" w:hAnsi="仿宋" w:eastAsia="仿宋" w:cs="仿宋"/>
          <w:b w:val="0"/>
          <w:bCs w:val="0"/>
          <w:sz w:val="32"/>
          <w:szCs w:val="32"/>
        </w:rPr>
        <w:t>附件</w:t>
      </w:r>
      <w:r>
        <w:rPr>
          <w:rStyle w:val="17"/>
          <w:rFonts w:ascii="仿宋" w:hAnsi="仿宋" w:eastAsia="仿宋" w:cs="仿宋"/>
          <w:b w:val="0"/>
          <w:bCs w:val="0"/>
          <w:sz w:val="32"/>
          <w:szCs w:val="32"/>
        </w:rPr>
        <w:t>1</w:t>
      </w:r>
      <w:bookmarkEnd w:id="65"/>
    </w:p>
    <w:p>
      <w:pPr>
        <w:spacing w:line="600" w:lineRule="exact"/>
        <w:jc w:val="center"/>
        <w:outlineLvl w:val="2"/>
        <w:rPr>
          <w:rFonts w:ascii="黑体" w:hAnsi="黑体" w:eastAsia="黑体"/>
          <w:sz w:val="36"/>
          <w:szCs w:val="36"/>
        </w:rPr>
      </w:pPr>
      <w:bookmarkStart w:id="66" w:name="_Toc15396616"/>
      <w:r>
        <w:rPr>
          <w:rFonts w:hint="eastAsia" w:ascii="黑体" w:hAnsi="黑体" w:eastAsia="黑体" w:cs="黑体"/>
          <w:sz w:val="36"/>
          <w:szCs w:val="36"/>
        </w:rPr>
        <w:t>集益乡人民政府</w:t>
      </w:r>
      <w:r>
        <w:rPr>
          <w:rFonts w:ascii="黑体" w:hAnsi="黑体" w:eastAsia="黑体" w:cs="黑体"/>
          <w:sz w:val="36"/>
          <w:szCs w:val="36"/>
        </w:rPr>
        <w:t>2018</w:t>
      </w:r>
      <w:r>
        <w:rPr>
          <w:rFonts w:hint="eastAsia" w:ascii="黑体" w:hAnsi="黑体" w:eastAsia="黑体" w:cs="黑体"/>
          <w:sz w:val="36"/>
          <w:szCs w:val="36"/>
        </w:rPr>
        <w:t>年部门整体支出绩效评价报告</w:t>
      </w:r>
      <w:bookmarkEnd w:id="66"/>
    </w:p>
    <w:p>
      <w:pPr>
        <w:spacing w:line="580" w:lineRule="exact"/>
        <w:ind w:firstLine="640" w:firstLineChars="200"/>
        <w:rPr>
          <w:rFonts w:ascii="黑体" w:hAnsi="黑体" w:eastAsia="黑体"/>
          <w:sz w:val="32"/>
          <w:szCs w:val="32"/>
        </w:rPr>
      </w:pP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一、集益乡人民政府概况</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（一）机构组成。</w:t>
      </w:r>
    </w:p>
    <w:p>
      <w:pPr>
        <w:widowControl/>
        <w:adjustRightInd w:val="0"/>
        <w:snapToGrid w:val="0"/>
        <w:spacing w:line="540" w:lineRule="exact"/>
        <w:ind w:firstLine="700" w:firstLineChars="250"/>
        <w:jc w:val="left"/>
        <w:rPr>
          <w:rFonts w:ascii="宋体"/>
          <w:color w:val="000000"/>
          <w:kern w:val="0"/>
          <w:sz w:val="28"/>
          <w:szCs w:val="28"/>
          <w:shd w:val="clear" w:color="auto" w:fill="FFFFFF"/>
          <w:lang w:val="zh-CN"/>
        </w:rPr>
      </w:pPr>
      <w:r>
        <w:rPr>
          <w:rFonts w:hint="eastAsia" w:ascii="宋体" w:hAnsi="宋体" w:cs="宋体"/>
          <w:color w:val="000000"/>
          <w:kern w:val="0"/>
          <w:sz w:val="28"/>
          <w:szCs w:val="28"/>
          <w:shd w:val="clear" w:color="auto" w:fill="FFFFFF"/>
          <w:lang w:val="zh-CN"/>
        </w:rPr>
        <w:t>设内设机构</w:t>
      </w:r>
      <w:r>
        <w:rPr>
          <w:rFonts w:ascii="宋体" w:hAnsi="宋体" w:cs="宋体"/>
          <w:color w:val="000000"/>
          <w:kern w:val="0"/>
          <w:sz w:val="28"/>
          <w:szCs w:val="28"/>
          <w:shd w:val="clear" w:color="auto" w:fill="FFFFFF"/>
          <w:lang w:val="zh-CN"/>
        </w:rPr>
        <w:t>3</w:t>
      </w:r>
      <w:r>
        <w:rPr>
          <w:rFonts w:hint="eastAsia" w:ascii="宋体" w:hAnsi="宋体" w:cs="宋体"/>
          <w:color w:val="000000"/>
          <w:kern w:val="0"/>
          <w:sz w:val="28"/>
          <w:szCs w:val="28"/>
          <w:shd w:val="clear" w:color="auto" w:fill="FFFFFF"/>
          <w:lang w:val="zh-CN"/>
        </w:rPr>
        <w:t>个：党政办公室（挂群众工作办公室牌子、财政所（</w:t>
      </w:r>
      <w:r>
        <w:rPr>
          <w:rFonts w:ascii="宋体" w:hAnsi="宋体" w:cs="宋体"/>
          <w:color w:val="000000"/>
          <w:kern w:val="0"/>
          <w:sz w:val="28"/>
          <w:szCs w:val="28"/>
          <w:shd w:val="clear" w:color="auto" w:fill="FFFFFF"/>
          <w:lang w:val="zh-CN"/>
        </w:rPr>
        <w:t>2012</w:t>
      </w:r>
      <w:r>
        <w:rPr>
          <w:rFonts w:hint="eastAsia" w:ascii="宋体" w:hAnsi="宋体" w:cs="宋体"/>
          <w:color w:val="000000"/>
          <w:kern w:val="0"/>
          <w:sz w:val="28"/>
          <w:szCs w:val="28"/>
          <w:shd w:val="clear" w:color="auto" w:fill="FFFFFF"/>
          <w:lang w:val="zh-CN"/>
        </w:rPr>
        <w:t>年恢复））、社会事务经济发展办公室（挂安全生产监督管理办公室、人口和计划生育办公室牌子）、农业技术服务中心。</w:t>
      </w:r>
    </w:p>
    <w:p>
      <w:pPr>
        <w:widowControl/>
        <w:adjustRightInd w:val="0"/>
        <w:snapToGrid w:val="0"/>
        <w:spacing w:line="540" w:lineRule="exact"/>
        <w:ind w:firstLine="800" w:firstLineChars="250"/>
        <w:jc w:val="left"/>
        <w:rPr>
          <w:rFonts w:ascii="楷体_GB2312" w:hAnsi="仿宋" w:eastAsia="楷体_GB2312"/>
          <w:sz w:val="32"/>
          <w:szCs w:val="32"/>
        </w:rPr>
      </w:pPr>
      <w:r>
        <w:rPr>
          <w:rFonts w:hint="eastAsia" w:ascii="楷体_GB2312" w:hAnsi="仿宋" w:eastAsia="楷体_GB2312" w:cs="楷体_GB2312"/>
          <w:sz w:val="32"/>
          <w:szCs w:val="32"/>
        </w:rPr>
        <w:t>（二）机构职能。</w:t>
      </w:r>
    </w:p>
    <w:p>
      <w:pPr>
        <w:widowControl/>
        <w:adjustRightInd w:val="0"/>
        <w:snapToGrid w:val="0"/>
        <w:spacing w:line="540" w:lineRule="exact"/>
        <w:ind w:firstLine="700" w:firstLineChars="250"/>
        <w:jc w:val="left"/>
        <w:rPr>
          <w:rFonts w:ascii="仿宋_GB2312"/>
          <w:sz w:val="28"/>
          <w:szCs w:val="28"/>
        </w:rPr>
      </w:pPr>
      <w:r>
        <w:rPr>
          <w:rFonts w:hint="eastAsia" w:ascii="仿宋_GB2312" w:cs="宋体"/>
          <w:sz w:val="28"/>
          <w:szCs w:val="28"/>
        </w:rPr>
        <w:t>乡政府的主要职能：一是落实政策。宣传、落实党的路线、方针、政策和国家的法律、法规，稳定农村基本经济制度，坚持依法行政，推进政务公开，加强对村民委员会的指导，提高、培育村民委员会自治能力。二是促进发展、科学制定发展规划，营造农村经济发展环境，加强农村市场监督，培育、提升市场功能，搞活市场流通，推广农业技术，完善农业社会化服务体系，引导农民发展现代农业，调整产业结构，加强农村劳动力技能培训，引导农村劳动力转移和就业，不断提高社会主义新农村建设水平。三是维护稳定。要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四是加强管理。加强民政、教育、科技、文化、卫生、计划生育、安全生产、劳动保障和乡村规划等社会管理，加强社会主义精神文明建设，做好防火减灾工作，搞好环境保护，努力改善农村人居环境，不断提高农村人口素质和农民生活质量。五是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党委、政府反映社情民意，进一步密切党和政府与人民群众的关系。六是完成县政府交办的工作任务。</w:t>
      </w:r>
    </w:p>
    <w:p>
      <w:pPr>
        <w:widowControl/>
        <w:adjustRightInd w:val="0"/>
        <w:snapToGrid w:val="0"/>
        <w:spacing w:line="540" w:lineRule="exact"/>
        <w:ind w:firstLine="700" w:firstLineChars="25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党政办公室（挂群众工作办公室牌子）主要职责：承担纪检监察、组织、宣传、统战、政法、武装、人事、劳动、审计、群团、保密、信访、文秘及综合协调等工作。负责党委、政府的日常事务；协调公安派出所等执法部门的工作；抓好农村社会治安综合治理和法制宣传教育；负责农村社会主义民主政治建设和法制建设；协调各办公室工作关系；执行乡财政预算决算；承担群众来信来访、民事纠纷调解、化解社会矛盾、维护社会稳定等工作；承办党委、政府交办的其他事项。财政所主要职责：</w:t>
      </w:r>
      <w:r>
        <w:rPr>
          <w:rFonts w:hint="eastAsia" w:cs="宋体"/>
          <w:sz w:val="28"/>
          <w:szCs w:val="28"/>
        </w:rPr>
        <w:t>执行财经法律、法规和政策；拟定乡财政发展规划。编报乡年度财政收支预算决算，组织预算执行；管理和监督各项财政收支，分析财政收支执行情况。</w:t>
      </w:r>
    </w:p>
    <w:p>
      <w:pPr>
        <w:ind w:firstLine="560" w:firstLineChars="200"/>
        <w:rPr>
          <w:sz w:val="28"/>
          <w:szCs w:val="28"/>
        </w:rPr>
      </w:pPr>
      <w:r>
        <w:rPr>
          <w:rFonts w:hint="eastAsia" w:cs="宋体"/>
          <w:sz w:val="28"/>
          <w:szCs w:val="28"/>
        </w:rPr>
        <w:t>社会事务经济发展办公室（挂安全生产监督管理办公室、人口和计划生育办公室牌子）主要职责：承担科技、文教、广电、卫生、计生、民政、老龄、安全生产、劳动保障、环境保护和乡村规划等社会管理工作；负责科学技术的普及，搞好文化教育、卫生防疫、广电、法律服务、劳动输出与管理等工作；承担粮食、畜牧、农业、农机、林业、水利、林业、乡企、国土、交通、村建、环保、蚕桑、统计等工作；负责制定农业、农村经济发展规划；协调和指导农业服务部门的工作；负责农、林、牧、渔、水等各项事业的生产和技术服务部门的行政管理工作。实施对乡“农业技术服务中心”和“社会事务服务中心”的领导。</w:t>
      </w:r>
    </w:p>
    <w:p>
      <w:pPr>
        <w:spacing w:line="580" w:lineRule="exact"/>
        <w:ind w:firstLine="560" w:firstLineChars="200"/>
        <w:rPr>
          <w:rFonts w:ascii="楷体_GB2312" w:hAnsi="仿宋" w:eastAsia="楷体_GB2312"/>
          <w:sz w:val="28"/>
          <w:szCs w:val="28"/>
        </w:rPr>
      </w:pPr>
      <w:r>
        <w:rPr>
          <w:rFonts w:hint="eastAsia" w:cs="宋体"/>
          <w:sz w:val="28"/>
          <w:szCs w:val="28"/>
        </w:rPr>
        <w:t>农业技术服务中心主要职责：农林牧业生产中关键技术和新品种、新农具的引进、试验、示范；农作物和林木病虫害、动物疫病及农业灾害的监测、预报防治和处置；农作物苗情监测和农牧产品生产过程中的质量安全检测、监测和强制性检验；农业资源、林业资源、农业生态环境和农业投入品使用监测；农业公共信息和培训教育服务；小型水利工程及病害水库的整治；水资源管理和防汛抗旱技术服务；水土保持的预防及水土流失的治理；农机安全检查和事故的预防、报告及处理；乡村机耕道的规划建设；组织农机进行抗灾抢险和跨区域农机作业。</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（三）人员概况。</w:t>
      </w:r>
    </w:p>
    <w:p>
      <w:pPr>
        <w:spacing w:line="600" w:lineRule="exact"/>
        <w:ind w:firstLine="560" w:firstLineChars="200"/>
        <w:rPr>
          <w:rFonts w:ascii="仿宋_GB2312"/>
          <w:sz w:val="28"/>
          <w:szCs w:val="28"/>
        </w:rPr>
      </w:pPr>
      <w:r>
        <w:rPr>
          <w:rFonts w:hint="eastAsia" w:ascii="仿宋_GB2312" w:cs="宋体"/>
          <w:sz w:val="28"/>
          <w:szCs w:val="28"/>
        </w:rPr>
        <w:t>集益乡行政编制</w:t>
      </w:r>
      <w:r>
        <w:rPr>
          <w:rFonts w:ascii="仿宋_GB2312" w:cs="仿宋_GB2312"/>
          <w:sz w:val="28"/>
          <w:szCs w:val="28"/>
        </w:rPr>
        <w:t>16</w:t>
      </w:r>
      <w:r>
        <w:rPr>
          <w:rFonts w:hint="eastAsia" w:ascii="仿宋_GB2312" w:cs="宋体"/>
          <w:sz w:val="28"/>
          <w:szCs w:val="28"/>
        </w:rPr>
        <w:t>人、工勤编制</w:t>
      </w:r>
      <w:r>
        <w:rPr>
          <w:rFonts w:ascii="仿宋_GB2312" w:cs="仿宋_GB2312"/>
          <w:sz w:val="28"/>
          <w:szCs w:val="28"/>
        </w:rPr>
        <w:t>2</w:t>
      </w:r>
      <w:r>
        <w:rPr>
          <w:rFonts w:hint="eastAsia" w:ascii="仿宋_GB2312" w:cs="宋体"/>
          <w:sz w:val="28"/>
          <w:szCs w:val="28"/>
        </w:rPr>
        <w:t>人、事业编制</w:t>
      </w:r>
      <w:r>
        <w:rPr>
          <w:rFonts w:ascii="仿宋_GB2312" w:cs="仿宋_GB2312"/>
          <w:sz w:val="28"/>
          <w:szCs w:val="28"/>
        </w:rPr>
        <w:t>23</w:t>
      </w:r>
      <w:r>
        <w:rPr>
          <w:rFonts w:hint="eastAsia" w:ascii="仿宋_GB2312" w:cs="宋体"/>
          <w:sz w:val="28"/>
          <w:szCs w:val="28"/>
        </w:rPr>
        <w:t>人，合计</w:t>
      </w:r>
      <w:r>
        <w:rPr>
          <w:rFonts w:ascii="仿宋_GB2312" w:cs="仿宋_GB2312"/>
          <w:sz w:val="28"/>
          <w:szCs w:val="28"/>
        </w:rPr>
        <w:t>41</w:t>
      </w:r>
      <w:r>
        <w:rPr>
          <w:rFonts w:hint="eastAsia" w:ascii="仿宋_GB2312" w:cs="宋体"/>
          <w:sz w:val="28"/>
          <w:szCs w:val="28"/>
        </w:rPr>
        <w:t>人编制。设党政办公室、财政所（</w:t>
      </w:r>
      <w:r>
        <w:rPr>
          <w:rFonts w:ascii="仿宋_GB2312" w:cs="仿宋_GB2312"/>
          <w:sz w:val="28"/>
          <w:szCs w:val="28"/>
        </w:rPr>
        <w:t>2012</w:t>
      </w:r>
      <w:r>
        <w:rPr>
          <w:rFonts w:hint="eastAsia" w:ascii="仿宋_GB2312" w:cs="宋体"/>
          <w:sz w:val="28"/>
          <w:szCs w:val="28"/>
        </w:rPr>
        <w:t>年恢复）、农业技术服务中心、社会事务服务中心；实有人员：行政</w:t>
      </w:r>
      <w:r>
        <w:rPr>
          <w:rFonts w:ascii="仿宋_GB2312" w:cs="仿宋_GB2312"/>
          <w:sz w:val="28"/>
          <w:szCs w:val="28"/>
        </w:rPr>
        <w:t>15</w:t>
      </w:r>
      <w:r>
        <w:rPr>
          <w:rFonts w:hint="eastAsia" w:ascii="仿宋_GB2312" w:cs="宋体"/>
          <w:sz w:val="28"/>
          <w:szCs w:val="28"/>
        </w:rPr>
        <w:t>人、事业人员</w:t>
      </w:r>
      <w:r>
        <w:rPr>
          <w:rFonts w:ascii="仿宋_GB2312" w:cs="仿宋_GB2312"/>
          <w:sz w:val="28"/>
          <w:szCs w:val="28"/>
        </w:rPr>
        <w:t>22</w:t>
      </w:r>
      <w:r>
        <w:rPr>
          <w:rFonts w:hint="eastAsia" w:ascii="仿宋_GB2312" w:cs="宋体"/>
          <w:sz w:val="28"/>
          <w:szCs w:val="28"/>
        </w:rPr>
        <w:t>人。</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cs="宋体"/>
          <w:kern w:val="0"/>
          <w:sz w:val="28"/>
          <w:szCs w:val="28"/>
          <w:shd w:val="clear" w:color="auto" w:fill="FFFFFF"/>
        </w:rPr>
        <w:t>乡领导职数：设书记</w:t>
      </w:r>
      <w:r>
        <w:rPr>
          <w:kern w:val="0"/>
          <w:sz w:val="28"/>
          <w:szCs w:val="28"/>
          <w:shd w:val="clear" w:color="auto" w:fill="FFFFFF"/>
        </w:rPr>
        <w:t>1</w:t>
      </w:r>
      <w:r>
        <w:rPr>
          <w:rFonts w:hint="eastAsia" w:cs="宋体"/>
          <w:kern w:val="0"/>
          <w:sz w:val="28"/>
          <w:szCs w:val="28"/>
          <w:shd w:val="clear" w:color="auto" w:fill="FFFFFF"/>
        </w:rPr>
        <w:t>名、人大主席</w:t>
      </w:r>
      <w:r>
        <w:rPr>
          <w:kern w:val="0"/>
          <w:sz w:val="28"/>
          <w:szCs w:val="28"/>
          <w:shd w:val="clear" w:color="auto" w:fill="FFFFFF"/>
        </w:rPr>
        <w:t>1</w:t>
      </w:r>
      <w:r>
        <w:rPr>
          <w:rFonts w:hint="eastAsia" w:cs="宋体"/>
          <w:kern w:val="0"/>
          <w:sz w:val="28"/>
          <w:szCs w:val="28"/>
          <w:shd w:val="clear" w:color="auto" w:fill="FFFFFF"/>
        </w:rPr>
        <w:t>名、副书记</w:t>
      </w:r>
      <w:r>
        <w:rPr>
          <w:kern w:val="0"/>
          <w:sz w:val="28"/>
          <w:szCs w:val="28"/>
          <w:shd w:val="clear" w:color="auto" w:fill="FFFFFF"/>
        </w:rPr>
        <w:t>1</w:t>
      </w:r>
      <w:r>
        <w:rPr>
          <w:rFonts w:hint="eastAsia" w:cs="宋体"/>
          <w:kern w:val="0"/>
          <w:sz w:val="28"/>
          <w:szCs w:val="28"/>
          <w:shd w:val="clear" w:color="auto" w:fill="FFFFFF"/>
        </w:rPr>
        <w:t>名、纪委书记</w:t>
      </w:r>
      <w:r>
        <w:rPr>
          <w:kern w:val="0"/>
          <w:sz w:val="28"/>
          <w:szCs w:val="28"/>
          <w:shd w:val="clear" w:color="auto" w:fill="FFFFFF"/>
        </w:rPr>
        <w:t>1</w:t>
      </w:r>
      <w:r>
        <w:rPr>
          <w:rFonts w:hint="eastAsia" w:cs="宋体"/>
          <w:kern w:val="0"/>
          <w:sz w:val="28"/>
          <w:szCs w:val="28"/>
          <w:shd w:val="clear" w:color="auto" w:fill="FFFFFF"/>
        </w:rPr>
        <w:t>名（兼任武装部长），设乡长</w:t>
      </w:r>
      <w:r>
        <w:rPr>
          <w:kern w:val="0"/>
          <w:sz w:val="28"/>
          <w:szCs w:val="28"/>
          <w:shd w:val="clear" w:color="auto" w:fill="FFFFFF"/>
        </w:rPr>
        <w:t>1</w:t>
      </w:r>
      <w:r>
        <w:rPr>
          <w:rFonts w:hint="eastAsia" w:cs="宋体"/>
          <w:kern w:val="0"/>
          <w:sz w:val="28"/>
          <w:szCs w:val="28"/>
          <w:shd w:val="clear" w:color="auto" w:fill="FFFFFF"/>
        </w:rPr>
        <w:t>名、副乡长</w:t>
      </w:r>
      <w:r>
        <w:rPr>
          <w:kern w:val="0"/>
          <w:sz w:val="28"/>
          <w:szCs w:val="28"/>
          <w:shd w:val="clear" w:color="auto" w:fill="FFFFFF"/>
        </w:rPr>
        <w:t>2</w:t>
      </w:r>
      <w:r>
        <w:rPr>
          <w:rFonts w:hint="eastAsia" w:cs="宋体"/>
          <w:kern w:val="0"/>
          <w:sz w:val="28"/>
          <w:szCs w:val="28"/>
          <w:shd w:val="clear" w:color="auto" w:fill="FFFFFF"/>
        </w:rPr>
        <w:t>名。内部机构设主任</w:t>
      </w:r>
      <w:r>
        <w:rPr>
          <w:kern w:val="0"/>
          <w:sz w:val="28"/>
          <w:szCs w:val="28"/>
          <w:shd w:val="clear" w:color="auto" w:fill="FFFFFF"/>
        </w:rPr>
        <w:t>3</w:t>
      </w:r>
      <w:r>
        <w:rPr>
          <w:rFonts w:hint="eastAsia" w:cs="宋体"/>
          <w:kern w:val="0"/>
          <w:sz w:val="28"/>
          <w:szCs w:val="28"/>
          <w:shd w:val="clear" w:color="auto" w:fill="FFFFFF"/>
        </w:rPr>
        <w:t>名。</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二、部门财政资金收支情况</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（一）部门财政资金收入情况。</w:t>
      </w:r>
    </w:p>
    <w:p>
      <w:pPr>
        <w:widowControl/>
        <w:adjustRightInd w:val="0"/>
        <w:snapToGrid w:val="0"/>
        <w:spacing w:line="540" w:lineRule="exact"/>
        <w:ind w:firstLine="720"/>
        <w:jc w:val="left"/>
        <w:rPr>
          <w:rFonts w:ascii="仿宋_GB2312" w:hAnsi="宋体"/>
          <w:color w:val="000000"/>
          <w:kern w:val="0"/>
          <w:sz w:val="28"/>
          <w:szCs w:val="28"/>
          <w:shd w:val="clear" w:color="auto" w:fill="FFFFFF"/>
        </w:rPr>
      </w:pP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年度全年财政收入</w:t>
      </w:r>
      <w:r>
        <w:rPr>
          <w:rFonts w:ascii="仿宋_GB2312" w:hAnsi="宋体" w:cs="仿宋_GB2312"/>
          <w:color w:val="000000"/>
          <w:kern w:val="0"/>
          <w:sz w:val="28"/>
          <w:szCs w:val="28"/>
          <w:shd w:val="clear" w:color="auto" w:fill="FFFFFF"/>
          <w:lang w:val="zh-CN"/>
        </w:rPr>
        <w:t>12125526.62</w:t>
      </w:r>
      <w:r>
        <w:rPr>
          <w:rFonts w:hint="eastAsia" w:ascii="仿宋_GB2312" w:hAnsi="宋体" w:cs="宋体"/>
          <w:color w:val="000000"/>
          <w:kern w:val="0"/>
          <w:sz w:val="28"/>
          <w:szCs w:val="28"/>
          <w:shd w:val="clear" w:color="auto" w:fill="FFFFFF"/>
          <w:lang w:val="zh-CN"/>
        </w:rPr>
        <w:t>元，其中：财政拨款收入</w:t>
      </w:r>
      <w:r>
        <w:rPr>
          <w:rFonts w:ascii="仿宋_GB2312" w:hAnsi="宋体" w:cs="仿宋_GB2312"/>
          <w:color w:val="000000"/>
          <w:kern w:val="0"/>
          <w:sz w:val="28"/>
          <w:szCs w:val="28"/>
          <w:shd w:val="clear" w:color="auto" w:fill="FFFFFF"/>
          <w:lang w:val="zh-CN"/>
        </w:rPr>
        <w:t>12125526.62</w:t>
      </w:r>
      <w:r>
        <w:rPr>
          <w:rFonts w:hint="eastAsia" w:ascii="仿宋_GB2312" w:hAnsi="宋体" w:cs="宋体"/>
          <w:color w:val="000000"/>
          <w:kern w:val="0"/>
          <w:sz w:val="28"/>
          <w:szCs w:val="28"/>
          <w:shd w:val="clear" w:color="auto" w:fill="FFFFFF"/>
          <w:lang w:val="zh-CN"/>
        </w:rPr>
        <w:t>元，比</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年度全年财政收入</w:t>
      </w:r>
      <w:r>
        <w:rPr>
          <w:rFonts w:ascii="仿宋_GB2312" w:hAnsi="宋体" w:cs="仿宋_GB2312"/>
          <w:color w:val="000000"/>
          <w:kern w:val="0"/>
          <w:sz w:val="28"/>
          <w:szCs w:val="28"/>
          <w:shd w:val="clear" w:color="auto" w:fill="FFFFFF"/>
          <w:lang w:val="zh-CN"/>
        </w:rPr>
        <w:t>8573894.30</w:t>
      </w:r>
      <w:r>
        <w:rPr>
          <w:rFonts w:hint="eastAsia" w:ascii="仿宋_GB2312" w:hAnsi="宋体" w:cs="宋体"/>
          <w:color w:val="000000"/>
          <w:kern w:val="0"/>
          <w:sz w:val="28"/>
          <w:szCs w:val="28"/>
          <w:shd w:val="clear" w:color="auto" w:fill="FFFFFF"/>
          <w:lang w:val="zh-CN"/>
        </w:rPr>
        <w:t>元，相比增加</w:t>
      </w:r>
      <w:r>
        <w:rPr>
          <w:rFonts w:ascii="仿宋_GB2312" w:hAnsi="宋体" w:cs="仿宋_GB2312"/>
          <w:color w:val="000000"/>
          <w:kern w:val="0"/>
          <w:sz w:val="28"/>
          <w:szCs w:val="28"/>
          <w:shd w:val="clear" w:color="auto" w:fill="FFFFFF"/>
          <w:lang w:val="zh-CN"/>
        </w:rPr>
        <w:t>3551632.32</w:t>
      </w:r>
      <w:r>
        <w:rPr>
          <w:rFonts w:hint="eastAsia" w:ascii="仿宋_GB2312" w:hAnsi="宋体" w:cs="宋体"/>
          <w:color w:val="000000"/>
          <w:kern w:val="0"/>
          <w:sz w:val="28"/>
          <w:szCs w:val="28"/>
          <w:shd w:val="clear" w:color="auto" w:fill="FFFFFF"/>
          <w:lang w:val="zh-CN"/>
        </w:rPr>
        <w:t>元，增加比例为</w:t>
      </w:r>
      <w:r>
        <w:rPr>
          <w:rFonts w:ascii="仿宋_GB2312" w:hAnsi="宋体" w:cs="仿宋_GB2312"/>
          <w:color w:val="000000"/>
          <w:kern w:val="0"/>
          <w:sz w:val="28"/>
          <w:szCs w:val="28"/>
          <w:shd w:val="clear" w:color="auto" w:fill="FFFFFF"/>
          <w:lang w:val="zh-CN"/>
        </w:rPr>
        <w:t>41.42%</w:t>
      </w:r>
      <w:r>
        <w:rPr>
          <w:rFonts w:hint="eastAsia" w:ascii="仿宋_GB2312" w:hAnsi="宋体" w:cs="宋体"/>
          <w:color w:val="000000"/>
          <w:kern w:val="0"/>
          <w:sz w:val="28"/>
          <w:szCs w:val="28"/>
          <w:shd w:val="clear" w:color="auto" w:fill="FFFFFF"/>
          <w:lang w:val="zh-CN"/>
        </w:rPr>
        <w:t>。</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（二）部门财政资金支出情况。</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年全年财政支出</w:t>
      </w:r>
      <w:r>
        <w:rPr>
          <w:rFonts w:ascii="仿宋_GB2312" w:hAnsi="宋体" w:cs="仿宋_GB2312"/>
          <w:color w:val="000000"/>
          <w:kern w:val="0"/>
          <w:sz w:val="28"/>
          <w:szCs w:val="28"/>
          <w:shd w:val="clear" w:color="auto" w:fill="FFFFFF"/>
          <w:lang w:val="zh-CN"/>
        </w:rPr>
        <w:t>11522533.62</w:t>
      </w:r>
      <w:r>
        <w:rPr>
          <w:rFonts w:hint="eastAsia" w:ascii="仿宋_GB2312" w:hAnsi="宋体" w:cs="宋体"/>
          <w:color w:val="000000"/>
          <w:kern w:val="0"/>
          <w:sz w:val="28"/>
          <w:szCs w:val="28"/>
          <w:shd w:val="clear" w:color="auto" w:fill="FFFFFF"/>
          <w:lang w:val="zh-CN"/>
        </w:rPr>
        <w:t>元，支出结转</w:t>
      </w:r>
      <w:r>
        <w:rPr>
          <w:rFonts w:ascii="仿宋_GB2312" w:hAnsi="宋体" w:cs="仿宋_GB2312"/>
          <w:color w:val="000000"/>
          <w:kern w:val="0"/>
          <w:sz w:val="28"/>
          <w:szCs w:val="28"/>
          <w:shd w:val="clear" w:color="auto" w:fill="FFFFFF"/>
          <w:lang w:val="zh-CN"/>
        </w:rPr>
        <w:t>602993</w:t>
      </w:r>
      <w:r>
        <w:rPr>
          <w:rFonts w:hint="eastAsia" w:ascii="仿宋_GB2312" w:hAnsi="宋体" w:cs="宋体"/>
          <w:color w:val="000000"/>
          <w:kern w:val="0"/>
          <w:sz w:val="28"/>
          <w:szCs w:val="28"/>
          <w:shd w:val="clear" w:color="auto" w:fill="FFFFFF"/>
          <w:lang w:val="zh-CN"/>
        </w:rPr>
        <w:t>元。比</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年全年财政支出</w:t>
      </w:r>
      <w:r>
        <w:rPr>
          <w:rFonts w:ascii="仿宋_GB2312" w:hAnsi="宋体" w:cs="仿宋_GB2312"/>
          <w:color w:val="000000"/>
          <w:kern w:val="0"/>
          <w:sz w:val="28"/>
          <w:szCs w:val="28"/>
          <w:shd w:val="clear" w:color="auto" w:fill="FFFFFF"/>
          <w:lang w:val="zh-CN"/>
        </w:rPr>
        <w:t>8010894.30</w:t>
      </w:r>
      <w:r>
        <w:rPr>
          <w:rFonts w:hint="eastAsia" w:ascii="仿宋_GB2312" w:hAnsi="宋体" w:cs="宋体"/>
          <w:color w:val="000000"/>
          <w:kern w:val="0"/>
          <w:sz w:val="28"/>
          <w:szCs w:val="28"/>
          <w:shd w:val="clear" w:color="auto" w:fill="FFFFFF"/>
          <w:lang w:val="zh-CN"/>
        </w:rPr>
        <w:t>元，相比增加支出</w:t>
      </w:r>
      <w:r>
        <w:rPr>
          <w:rFonts w:ascii="仿宋_GB2312" w:hAnsi="宋体" w:cs="仿宋_GB2312"/>
          <w:color w:val="000000"/>
          <w:kern w:val="0"/>
          <w:sz w:val="28"/>
          <w:szCs w:val="28"/>
          <w:shd w:val="clear" w:color="auto" w:fill="FFFFFF"/>
          <w:lang w:val="zh-CN"/>
        </w:rPr>
        <w:t>3511639.32</w:t>
      </w:r>
      <w:r>
        <w:rPr>
          <w:rFonts w:hint="eastAsia" w:ascii="仿宋_GB2312" w:hAnsi="宋体" w:cs="宋体"/>
          <w:color w:val="000000"/>
          <w:kern w:val="0"/>
          <w:sz w:val="28"/>
          <w:szCs w:val="28"/>
          <w:shd w:val="clear" w:color="auto" w:fill="FFFFFF"/>
          <w:lang w:val="zh-CN"/>
        </w:rPr>
        <w:t>元，增加比例为</w:t>
      </w:r>
      <w:r>
        <w:rPr>
          <w:rFonts w:ascii="仿宋_GB2312" w:hAnsi="宋体" w:cs="仿宋_GB2312"/>
          <w:color w:val="000000"/>
          <w:kern w:val="0"/>
          <w:sz w:val="28"/>
          <w:szCs w:val="28"/>
          <w:shd w:val="clear" w:color="auto" w:fill="FFFFFF"/>
          <w:lang w:val="zh-CN"/>
        </w:rPr>
        <w:t>43.84%</w:t>
      </w:r>
      <w:r>
        <w:rPr>
          <w:rFonts w:hint="eastAsia" w:ascii="仿宋_GB2312" w:hAnsi="宋体" w:cs="宋体"/>
          <w:color w:val="000000"/>
          <w:kern w:val="0"/>
          <w:sz w:val="28"/>
          <w:szCs w:val="28"/>
          <w:shd w:val="clear" w:color="auto" w:fill="FFFFFF"/>
          <w:lang w:val="zh-CN"/>
        </w:rPr>
        <w:t>。其中：</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1</w:t>
      </w:r>
      <w:r>
        <w:rPr>
          <w:rFonts w:hint="eastAsia" w:ascii="仿宋_GB2312" w:hAnsi="仿宋" w:cs="宋体"/>
          <w:color w:val="000000"/>
          <w:kern w:val="0"/>
          <w:sz w:val="28"/>
          <w:szCs w:val="28"/>
          <w:shd w:val="clear" w:color="auto" w:fill="FFFFFF"/>
          <w:lang w:val="zh-CN"/>
        </w:rPr>
        <w:t>、一般公共服务支出</w:t>
      </w:r>
      <w:r>
        <w:rPr>
          <w:rFonts w:ascii="仿宋_GB2312" w:hAnsi="仿宋" w:cs="仿宋_GB2312"/>
          <w:color w:val="000000"/>
          <w:kern w:val="0"/>
          <w:sz w:val="28"/>
          <w:szCs w:val="28"/>
          <w:shd w:val="clear" w:color="auto" w:fill="FFFFFF"/>
          <w:lang w:val="zh-CN"/>
        </w:rPr>
        <w:t>2368975.29</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2</w:t>
      </w:r>
      <w:r>
        <w:rPr>
          <w:rFonts w:hint="eastAsia" w:ascii="仿宋_GB2312" w:hAnsi="仿宋" w:cs="宋体"/>
          <w:color w:val="000000"/>
          <w:kern w:val="0"/>
          <w:sz w:val="28"/>
          <w:szCs w:val="28"/>
          <w:shd w:val="clear" w:color="auto" w:fill="FFFFFF"/>
          <w:lang w:val="zh-CN"/>
        </w:rPr>
        <w:t>、文化体育与传媒支出</w:t>
      </w:r>
      <w:r>
        <w:rPr>
          <w:rFonts w:ascii="仿宋_GB2312" w:hAnsi="仿宋" w:cs="仿宋_GB2312"/>
          <w:color w:val="000000"/>
          <w:kern w:val="0"/>
          <w:sz w:val="28"/>
          <w:szCs w:val="28"/>
          <w:shd w:val="clear" w:color="auto" w:fill="FFFFFF"/>
          <w:lang w:val="zh-CN"/>
        </w:rPr>
        <w:t>97683</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3</w:t>
      </w:r>
      <w:r>
        <w:rPr>
          <w:rFonts w:hint="eastAsia" w:ascii="仿宋_GB2312" w:hAnsi="仿宋" w:cs="宋体"/>
          <w:color w:val="000000"/>
          <w:kern w:val="0"/>
          <w:sz w:val="28"/>
          <w:szCs w:val="28"/>
          <w:shd w:val="clear" w:color="auto" w:fill="FFFFFF"/>
          <w:lang w:val="zh-CN"/>
        </w:rPr>
        <w:t>、社会保障和就业支出</w:t>
      </w:r>
      <w:r>
        <w:rPr>
          <w:rFonts w:ascii="仿宋_GB2312" w:hAnsi="仿宋" w:cs="仿宋_GB2312"/>
          <w:color w:val="000000"/>
          <w:kern w:val="0"/>
          <w:sz w:val="28"/>
          <w:szCs w:val="28"/>
          <w:shd w:val="clear" w:color="auto" w:fill="FFFFFF"/>
          <w:lang w:val="zh-CN"/>
        </w:rPr>
        <w:t>1423112.20</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4</w:t>
      </w:r>
      <w:r>
        <w:rPr>
          <w:rFonts w:hint="eastAsia" w:ascii="仿宋_GB2312" w:hAnsi="仿宋" w:cs="宋体"/>
          <w:color w:val="000000"/>
          <w:kern w:val="0"/>
          <w:sz w:val="28"/>
          <w:szCs w:val="28"/>
          <w:shd w:val="clear" w:color="auto" w:fill="FFFFFF"/>
          <w:lang w:val="zh-CN"/>
        </w:rPr>
        <w:t>、医疗卫生与计划生育支出</w:t>
      </w:r>
      <w:r>
        <w:rPr>
          <w:rFonts w:ascii="仿宋_GB2312" w:hAnsi="仿宋" w:cs="仿宋_GB2312"/>
          <w:color w:val="000000"/>
          <w:kern w:val="0"/>
          <w:sz w:val="28"/>
          <w:szCs w:val="28"/>
          <w:shd w:val="clear" w:color="auto" w:fill="FFFFFF"/>
          <w:lang w:val="zh-CN"/>
        </w:rPr>
        <w:t>212027.42</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5</w:t>
      </w:r>
      <w:r>
        <w:rPr>
          <w:rFonts w:hint="eastAsia" w:ascii="仿宋_GB2312" w:hAnsi="仿宋" w:cs="宋体"/>
          <w:color w:val="000000"/>
          <w:kern w:val="0"/>
          <w:sz w:val="28"/>
          <w:szCs w:val="28"/>
          <w:shd w:val="clear" w:color="auto" w:fill="FFFFFF"/>
          <w:lang w:val="zh-CN"/>
        </w:rPr>
        <w:t>、节能环保支出</w:t>
      </w:r>
      <w:r>
        <w:rPr>
          <w:rFonts w:ascii="仿宋_GB2312" w:hAnsi="仿宋" w:cs="仿宋_GB2312"/>
          <w:color w:val="000000"/>
          <w:kern w:val="0"/>
          <w:sz w:val="28"/>
          <w:szCs w:val="28"/>
          <w:shd w:val="clear" w:color="auto" w:fill="FFFFFF"/>
          <w:lang w:val="zh-CN"/>
        </w:rPr>
        <w:t>15000</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6</w:t>
      </w:r>
      <w:r>
        <w:rPr>
          <w:rFonts w:hint="eastAsia" w:ascii="仿宋_GB2312" w:hAnsi="仿宋" w:cs="宋体"/>
          <w:color w:val="000000"/>
          <w:kern w:val="0"/>
          <w:sz w:val="28"/>
          <w:szCs w:val="28"/>
          <w:shd w:val="clear" w:color="auto" w:fill="FFFFFF"/>
          <w:lang w:val="zh-CN"/>
        </w:rPr>
        <w:t>、城乡社区支出</w:t>
      </w:r>
      <w:r>
        <w:rPr>
          <w:rFonts w:ascii="仿宋_GB2312" w:hAnsi="仿宋" w:cs="仿宋_GB2312"/>
          <w:color w:val="000000"/>
          <w:kern w:val="0"/>
          <w:sz w:val="28"/>
          <w:szCs w:val="28"/>
          <w:shd w:val="clear" w:color="auto" w:fill="FFFFFF"/>
          <w:lang w:val="zh-CN"/>
        </w:rPr>
        <w:t>791131</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7</w:t>
      </w:r>
      <w:r>
        <w:rPr>
          <w:rFonts w:hint="eastAsia" w:ascii="仿宋_GB2312" w:hAnsi="仿宋" w:cs="宋体"/>
          <w:color w:val="000000"/>
          <w:kern w:val="0"/>
          <w:sz w:val="28"/>
          <w:szCs w:val="28"/>
          <w:shd w:val="clear" w:color="auto" w:fill="FFFFFF"/>
          <w:lang w:val="zh-CN"/>
        </w:rPr>
        <w:t>、农林水支出</w:t>
      </w:r>
      <w:r>
        <w:rPr>
          <w:rFonts w:ascii="仿宋_GB2312" w:hAnsi="仿宋" w:cs="仿宋_GB2312"/>
          <w:color w:val="000000"/>
          <w:kern w:val="0"/>
          <w:sz w:val="28"/>
          <w:szCs w:val="28"/>
          <w:shd w:val="clear" w:color="auto" w:fill="FFFFFF"/>
          <w:lang w:val="zh-CN"/>
        </w:rPr>
        <w:t>6077737.63</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ascii="仿宋_GB2312" w:hAnsi="仿宋" w:cs="仿宋_GB2312"/>
          <w:color w:val="000000"/>
          <w:kern w:val="0"/>
          <w:sz w:val="28"/>
          <w:szCs w:val="28"/>
          <w:shd w:val="clear" w:color="auto" w:fill="FFFFFF"/>
          <w:lang w:val="zh-CN"/>
        </w:rPr>
        <w:t>8</w:t>
      </w:r>
      <w:r>
        <w:rPr>
          <w:rFonts w:hint="eastAsia" w:ascii="仿宋_GB2312" w:hAnsi="仿宋" w:cs="宋体"/>
          <w:color w:val="000000"/>
          <w:kern w:val="0"/>
          <w:sz w:val="28"/>
          <w:szCs w:val="28"/>
          <w:shd w:val="clear" w:color="auto" w:fill="FFFFFF"/>
          <w:lang w:val="zh-CN"/>
        </w:rPr>
        <w:t>、资源勘探信息等支出</w:t>
      </w:r>
      <w:r>
        <w:rPr>
          <w:rFonts w:ascii="仿宋_GB2312" w:hAnsi="仿宋" w:cs="仿宋_GB2312"/>
          <w:color w:val="000000"/>
          <w:kern w:val="0"/>
          <w:sz w:val="28"/>
          <w:szCs w:val="28"/>
          <w:shd w:val="clear" w:color="auto" w:fill="FFFFFF"/>
          <w:lang w:val="zh-CN"/>
        </w:rPr>
        <w:t>100000</w:t>
      </w:r>
      <w:r>
        <w:rPr>
          <w:rFonts w:hint="eastAsia" w:ascii="仿宋_GB2312" w:hAnsi="仿宋" w:cs="宋体"/>
          <w:color w:val="000000"/>
          <w:kern w:val="0"/>
          <w:sz w:val="28"/>
          <w:szCs w:val="28"/>
          <w:shd w:val="clear" w:color="auto" w:fill="FFFFFF"/>
          <w:lang w:val="zh-CN"/>
        </w:rPr>
        <w:t>元</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kern w:val="0"/>
          <w:sz w:val="28"/>
          <w:szCs w:val="28"/>
          <w:shd w:val="clear" w:color="auto" w:fill="FFFFFF"/>
          <w:lang w:val="zh-CN"/>
        </w:rPr>
        <w:t>9</w:t>
      </w:r>
      <w:r>
        <w:rPr>
          <w:rFonts w:hint="eastAsia" w:cs="宋体"/>
          <w:kern w:val="0"/>
          <w:sz w:val="28"/>
          <w:szCs w:val="28"/>
          <w:shd w:val="clear" w:color="auto" w:fill="FFFFFF"/>
          <w:lang w:val="zh-CN"/>
        </w:rPr>
        <w:t>、住房保障支出</w:t>
      </w:r>
      <w:r>
        <w:rPr>
          <w:kern w:val="0"/>
          <w:sz w:val="28"/>
          <w:szCs w:val="28"/>
          <w:shd w:val="clear" w:color="auto" w:fill="FFFFFF"/>
          <w:lang w:val="zh-CN"/>
        </w:rPr>
        <w:t>436867.08</w:t>
      </w:r>
      <w:r>
        <w:rPr>
          <w:rFonts w:hint="eastAsia" w:cs="宋体"/>
          <w:kern w:val="0"/>
          <w:sz w:val="28"/>
          <w:szCs w:val="28"/>
          <w:shd w:val="clear" w:color="auto" w:fill="FFFFFF"/>
          <w:lang w:val="zh-CN"/>
        </w:rPr>
        <w:t>元。</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三、部门整体预算绩效管理情况</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（一）部门预算管理。</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1</w:t>
      </w:r>
      <w:r>
        <w:rPr>
          <w:rFonts w:hint="eastAsia" w:ascii="仿宋_GB2312" w:hAnsi="宋体" w:cs="宋体"/>
          <w:color w:val="000000"/>
          <w:kern w:val="0"/>
          <w:sz w:val="28"/>
          <w:szCs w:val="28"/>
          <w:shd w:val="clear" w:color="auto" w:fill="FFFFFF"/>
          <w:lang w:val="zh-CN"/>
        </w:rPr>
        <w:t>）报送时效：①基础信息更新，严格按照县级部门预算编制通知和有关要求，按时完成基础、项目库报送工作。②预算草案报送，严格按照县级部门预算编制通知和有关要求，按时完成预算编制工作，并按时提交部门预算草案。</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2</w:t>
      </w:r>
      <w:r>
        <w:rPr>
          <w:rFonts w:hint="eastAsia" w:ascii="仿宋_GB2312" w:hAnsi="宋体" w:cs="宋体"/>
          <w:color w:val="000000"/>
          <w:kern w:val="0"/>
          <w:sz w:val="28"/>
          <w:szCs w:val="28"/>
          <w:shd w:val="clear" w:color="auto" w:fill="FFFFFF"/>
          <w:lang w:val="zh-CN"/>
        </w:rPr>
        <w:t>）编制质量：①预算编制准确。②预算执行调整。③部门预算审查，根据县预算草案审查结果进行考核。</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3</w:t>
      </w:r>
      <w:r>
        <w:rPr>
          <w:rFonts w:hint="eastAsia" w:ascii="仿宋_GB2312" w:hAnsi="宋体" w:cs="宋体"/>
          <w:color w:val="000000"/>
          <w:kern w:val="0"/>
          <w:sz w:val="28"/>
          <w:szCs w:val="28"/>
          <w:shd w:val="clear" w:color="auto" w:fill="FFFFFF"/>
          <w:lang w:val="zh-CN"/>
        </w:rPr>
        <w:t>）绩效目标填报：能及时完成绩效目标编制。</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4</w:t>
      </w:r>
      <w:r>
        <w:rPr>
          <w:rFonts w:hint="eastAsia" w:ascii="仿宋_GB2312" w:hAnsi="宋体" w:cs="宋体"/>
          <w:color w:val="000000"/>
          <w:kern w:val="0"/>
          <w:sz w:val="28"/>
          <w:szCs w:val="28"/>
          <w:shd w:val="clear" w:color="auto" w:fill="FFFFFF"/>
          <w:lang w:val="zh-CN"/>
        </w:rPr>
        <w:t>）绩效分配：按规定项目能进行绩效分配。</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5</w:t>
      </w:r>
      <w:r>
        <w:rPr>
          <w:rFonts w:hint="eastAsia" w:ascii="仿宋_GB2312" w:hAnsi="宋体" w:cs="宋体"/>
          <w:color w:val="000000"/>
          <w:kern w:val="0"/>
          <w:sz w:val="28"/>
          <w:szCs w:val="28"/>
          <w:shd w:val="clear" w:color="auto" w:fill="FFFFFF"/>
          <w:lang w:val="zh-CN"/>
        </w:rPr>
        <w:t>）执行进度：①</w:t>
      </w:r>
      <w:r>
        <w:rPr>
          <w:rFonts w:ascii="仿宋_GB2312" w:hAnsi="宋体" w:cs="仿宋_GB2312"/>
          <w:color w:val="000000"/>
          <w:kern w:val="0"/>
          <w:sz w:val="28"/>
          <w:szCs w:val="28"/>
          <w:shd w:val="clear" w:color="auto" w:fill="FFFFFF"/>
          <w:lang w:val="zh-CN"/>
        </w:rPr>
        <w:t>6</w:t>
      </w:r>
      <w:r>
        <w:rPr>
          <w:rFonts w:hint="eastAsia" w:ascii="仿宋_GB2312" w:hAnsi="宋体" w:cs="宋体"/>
          <w:color w:val="000000"/>
          <w:kern w:val="0"/>
          <w:sz w:val="28"/>
          <w:szCs w:val="28"/>
          <w:shd w:val="clear" w:color="auto" w:fill="FFFFFF"/>
          <w:lang w:val="zh-CN"/>
        </w:rPr>
        <w:t>月底支出</w:t>
      </w:r>
      <w:r>
        <w:rPr>
          <w:rFonts w:ascii="仿宋_GB2312" w:hAnsi="宋体" w:cs="仿宋_GB2312"/>
          <w:color w:val="000000"/>
          <w:kern w:val="0"/>
          <w:sz w:val="28"/>
          <w:szCs w:val="28"/>
          <w:shd w:val="clear" w:color="auto" w:fill="FFFFFF"/>
          <w:lang w:val="zh-CN"/>
        </w:rPr>
        <w:t>5570109.29</w:t>
      </w:r>
      <w:r>
        <w:rPr>
          <w:rFonts w:hint="eastAsia" w:ascii="仿宋_GB2312" w:hAnsi="宋体" w:cs="宋体"/>
          <w:color w:val="000000"/>
          <w:kern w:val="0"/>
          <w:sz w:val="28"/>
          <w:szCs w:val="28"/>
          <w:shd w:val="clear" w:color="auto" w:fill="FFFFFF"/>
          <w:lang w:val="zh-CN"/>
        </w:rPr>
        <w:t>元，达到本部门应达到的执行进度。②</w:t>
      </w:r>
      <w:r>
        <w:rPr>
          <w:rFonts w:ascii="仿宋_GB2312" w:hAnsi="宋体" w:cs="仿宋_GB2312"/>
          <w:color w:val="000000"/>
          <w:kern w:val="0"/>
          <w:sz w:val="28"/>
          <w:szCs w:val="28"/>
          <w:shd w:val="clear" w:color="auto" w:fill="FFFFFF"/>
          <w:lang w:val="zh-CN"/>
        </w:rPr>
        <w:t>9</w:t>
      </w:r>
      <w:r>
        <w:rPr>
          <w:rFonts w:hint="eastAsia" w:ascii="仿宋_GB2312" w:hAnsi="宋体" w:cs="宋体"/>
          <w:color w:val="000000"/>
          <w:kern w:val="0"/>
          <w:sz w:val="28"/>
          <w:szCs w:val="28"/>
          <w:shd w:val="clear" w:color="auto" w:fill="FFFFFF"/>
          <w:lang w:val="zh-CN"/>
        </w:rPr>
        <w:t>月底支出</w:t>
      </w:r>
      <w:r>
        <w:rPr>
          <w:rFonts w:ascii="仿宋_GB2312" w:hAnsi="宋体" w:cs="仿宋_GB2312"/>
          <w:color w:val="000000"/>
          <w:kern w:val="0"/>
          <w:sz w:val="28"/>
          <w:szCs w:val="28"/>
          <w:shd w:val="clear" w:color="auto" w:fill="FFFFFF"/>
          <w:lang w:val="zh-CN"/>
        </w:rPr>
        <w:t>8912758.57</w:t>
      </w:r>
      <w:r>
        <w:rPr>
          <w:rFonts w:hint="eastAsia" w:ascii="仿宋_GB2312" w:hAnsi="宋体" w:cs="宋体"/>
          <w:color w:val="000000"/>
          <w:kern w:val="0"/>
          <w:sz w:val="28"/>
          <w:szCs w:val="28"/>
          <w:shd w:val="clear" w:color="auto" w:fill="FFFFFF"/>
          <w:lang w:val="zh-CN"/>
        </w:rPr>
        <w:t>元，达到本部门应达到的执行进度。③</w:t>
      </w:r>
      <w:r>
        <w:rPr>
          <w:rFonts w:ascii="仿宋_GB2312" w:hAnsi="宋体" w:cs="仿宋_GB2312"/>
          <w:color w:val="000000"/>
          <w:kern w:val="0"/>
          <w:sz w:val="28"/>
          <w:szCs w:val="28"/>
          <w:shd w:val="clear" w:color="auto" w:fill="FFFFFF"/>
          <w:lang w:val="zh-CN"/>
        </w:rPr>
        <w:t>12</w:t>
      </w:r>
      <w:r>
        <w:rPr>
          <w:rFonts w:hint="eastAsia" w:ascii="仿宋_GB2312" w:hAnsi="宋体" w:cs="宋体"/>
          <w:color w:val="000000"/>
          <w:kern w:val="0"/>
          <w:sz w:val="28"/>
          <w:szCs w:val="28"/>
          <w:shd w:val="clear" w:color="auto" w:fill="FFFFFF"/>
          <w:lang w:val="zh-CN"/>
        </w:rPr>
        <w:t>月底支出</w:t>
      </w:r>
      <w:r>
        <w:rPr>
          <w:rFonts w:ascii="仿宋_GB2312" w:hAnsi="宋体" w:cs="仿宋_GB2312"/>
          <w:color w:val="000000"/>
          <w:kern w:val="0"/>
          <w:sz w:val="28"/>
          <w:szCs w:val="28"/>
          <w:shd w:val="clear" w:color="auto" w:fill="FFFFFF"/>
          <w:lang w:val="zh-CN"/>
        </w:rPr>
        <w:t>11522533.62</w:t>
      </w:r>
      <w:r>
        <w:rPr>
          <w:rFonts w:hint="eastAsia" w:ascii="仿宋_GB2312" w:hAnsi="宋体" w:cs="宋体"/>
          <w:color w:val="000000"/>
          <w:kern w:val="0"/>
          <w:sz w:val="28"/>
          <w:szCs w:val="28"/>
          <w:shd w:val="clear" w:color="auto" w:fill="FFFFFF"/>
          <w:lang w:val="zh-CN"/>
        </w:rPr>
        <w:t>元，达到本部门应达到的执行进度。</w:t>
      </w:r>
    </w:p>
    <w:p>
      <w:pPr>
        <w:widowControl/>
        <w:adjustRightInd w:val="0"/>
        <w:snapToGrid w:val="0"/>
        <w:spacing w:line="540" w:lineRule="exact"/>
        <w:ind w:firstLine="560" w:firstLineChars="200"/>
        <w:jc w:val="left"/>
        <w:rPr>
          <w:kern w:val="0"/>
          <w:sz w:val="28"/>
          <w:szCs w:val="28"/>
          <w:shd w:val="clear" w:color="auto" w:fill="FFFFFF"/>
          <w:lang w:val="zh-CN"/>
        </w:rPr>
      </w:pPr>
      <w:r>
        <w:rPr>
          <w:rFonts w:hint="eastAsia" w:cs="宋体"/>
          <w:kern w:val="0"/>
          <w:sz w:val="28"/>
          <w:szCs w:val="28"/>
          <w:shd w:val="clear" w:color="auto" w:fill="FFFFFF"/>
          <w:lang w:val="zh-CN"/>
        </w:rPr>
        <w:t>（</w:t>
      </w:r>
      <w:r>
        <w:rPr>
          <w:kern w:val="0"/>
          <w:sz w:val="28"/>
          <w:szCs w:val="28"/>
          <w:shd w:val="clear" w:color="auto" w:fill="FFFFFF"/>
          <w:lang w:val="zh-CN"/>
        </w:rPr>
        <w:t>6</w:t>
      </w:r>
      <w:r>
        <w:rPr>
          <w:rFonts w:hint="eastAsia" w:cs="宋体"/>
          <w:kern w:val="0"/>
          <w:sz w:val="28"/>
          <w:szCs w:val="28"/>
          <w:shd w:val="clear" w:color="auto" w:fill="FFFFFF"/>
          <w:lang w:val="zh-CN"/>
        </w:rPr>
        <w:t>）预算调整：按规定执行财政预算中期评估制度。</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7</w:t>
      </w:r>
      <w:r>
        <w:rPr>
          <w:rFonts w:hint="eastAsia" w:ascii="仿宋_GB2312" w:hAnsi="宋体" w:cs="宋体"/>
          <w:color w:val="000000"/>
          <w:kern w:val="0"/>
          <w:sz w:val="28"/>
          <w:szCs w:val="28"/>
          <w:shd w:val="clear" w:color="auto" w:fill="FFFFFF"/>
          <w:lang w:val="zh-CN"/>
        </w:rPr>
        <w:t>）节能降耗</w:t>
      </w: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年支出</w:t>
      </w:r>
      <w:r>
        <w:rPr>
          <w:rFonts w:ascii="仿宋_GB2312" w:hAnsi="宋体" w:cs="仿宋_GB2312"/>
          <w:color w:val="000000"/>
          <w:kern w:val="0"/>
          <w:sz w:val="28"/>
          <w:szCs w:val="28"/>
          <w:shd w:val="clear" w:color="auto" w:fill="FFFFFF"/>
          <w:lang w:val="zh-CN"/>
        </w:rPr>
        <w:t>64145</w:t>
      </w:r>
      <w:r>
        <w:rPr>
          <w:rFonts w:hint="eastAsia" w:ascii="仿宋_GB2312" w:hAnsi="宋体" w:cs="宋体"/>
          <w:color w:val="000000"/>
          <w:kern w:val="0"/>
          <w:sz w:val="28"/>
          <w:szCs w:val="28"/>
          <w:shd w:val="clear" w:color="auto" w:fill="FFFFFF"/>
          <w:lang w:val="zh-CN"/>
        </w:rPr>
        <w:t>元，相比</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w:t>
      </w:r>
      <w:r>
        <w:rPr>
          <w:rFonts w:ascii="仿宋_GB2312" w:hAnsi="宋体" w:cs="仿宋_GB2312"/>
          <w:color w:val="000000"/>
          <w:kern w:val="0"/>
          <w:sz w:val="28"/>
          <w:szCs w:val="28"/>
          <w:shd w:val="clear" w:color="auto" w:fill="FFFFFF"/>
          <w:lang w:val="zh-CN"/>
        </w:rPr>
        <w:t>60366</w:t>
      </w:r>
      <w:r>
        <w:rPr>
          <w:rFonts w:hint="eastAsia" w:ascii="仿宋_GB2312" w:hAnsi="宋体" w:cs="宋体"/>
          <w:color w:val="000000"/>
          <w:kern w:val="0"/>
          <w:sz w:val="28"/>
          <w:szCs w:val="28"/>
          <w:shd w:val="clear" w:color="auto" w:fill="FFFFFF"/>
          <w:lang w:val="zh-CN"/>
        </w:rPr>
        <w:t>元，增加</w:t>
      </w:r>
      <w:r>
        <w:rPr>
          <w:rFonts w:ascii="仿宋_GB2312" w:hAnsi="宋体" w:cs="仿宋_GB2312"/>
          <w:color w:val="000000"/>
          <w:kern w:val="0"/>
          <w:sz w:val="28"/>
          <w:szCs w:val="28"/>
          <w:shd w:val="clear" w:color="auto" w:fill="FFFFFF"/>
          <w:lang w:val="zh-CN"/>
        </w:rPr>
        <w:t>3779</w:t>
      </w:r>
      <w:r>
        <w:rPr>
          <w:rFonts w:hint="eastAsia" w:ascii="仿宋_GB2312" w:hAnsi="宋体" w:cs="宋体"/>
          <w:color w:val="000000"/>
          <w:kern w:val="0"/>
          <w:sz w:val="28"/>
          <w:szCs w:val="28"/>
          <w:shd w:val="clear" w:color="auto" w:fill="FFFFFF"/>
          <w:lang w:val="zh-CN"/>
        </w:rPr>
        <w:t>元，增加比例为</w:t>
      </w:r>
      <w:r>
        <w:rPr>
          <w:rFonts w:ascii="仿宋_GB2312" w:hAnsi="宋体" w:cs="仿宋_GB2312"/>
          <w:color w:val="000000"/>
          <w:kern w:val="0"/>
          <w:sz w:val="28"/>
          <w:szCs w:val="28"/>
          <w:shd w:val="clear" w:color="auto" w:fill="FFFFFF"/>
          <w:lang w:val="zh-CN"/>
        </w:rPr>
        <w:t>5.9%</w:t>
      </w:r>
      <w:r>
        <w:rPr>
          <w:rFonts w:hint="eastAsia" w:ascii="仿宋_GB2312" w:hAnsi="宋体" w:cs="宋体"/>
          <w:color w:val="000000"/>
          <w:kern w:val="0"/>
          <w:sz w:val="28"/>
          <w:szCs w:val="28"/>
          <w:shd w:val="clear" w:color="auto" w:fill="FFFFFF"/>
          <w:lang w:val="zh-CN"/>
        </w:rPr>
        <w:t>。</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8</w:t>
      </w:r>
      <w:r>
        <w:rPr>
          <w:rFonts w:hint="eastAsia" w:ascii="仿宋_GB2312" w:hAnsi="宋体" w:cs="宋体"/>
          <w:color w:val="000000"/>
          <w:kern w:val="0"/>
          <w:sz w:val="28"/>
          <w:szCs w:val="28"/>
          <w:shd w:val="clear" w:color="auto" w:fill="FFFFFF"/>
          <w:lang w:val="zh-CN"/>
        </w:rPr>
        <w:t>）“三公”经费预算执行</w:t>
      </w: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w:t>
      </w:r>
      <w:r>
        <w:rPr>
          <w:rFonts w:ascii="仿宋_GB2312" w:hAnsi="宋体" w:cs="仿宋_GB2312"/>
          <w:color w:val="000000"/>
          <w:kern w:val="0"/>
          <w:sz w:val="28"/>
          <w:szCs w:val="28"/>
          <w:shd w:val="clear" w:color="auto" w:fill="FFFFFF"/>
          <w:lang w:val="zh-CN"/>
        </w:rPr>
        <w:t>45056</w:t>
      </w:r>
      <w:r>
        <w:rPr>
          <w:rFonts w:hint="eastAsia" w:ascii="仿宋_GB2312" w:hAnsi="宋体" w:cs="宋体"/>
          <w:color w:val="000000"/>
          <w:kern w:val="0"/>
          <w:sz w:val="28"/>
          <w:szCs w:val="28"/>
          <w:shd w:val="clear" w:color="auto" w:fill="FFFFFF"/>
          <w:lang w:val="zh-CN"/>
        </w:rPr>
        <w:t>元，比</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w:t>
      </w:r>
      <w:r>
        <w:rPr>
          <w:rFonts w:ascii="仿宋_GB2312" w:hAnsi="宋体" w:cs="仿宋_GB2312"/>
          <w:color w:val="000000"/>
          <w:kern w:val="0"/>
          <w:sz w:val="28"/>
          <w:szCs w:val="28"/>
          <w:shd w:val="clear" w:color="auto" w:fill="FFFFFF"/>
          <w:lang w:val="zh-CN"/>
        </w:rPr>
        <w:t>50530</w:t>
      </w:r>
      <w:r>
        <w:rPr>
          <w:rFonts w:hint="eastAsia" w:ascii="仿宋_GB2312" w:hAnsi="宋体" w:cs="宋体"/>
          <w:color w:val="000000"/>
          <w:kern w:val="0"/>
          <w:sz w:val="28"/>
          <w:szCs w:val="28"/>
          <w:shd w:val="clear" w:color="auto" w:fill="FFFFFF"/>
          <w:lang w:val="zh-CN"/>
        </w:rPr>
        <w:t>元，减少</w:t>
      </w:r>
      <w:r>
        <w:rPr>
          <w:rFonts w:ascii="仿宋_GB2312" w:hAnsi="宋体" w:cs="仿宋_GB2312"/>
          <w:color w:val="000000"/>
          <w:kern w:val="0"/>
          <w:sz w:val="28"/>
          <w:szCs w:val="28"/>
          <w:shd w:val="clear" w:color="auto" w:fill="FFFFFF"/>
          <w:lang w:val="zh-CN"/>
        </w:rPr>
        <w:t>5474</w:t>
      </w:r>
      <w:r>
        <w:rPr>
          <w:rFonts w:hint="eastAsia" w:ascii="仿宋_GB2312" w:hAnsi="宋体" w:cs="宋体"/>
          <w:color w:val="000000"/>
          <w:kern w:val="0"/>
          <w:sz w:val="28"/>
          <w:szCs w:val="28"/>
          <w:shd w:val="clear" w:color="auto" w:fill="FFFFFF"/>
          <w:lang w:val="zh-CN"/>
        </w:rPr>
        <w:t>元，减少比例</w:t>
      </w:r>
      <w:r>
        <w:rPr>
          <w:rFonts w:ascii="仿宋_GB2312" w:hAnsi="宋体" w:cs="仿宋_GB2312"/>
          <w:color w:val="000000"/>
          <w:kern w:val="0"/>
          <w:sz w:val="28"/>
          <w:szCs w:val="28"/>
          <w:shd w:val="clear" w:color="auto" w:fill="FFFFFF"/>
          <w:lang w:val="zh-CN"/>
        </w:rPr>
        <w:t>10.83%</w:t>
      </w:r>
      <w:r>
        <w:rPr>
          <w:rFonts w:hint="eastAsia" w:ascii="仿宋_GB2312" w:hAnsi="宋体" w:cs="宋体"/>
          <w:color w:val="000000"/>
          <w:kern w:val="0"/>
          <w:sz w:val="28"/>
          <w:szCs w:val="28"/>
          <w:shd w:val="clear" w:color="auto" w:fill="FFFFFF"/>
          <w:lang w:val="zh-CN"/>
        </w:rPr>
        <w:t>。</w:t>
      </w:r>
    </w:p>
    <w:p>
      <w:pPr>
        <w:widowControl/>
        <w:adjustRightInd w:val="0"/>
        <w:snapToGrid w:val="0"/>
        <w:spacing w:line="540" w:lineRule="exact"/>
        <w:ind w:firstLine="560" w:firstLineChars="20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9</w:t>
      </w:r>
      <w:r>
        <w:rPr>
          <w:rFonts w:hint="eastAsia" w:ascii="仿宋_GB2312" w:hAnsi="宋体" w:cs="宋体"/>
          <w:color w:val="000000"/>
          <w:kern w:val="0"/>
          <w:sz w:val="28"/>
          <w:szCs w:val="28"/>
          <w:shd w:val="clear" w:color="auto" w:fill="FFFFFF"/>
          <w:lang w:val="zh-CN"/>
        </w:rPr>
        <w:t>）结转及应返还额度较大，主要是农贸市场工期后推，工程款进度滞后的原因。</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（二）专项预算管理。</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1</w:t>
      </w:r>
      <w:r>
        <w:rPr>
          <w:rFonts w:hint="eastAsia" w:ascii="仿宋_GB2312" w:hAnsi="宋体" w:cs="宋体"/>
          <w:color w:val="000000"/>
          <w:kern w:val="0"/>
          <w:sz w:val="28"/>
          <w:szCs w:val="28"/>
          <w:shd w:val="clear" w:color="auto" w:fill="FFFFFF"/>
          <w:lang w:val="zh-CN"/>
        </w:rPr>
        <w:t>）项目资金管理情况。</w:t>
      </w:r>
    </w:p>
    <w:p>
      <w:pPr>
        <w:widowControl/>
        <w:adjustRightInd w:val="0"/>
        <w:snapToGrid w:val="0"/>
        <w:spacing w:line="540" w:lineRule="exact"/>
        <w:ind w:firstLine="720"/>
        <w:jc w:val="left"/>
        <w:rPr>
          <w:rFonts w:asci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制定了项目资金管理办法、中长期规划等建设制度。为我乡经济建设稳步增长打下了基础，同时也为全乡人民物质文化生活的逐步提高奠定</w:t>
      </w:r>
      <w:r>
        <w:rPr>
          <w:rFonts w:hint="eastAsia" w:ascii="宋体" w:hAnsi="宋体" w:cs="宋体"/>
          <w:color w:val="000000"/>
          <w:kern w:val="0"/>
          <w:sz w:val="28"/>
          <w:szCs w:val="28"/>
          <w:shd w:val="clear" w:color="auto" w:fill="FFFFFF"/>
          <w:lang w:val="zh-CN"/>
        </w:rPr>
        <w:t>了</w:t>
      </w:r>
      <w:r>
        <w:rPr>
          <w:rFonts w:hint="eastAsia" w:ascii="仿宋_GB2312" w:hAnsi="宋体" w:cs="宋体"/>
          <w:color w:val="000000"/>
          <w:kern w:val="0"/>
          <w:sz w:val="28"/>
          <w:szCs w:val="28"/>
          <w:shd w:val="clear" w:color="auto" w:fill="FFFFFF"/>
          <w:lang w:val="zh-CN"/>
        </w:rPr>
        <w:t>坚实的基础。</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2</w:t>
      </w:r>
      <w:r>
        <w:rPr>
          <w:rFonts w:hint="eastAsia" w:ascii="仿宋_GB2312" w:hAnsi="宋体" w:cs="宋体"/>
          <w:color w:val="000000"/>
          <w:kern w:val="0"/>
          <w:sz w:val="28"/>
          <w:szCs w:val="28"/>
          <w:shd w:val="clear" w:color="auto" w:fill="FFFFFF"/>
          <w:lang w:val="zh-CN"/>
        </w:rPr>
        <w:t>）绩效目标完成情况。</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一事一议”、“退耕还林后续项目”等项目实施完成后，农村的生产生活条件得到了极大的改善，党群、干群关系进一步密切了，农民参与村内公益事业建设的热情得到了提高，解决了农产品的生产和运输难的问题，大大降低了农产品的生产、运输成本等。</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（三）结果应用情况。</w:t>
      </w:r>
    </w:p>
    <w:p>
      <w:pPr>
        <w:widowControl/>
        <w:adjustRightInd w:val="0"/>
        <w:snapToGrid w:val="0"/>
        <w:spacing w:line="540" w:lineRule="exact"/>
        <w:ind w:firstLine="720"/>
        <w:jc w:val="left"/>
        <w:rPr>
          <w:rFonts w:ascii="仿宋_GB2312" w:hAnsi="宋体"/>
          <w:kern w:val="0"/>
          <w:sz w:val="28"/>
          <w:szCs w:val="28"/>
          <w:shd w:val="clear" w:color="auto" w:fill="FFFFFF"/>
          <w:lang w:val="zh-CN"/>
        </w:rPr>
      </w:pPr>
      <w:r>
        <w:rPr>
          <w:rFonts w:hint="eastAsia" w:ascii="仿宋_GB2312" w:hAnsi="宋体" w:cs="宋体"/>
          <w:kern w:val="0"/>
          <w:sz w:val="28"/>
          <w:szCs w:val="28"/>
          <w:shd w:val="clear" w:color="auto" w:fill="FFFFFF"/>
          <w:lang w:val="zh-CN"/>
        </w:rPr>
        <w:t>（</w:t>
      </w:r>
      <w:r>
        <w:rPr>
          <w:rFonts w:ascii="仿宋_GB2312" w:hAnsi="宋体" w:cs="仿宋_GB2312"/>
          <w:kern w:val="0"/>
          <w:sz w:val="28"/>
          <w:szCs w:val="28"/>
          <w:shd w:val="clear" w:color="auto" w:fill="FFFFFF"/>
          <w:lang w:val="zh-CN"/>
        </w:rPr>
        <w:t>1</w:t>
      </w:r>
      <w:r>
        <w:rPr>
          <w:rFonts w:hint="eastAsia" w:ascii="仿宋_GB2312" w:hAnsi="宋体" w:cs="宋体"/>
          <w:kern w:val="0"/>
          <w:sz w:val="28"/>
          <w:szCs w:val="28"/>
          <w:shd w:val="clear" w:color="auto" w:fill="FFFFFF"/>
          <w:lang w:val="zh-CN"/>
        </w:rPr>
        <w:t>）行政运转保障。</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年行政运转支出为</w:t>
      </w:r>
      <w:r>
        <w:rPr>
          <w:rFonts w:ascii="仿宋_GB2312" w:hAnsi="宋体" w:cs="仿宋_GB2312"/>
          <w:color w:val="000000"/>
          <w:kern w:val="0"/>
          <w:sz w:val="28"/>
          <w:szCs w:val="28"/>
          <w:shd w:val="clear" w:color="auto" w:fill="FFFFFF"/>
          <w:lang w:val="zh-CN"/>
        </w:rPr>
        <w:t>5375672.95</w:t>
      </w:r>
      <w:r>
        <w:rPr>
          <w:rFonts w:hint="eastAsia" w:ascii="仿宋_GB2312" w:hAnsi="宋体" w:cs="宋体"/>
          <w:color w:val="000000"/>
          <w:kern w:val="0"/>
          <w:sz w:val="28"/>
          <w:szCs w:val="28"/>
          <w:shd w:val="clear" w:color="auto" w:fill="FFFFFF"/>
          <w:lang w:val="zh-CN"/>
        </w:rPr>
        <w:t>元，</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年行政运转支出为</w:t>
      </w:r>
      <w:r>
        <w:rPr>
          <w:rFonts w:ascii="仿宋_GB2312" w:hAnsi="宋体" w:cs="仿宋_GB2312"/>
          <w:color w:val="000000"/>
          <w:kern w:val="0"/>
          <w:sz w:val="28"/>
          <w:szCs w:val="28"/>
          <w:shd w:val="clear" w:color="auto" w:fill="FFFFFF"/>
          <w:lang w:val="zh-CN"/>
        </w:rPr>
        <w:t>5003052.60</w:t>
      </w:r>
      <w:r>
        <w:rPr>
          <w:rFonts w:hint="eastAsia" w:ascii="仿宋_GB2312" w:hAnsi="宋体" w:cs="宋体"/>
          <w:color w:val="000000"/>
          <w:kern w:val="0"/>
          <w:sz w:val="28"/>
          <w:szCs w:val="28"/>
          <w:shd w:val="clear" w:color="auto" w:fill="FFFFFF"/>
          <w:lang w:val="zh-CN"/>
        </w:rPr>
        <w:t>元，与上年相比增加支出</w:t>
      </w:r>
      <w:r>
        <w:rPr>
          <w:rFonts w:ascii="仿宋_GB2312" w:hAnsi="宋体" w:cs="仿宋_GB2312"/>
          <w:color w:val="000000"/>
          <w:kern w:val="0"/>
          <w:sz w:val="28"/>
          <w:szCs w:val="28"/>
          <w:shd w:val="clear" w:color="auto" w:fill="FFFFFF"/>
          <w:lang w:val="zh-CN"/>
        </w:rPr>
        <w:t>372620.35</w:t>
      </w:r>
      <w:r>
        <w:rPr>
          <w:rFonts w:hint="eastAsia" w:ascii="仿宋_GB2312" w:hAnsi="宋体" w:cs="宋体"/>
          <w:color w:val="000000"/>
          <w:kern w:val="0"/>
          <w:sz w:val="28"/>
          <w:szCs w:val="28"/>
          <w:shd w:val="clear" w:color="auto" w:fill="FFFFFF"/>
          <w:lang w:val="zh-CN"/>
        </w:rPr>
        <w:t>元，增加比例为</w:t>
      </w:r>
      <w:r>
        <w:rPr>
          <w:rFonts w:ascii="仿宋_GB2312" w:hAnsi="宋体" w:cs="仿宋_GB2312"/>
          <w:color w:val="000000"/>
          <w:kern w:val="0"/>
          <w:sz w:val="28"/>
          <w:szCs w:val="28"/>
          <w:shd w:val="clear" w:color="auto" w:fill="FFFFFF"/>
          <w:lang w:val="zh-CN"/>
        </w:rPr>
        <w:t>7.4%</w:t>
      </w:r>
      <w:r>
        <w:rPr>
          <w:rFonts w:hint="eastAsia" w:ascii="仿宋_GB2312" w:hAnsi="宋体" w:cs="宋体"/>
          <w:color w:val="000000"/>
          <w:kern w:val="0"/>
          <w:sz w:val="28"/>
          <w:szCs w:val="28"/>
          <w:shd w:val="clear" w:color="auto" w:fill="FFFFFF"/>
          <w:lang w:val="zh-CN"/>
        </w:rPr>
        <w:t>，主要是兽医站并入、村社组干部、村官大学生、养老、医疗、住房公积金、职工调资、人员增加和重点工作费用增加。各部门能全面履行为民服务、为民办事、高效从政，为全乡人民经济收入的不断增长，提高人民群众的物质文化生活提供有力的保障。</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2</w:t>
      </w:r>
      <w:r>
        <w:rPr>
          <w:rFonts w:hint="eastAsia" w:ascii="仿宋_GB2312" w:hAnsi="宋体" w:cs="宋体"/>
          <w:color w:val="000000"/>
          <w:kern w:val="0"/>
          <w:sz w:val="28"/>
          <w:szCs w:val="28"/>
          <w:shd w:val="clear" w:color="auto" w:fill="FFFFFF"/>
          <w:lang w:val="zh-CN"/>
        </w:rPr>
        <w:t>）机关厉行节约。</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我乡没有因公出国（境）费用，财政拨款支出车辆购置及运行费用</w:t>
      </w:r>
      <w:r>
        <w:rPr>
          <w:rFonts w:ascii="仿宋_GB2312" w:hAnsi="宋体" w:cs="仿宋_GB2312"/>
          <w:color w:val="000000"/>
          <w:kern w:val="0"/>
          <w:sz w:val="28"/>
          <w:szCs w:val="28"/>
          <w:shd w:val="clear" w:color="auto" w:fill="FFFFFF"/>
          <w:lang w:val="zh-CN"/>
        </w:rPr>
        <w:t>26515</w:t>
      </w:r>
      <w:r>
        <w:rPr>
          <w:rFonts w:hint="eastAsia" w:ascii="仿宋_GB2312" w:hAnsi="宋体" w:cs="宋体"/>
          <w:color w:val="000000"/>
          <w:kern w:val="0"/>
          <w:sz w:val="28"/>
          <w:szCs w:val="28"/>
          <w:shd w:val="clear" w:color="auto" w:fill="FFFFFF"/>
          <w:lang w:val="zh-CN"/>
        </w:rPr>
        <w:t>元，与</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年相比减少</w:t>
      </w:r>
      <w:r>
        <w:rPr>
          <w:rFonts w:ascii="仿宋_GB2312" w:hAnsi="宋体" w:cs="仿宋_GB2312"/>
          <w:color w:val="000000"/>
          <w:kern w:val="0"/>
          <w:sz w:val="28"/>
          <w:szCs w:val="28"/>
          <w:shd w:val="clear" w:color="auto" w:fill="FFFFFF"/>
          <w:lang w:val="zh-CN"/>
        </w:rPr>
        <w:t>10835</w:t>
      </w:r>
      <w:r>
        <w:rPr>
          <w:rFonts w:hint="eastAsia" w:ascii="仿宋_GB2312" w:hAnsi="宋体" w:cs="宋体"/>
          <w:color w:val="000000"/>
          <w:kern w:val="0"/>
          <w:sz w:val="28"/>
          <w:szCs w:val="28"/>
          <w:shd w:val="clear" w:color="auto" w:fill="FFFFFF"/>
          <w:lang w:val="zh-CN"/>
        </w:rPr>
        <w:t>元，减少比例</w:t>
      </w:r>
      <w:r>
        <w:rPr>
          <w:rFonts w:ascii="仿宋_GB2312" w:hAnsi="宋体" w:cs="仿宋_GB2312"/>
          <w:color w:val="000000"/>
          <w:kern w:val="0"/>
          <w:sz w:val="28"/>
          <w:szCs w:val="28"/>
          <w:shd w:val="clear" w:color="auto" w:fill="FFFFFF"/>
          <w:lang w:val="zh-CN"/>
        </w:rPr>
        <w:t>29.01%</w:t>
      </w:r>
      <w:r>
        <w:rPr>
          <w:rFonts w:hint="eastAsia" w:ascii="仿宋_GB2312" w:hAnsi="宋体" w:cs="宋体"/>
          <w:color w:val="000000"/>
          <w:kern w:val="0"/>
          <w:sz w:val="28"/>
          <w:szCs w:val="28"/>
          <w:shd w:val="clear" w:color="auto" w:fill="FFFFFF"/>
          <w:lang w:val="zh-CN"/>
        </w:rPr>
        <w:t>；公务接待经费</w:t>
      </w:r>
      <w:r>
        <w:rPr>
          <w:rFonts w:ascii="仿宋_GB2312" w:hAnsi="宋体" w:cs="仿宋_GB2312"/>
          <w:color w:val="000000"/>
          <w:kern w:val="0"/>
          <w:sz w:val="28"/>
          <w:szCs w:val="28"/>
          <w:shd w:val="clear" w:color="auto" w:fill="FFFFFF"/>
          <w:lang w:val="zh-CN"/>
        </w:rPr>
        <w:t>18541</w:t>
      </w:r>
      <w:r>
        <w:rPr>
          <w:rFonts w:hint="eastAsia" w:ascii="仿宋_GB2312" w:hAnsi="宋体" w:cs="宋体"/>
          <w:color w:val="000000"/>
          <w:kern w:val="0"/>
          <w:sz w:val="28"/>
          <w:szCs w:val="28"/>
          <w:shd w:val="clear" w:color="auto" w:fill="FFFFFF"/>
          <w:lang w:val="zh-CN"/>
        </w:rPr>
        <w:t>元，与</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年相比增加</w:t>
      </w:r>
      <w:r>
        <w:rPr>
          <w:rFonts w:ascii="仿宋_GB2312" w:hAnsi="宋体" w:cs="仿宋_GB2312"/>
          <w:color w:val="000000"/>
          <w:kern w:val="0"/>
          <w:sz w:val="28"/>
          <w:szCs w:val="28"/>
          <w:shd w:val="clear" w:color="auto" w:fill="FFFFFF"/>
          <w:lang w:val="zh-CN"/>
        </w:rPr>
        <w:t>5361</w:t>
      </w:r>
      <w:r>
        <w:rPr>
          <w:rFonts w:hint="eastAsia" w:ascii="仿宋_GB2312" w:hAnsi="宋体" w:cs="宋体"/>
          <w:color w:val="000000"/>
          <w:kern w:val="0"/>
          <w:sz w:val="28"/>
          <w:szCs w:val="28"/>
          <w:shd w:val="clear" w:color="auto" w:fill="FFFFFF"/>
          <w:lang w:val="zh-CN"/>
        </w:rPr>
        <w:t>元，增加比例</w:t>
      </w:r>
      <w:r>
        <w:rPr>
          <w:rFonts w:ascii="仿宋_GB2312" w:hAnsi="宋体" w:cs="仿宋_GB2312"/>
          <w:color w:val="000000"/>
          <w:kern w:val="0"/>
          <w:sz w:val="28"/>
          <w:szCs w:val="28"/>
          <w:shd w:val="clear" w:color="auto" w:fill="FFFFFF"/>
          <w:lang w:val="zh-CN"/>
        </w:rPr>
        <w:t>40.68%</w:t>
      </w:r>
      <w:r>
        <w:rPr>
          <w:rFonts w:hint="eastAsia" w:ascii="仿宋_GB2312" w:hAnsi="宋体" w:cs="宋体"/>
          <w:color w:val="000000"/>
          <w:kern w:val="0"/>
          <w:sz w:val="28"/>
          <w:szCs w:val="28"/>
          <w:shd w:val="clear" w:color="auto" w:fill="FFFFFF"/>
          <w:lang w:val="zh-CN"/>
        </w:rPr>
        <w:t>，严格执行“三公经费”预算，认真执行中央八项规定和省、市、县相关规定，做到廉洁行政。</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w:t>
      </w:r>
      <w:r>
        <w:rPr>
          <w:rFonts w:ascii="仿宋_GB2312" w:hAnsi="宋体" w:cs="仿宋_GB2312"/>
          <w:color w:val="000000"/>
          <w:kern w:val="0"/>
          <w:sz w:val="28"/>
          <w:szCs w:val="28"/>
          <w:shd w:val="clear" w:color="auto" w:fill="FFFFFF"/>
          <w:lang w:val="zh-CN"/>
        </w:rPr>
        <w:t>3</w:t>
      </w:r>
      <w:r>
        <w:rPr>
          <w:rFonts w:hint="eastAsia" w:ascii="仿宋_GB2312" w:hAnsi="宋体" w:cs="宋体"/>
          <w:color w:val="000000"/>
          <w:kern w:val="0"/>
          <w:sz w:val="28"/>
          <w:szCs w:val="28"/>
          <w:shd w:val="clear" w:color="auto" w:fill="FFFFFF"/>
          <w:lang w:val="zh-CN"/>
        </w:rPr>
        <w:t>）机关节能降耗。</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我乡认真做好机关节能降耗工作。节能降耗</w:t>
      </w: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年支出</w:t>
      </w:r>
      <w:r>
        <w:rPr>
          <w:rFonts w:ascii="仿宋_GB2312" w:hAnsi="宋体" w:cs="仿宋_GB2312"/>
          <w:color w:val="000000"/>
          <w:kern w:val="0"/>
          <w:sz w:val="28"/>
          <w:szCs w:val="28"/>
          <w:shd w:val="clear" w:color="auto" w:fill="FFFFFF"/>
          <w:lang w:val="zh-CN"/>
        </w:rPr>
        <w:t>64145</w:t>
      </w:r>
      <w:r>
        <w:rPr>
          <w:rFonts w:hint="eastAsia" w:ascii="仿宋_GB2312" w:hAnsi="宋体" w:cs="宋体"/>
          <w:color w:val="000000"/>
          <w:kern w:val="0"/>
          <w:sz w:val="28"/>
          <w:szCs w:val="28"/>
          <w:shd w:val="clear" w:color="auto" w:fill="FFFFFF"/>
          <w:lang w:val="zh-CN"/>
        </w:rPr>
        <w:t>元，相比</w:t>
      </w:r>
      <w:r>
        <w:rPr>
          <w:rFonts w:ascii="仿宋_GB2312" w:hAnsi="宋体" w:cs="仿宋_GB2312"/>
          <w:color w:val="000000"/>
          <w:kern w:val="0"/>
          <w:sz w:val="28"/>
          <w:szCs w:val="28"/>
          <w:shd w:val="clear" w:color="auto" w:fill="FFFFFF"/>
          <w:lang w:val="zh-CN"/>
        </w:rPr>
        <w:t>2017</w:t>
      </w:r>
      <w:r>
        <w:rPr>
          <w:rFonts w:hint="eastAsia" w:ascii="仿宋_GB2312" w:hAnsi="宋体" w:cs="宋体"/>
          <w:color w:val="000000"/>
          <w:kern w:val="0"/>
          <w:sz w:val="28"/>
          <w:szCs w:val="28"/>
          <w:shd w:val="clear" w:color="auto" w:fill="FFFFFF"/>
          <w:lang w:val="zh-CN"/>
        </w:rPr>
        <w:t>年</w:t>
      </w:r>
      <w:r>
        <w:rPr>
          <w:rFonts w:ascii="仿宋_GB2312" w:hAnsi="宋体" w:cs="仿宋_GB2312"/>
          <w:color w:val="000000"/>
          <w:kern w:val="0"/>
          <w:sz w:val="28"/>
          <w:szCs w:val="28"/>
          <w:shd w:val="clear" w:color="auto" w:fill="FFFFFF"/>
          <w:lang w:val="zh-CN"/>
        </w:rPr>
        <w:t>60366</w:t>
      </w:r>
      <w:r>
        <w:rPr>
          <w:rFonts w:hint="eastAsia" w:ascii="仿宋_GB2312" w:hAnsi="宋体" w:cs="宋体"/>
          <w:color w:val="000000"/>
          <w:kern w:val="0"/>
          <w:sz w:val="28"/>
          <w:szCs w:val="28"/>
          <w:shd w:val="clear" w:color="auto" w:fill="FFFFFF"/>
          <w:lang w:val="zh-CN"/>
        </w:rPr>
        <w:t>元，增加</w:t>
      </w:r>
      <w:r>
        <w:rPr>
          <w:rFonts w:ascii="仿宋_GB2312" w:hAnsi="宋体" w:cs="仿宋_GB2312"/>
          <w:color w:val="000000"/>
          <w:kern w:val="0"/>
          <w:sz w:val="28"/>
          <w:szCs w:val="28"/>
          <w:shd w:val="clear" w:color="auto" w:fill="FFFFFF"/>
          <w:lang w:val="zh-CN"/>
        </w:rPr>
        <w:t>3779</w:t>
      </w:r>
      <w:r>
        <w:rPr>
          <w:rFonts w:hint="eastAsia" w:ascii="仿宋_GB2312" w:hAnsi="宋体" w:cs="宋体"/>
          <w:color w:val="000000"/>
          <w:kern w:val="0"/>
          <w:sz w:val="28"/>
          <w:szCs w:val="28"/>
          <w:shd w:val="clear" w:color="auto" w:fill="FFFFFF"/>
          <w:lang w:val="zh-CN"/>
        </w:rPr>
        <w:t>元，增加比例为</w:t>
      </w:r>
      <w:r>
        <w:rPr>
          <w:rFonts w:ascii="仿宋_GB2312" w:hAnsi="宋体" w:cs="仿宋_GB2312"/>
          <w:color w:val="000000"/>
          <w:kern w:val="0"/>
          <w:sz w:val="28"/>
          <w:szCs w:val="28"/>
          <w:shd w:val="clear" w:color="auto" w:fill="FFFFFF"/>
          <w:lang w:val="zh-CN"/>
        </w:rPr>
        <w:t>5.9%</w:t>
      </w:r>
      <w:r>
        <w:rPr>
          <w:rFonts w:hint="eastAsia" w:ascii="仿宋_GB2312" w:hAnsi="宋体" w:cs="宋体"/>
          <w:color w:val="000000"/>
          <w:kern w:val="0"/>
          <w:sz w:val="28"/>
          <w:szCs w:val="28"/>
          <w:shd w:val="clear" w:color="auto" w:fill="FFFFFF"/>
          <w:lang w:val="zh-CN"/>
        </w:rPr>
        <w:t>。</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四、评价结论及建议</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（一）评价结论。</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hint="eastAsia" w:ascii="仿宋_GB2312" w:hAnsi="宋体" w:cs="宋体"/>
          <w:color w:val="000000"/>
          <w:kern w:val="0"/>
          <w:sz w:val="28"/>
          <w:szCs w:val="28"/>
          <w:shd w:val="clear" w:color="auto" w:fill="FFFFFF"/>
          <w:lang w:val="zh-CN"/>
        </w:rPr>
        <w:t>我乡在</w:t>
      </w:r>
      <w:r>
        <w:rPr>
          <w:rFonts w:ascii="仿宋_GB2312" w:hAnsi="宋体" w:cs="仿宋_GB2312"/>
          <w:color w:val="000000"/>
          <w:kern w:val="0"/>
          <w:sz w:val="28"/>
          <w:szCs w:val="28"/>
          <w:shd w:val="clear" w:color="auto" w:fill="FFFFFF"/>
          <w:lang w:val="zh-CN"/>
        </w:rPr>
        <w:t>2018</w:t>
      </w:r>
      <w:r>
        <w:rPr>
          <w:rFonts w:hint="eastAsia" w:ascii="仿宋_GB2312" w:hAnsi="宋体" w:cs="宋体"/>
          <w:color w:val="000000"/>
          <w:kern w:val="0"/>
          <w:sz w:val="28"/>
          <w:szCs w:val="28"/>
          <w:shd w:val="clear" w:color="auto" w:fill="FFFFFF"/>
          <w:lang w:val="zh-CN"/>
        </w:rPr>
        <w:t>年部门预算支出的各项经费收支过程中，严格按照部门预算要求进行实施，总体情况良好。</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（二）存在问题。</w:t>
      </w:r>
    </w:p>
    <w:p>
      <w:pPr>
        <w:widowControl/>
        <w:adjustRightInd w:val="0"/>
        <w:snapToGrid w:val="0"/>
        <w:spacing w:line="540" w:lineRule="exact"/>
        <w:ind w:firstLine="720"/>
        <w:jc w:val="left"/>
        <w:rPr>
          <w:rFonts w:ascii="仿宋_GB2312" w:hAnsi="仿宋"/>
          <w:color w:val="000000"/>
          <w:kern w:val="0"/>
          <w:sz w:val="28"/>
          <w:szCs w:val="28"/>
          <w:shd w:val="clear" w:color="auto" w:fill="FFFFFF"/>
          <w:lang w:val="zh-CN"/>
        </w:rPr>
      </w:pPr>
      <w:r>
        <w:rPr>
          <w:rFonts w:hint="eastAsia" w:ascii="仿宋_GB2312" w:hAnsi="仿宋" w:cs="宋体"/>
          <w:color w:val="000000"/>
          <w:kern w:val="0"/>
          <w:sz w:val="28"/>
          <w:szCs w:val="28"/>
          <w:shd w:val="clear" w:color="auto" w:fill="FFFFFF"/>
          <w:lang w:val="zh-CN"/>
        </w:rPr>
        <w:t>年初预算只是对基本运转部分做了保障预算，对于一些突发性、临时性和重点工作的预算缺少预见性。</w:t>
      </w:r>
    </w:p>
    <w:p>
      <w:pPr>
        <w:spacing w:line="580" w:lineRule="exact"/>
        <w:ind w:firstLine="640" w:firstLineChars="200"/>
        <w:rPr>
          <w:rFonts w:ascii="仿宋" w:hAnsi="仿宋" w:eastAsia="仿宋"/>
          <w:sz w:val="32"/>
          <w:szCs w:val="32"/>
        </w:rPr>
      </w:pPr>
      <w:r>
        <w:rPr>
          <w:rFonts w:hint="eastAsia" w:ascii="楷体_GB2312" w:hAnsi="仿宋" w:eastAsia="楷体_GB2312" w:cs="楷体_GB2312"/>
          <w:sz w:val="32"/>
          <w:szCs w:val="32"/>
        </w:rPr>
        <w:t>（三）改进建议。</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ascii="仿宋_GB2312" w:hAnsi="宋体" w:cs="仿宋_GB2312"/>
          <w:color w:val="000000"/>
          <w:kern w:val="0"/>
          <w:sz w:val="28"/>
          <w:szCs w:val="28"/>
          <w:shd w:val="clear" w:color="auto" w:fill="FFFFFF"/>
          <w:lang w:val="zh-CN"/>
        </w:rPr>
        <w:t>1</w:t>
      </w:r>
      <w:r>
        <w:rPr>
          <w:rFonts w:hint="eastAsia" w:ascii="仿宋_GB2312" w:hAnsi="宋体" w:cs="宋体"/>
          <w:color w:val="000000"/>
          <w:kern w:val="0"/>
          <w:sz w:val="28"/>
          <w:szCs w:val="28"/>
          <w:shd w:val="clear" w:color="auto" w:fill="FFFFFF"/>
          <w:lang w:val="zh-CN"/>
        </w:rPr>
        <w:t>、应加强财政绩效评价工作培训，提高绩效评价质量。</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ascii="仿宋_GB2312" w:hAnsi="宋体" w:cs="仿宋_GB2312"/>
          <w:color w:val="000000"/>
          <w:kern w:val="0"/>
          <w:sz w:val="28"/>
          <w:szCs w:val="28"/>
          <w:shd w:val="clear" w:color="auto" w:fill="FFFFFF"/>
          <w:lang w:val="zh-CN"/>
        </w:rPr>
        <w:t>2</w:t>
      </w:r>
      <w:r>
        <w:rPr>
          <w:rFonts w:hint="eastAsia" w:ascii="仿宋_GB2312" w:hAnsi="宋体" w:cs="宋体"/>
          <w:color w:val="000000"/>
          <w:kern w:val="0"/>
          <w:sz w:val="28"/>
          <w:szCs w:val="28"/>
          <w:shd w:val="clear" w:color="auto" w:fill="FFFFFF"/>
          <w:lang w:val="zh-CN"/>
        </w:rPr>
        <w:t>、及时进行中期预算执行评估，确保政府的正常运转。</w:t>
      </w:r>
    </w:p>
    <w:p>
      <w:pPr>
        <w:widowControl/>
        <w:adjustRightInd w:val="0"/>
        <w:snapToGrid w:val="0"/>
        <w:spacing w:line="540" w:lineRule="exact"/>
        <w:ind w:firstLine="720"/>
        <w:jc w:val="left"/>
        <w:rPr>
          <w:rFonts w:ascii="仿宋_GB2312" w:hAnsi="宋体"/>
          <w:color w:val="000000"/>
          <w:kern w:val="0"/>
          <w:sz w:val="28"/>
          <w:szCs w:val="28"/>
          <w:shd w:val="clear" w:color="auto" w:fill="FFFFFF"/>
          <w:lang w:val="zh-CN"/>
        </w:rPr>
      </w:pPr>
      <w:r>
        <w:rPr>
          <w:rFonts w:ascii="仿宋_GB2312" w:hAnsi="宋体" w:cs="仿宋_GB2312"/>
          <w:color w:val="000000"/>
          <w:kern w:val="0"/>
          <w:sz w:val="28"/>
          <w:szCs w:val="28"/>
          <w:shd w:val="clear" w:color="auto" w:fill="FFFFFF"/>
          <w:lang w:val="zh-CN"/>
        </w:rPr>
        <w:t>3</w:t>
      </w:r>
      <w:r>
        <w:rPr>
          <w:rFonts w:hint="eastAsia" w:ascii="仿宋_GB2312" w:hAnsi="宋体" w:cs="宋体"/>
          <w:color w:val="000000"/>
          <w:kern w:val="0"/>
          <w:sz w:val="28"/>
          <w:szCs w:val="28"/>
          <w:shd w:val="clear" w:color="auto" w:fill="FFFFFF"/>
          <w:lang w:val="zh-CN"/>
        </w:rPr>
        <w:t>、</w:t>
      </w:r>
      <w:r>
        <w:rPr>
          <w:rFonts w:hint="eastAsia" w:ascii="宋体" w:hAnsi="宋体" w:cs="宋体"/>
          <w:color w:val="000000"/>
          <w:kern w:val="0"/>
          <w:sz w:val="28"/>
          <w:szCs w:val="28"/>
          <w:shd w:val="clear" w:color="auto" w:fill="FFFFFF"/>
          <w:lang w:val="zh-CN"/>
        </w:rPr>
        <w:t>应</w:t>
      </w:r>
      <w:r>
        <w:rPr>
          <w:rFonts w:hint="eastAsia" w:ascii="宋体" w:hAnsi="宋体" w:cs="宋体"/>
          <w:sz w:val="28"/>
          <w:szCs w:val="28"/>
          <w:lang w:val="zh-CN"/>
        </w:rPr>
        <w:t>配备适应电算化的年青人从事财务工作。</w:t>
      </w:r>
    </w:p>
    <w:p>
      <w:pPr>
        <w:widowControl/>
        <w:jc w:val="center"/>
        <w:outlineLvl w:val="0"/>
        <w:rPr>
          <w:rFonts w:ascii="仿宋_GB2312" w:hAnsi="仿宋_GB2312" w:eastAsia="仿宋_GB2312"/>
          <w:sz w:val="32"/>
          <w:szCs w:val="32"/>
        </w:rPr>
      </w:pPr>
      <w:r>
        <w:br w:type="page"/>
      </w:r>
      <w:bookmarkStart w:id="67" w:name="_Toc23235978"/>
      <w:r>
        <w:rPr>
          <w:rFonts w:hint="eastAsia" w:ascii="方正小标宋_GBK" w:hAnsi="黑体" w:eastAsia="方正小标宋_GBK" w:cs="方正小标宋_GBK"/>
          <w:color w:val="000000"/>
          <w:sz w:val="44"/>
          <w:szCs w:val="44"/>
        </w:rPr>
        <w:t>第</w:t>
      </w:r>
      <w:r>
        <w:rPr>
          <w:rStyle w:val="17"/>
          <w:rFonts w:hint="eastAsia" w:ascii="方正小标宋_GBK" w:hAnsi="黑体" w:eastAsia="方正小标宋_GBK" w:cs="方正小标宋_GBK"/>
          <w:b w:val="0"/>
          <w:bCs w:val="0"/>
        </w:rPr>
        <w:t>五部分</w:t>
      </w:r>
      <w:r>
        <w:rPr>
          <w:rStyle w:val="17"/>
          <w:rFonts w:ascii="方正小标宋_GBK" w:hAnsi="黑体" w:eastAsia="方正小标宋_GBK" w:cs="方正小标宋_GBK"/>
          <w:b w:val="0"/>
          <w:bCs w:val="0"/>
        </w:rPr>
        <w:t xml:space="preserve"> </w:t>
      </w:r>
      <w:r>
        <w:rPr>
          <w:rStyle w:val="17"/>
          <w:rFonts w:hint="eastAsia" w:ascii="方正小标宋_GBK" w:hAnsi="黑体" w:eastAsia="方正小标宋_GBK" w:cs="方正小标宋_GBK"/>
          <w:b w:val="0"/>
          <w:bCs w:val="0"/>
        </w:rPr>
        <w:t>附表</w:t>
      </w:r>
      <w:bookmarkEnd w:id="62"/>
      <w:bookmarkEnd w:id="67"/>
    </w:p>
    <w:p>
      <w:pPr>
        <w:pStyle w:val="3"/>
        <w:spacing w:line="415" w:lineRule="auto"/>
        <w:rPr>
          <w:rFonts w:ascii="仿宋" w:hAnsi="仿宋" w:eastAsia="仿宋" w:cs="Times New Roman"/>
          <w:color w:val="000000"/>
        </w:rPr>
      </w:pPr>
      <w:bookmarkStart w:id="68" w:name="_Toc23235979"/>
      <w:r>
        <w:rPr>
          <w:rFonts w:hint="eastAsia" w:ascii="仿宋" w:hAnsi="仿宋" w:eastAsia="仿宋" w:cs="仿宋"/>
          <w:b w:val="0"/>
          <w:bCs w:val="0"/>
          <w:color w:val="000000"/>
        </w:rPr>
        <w:t>一、收</w:t>
      </w:r>
      <w:r>
        <w:rPr>
          <w:rStyle w:val="18"/>
          <w:rFonts w:hint="eastAsia" w:ascii="仿宋" w:hAnsi="仿宋" w:eastAsia="仿宋" w:cs="仿宋"/>
          <w:b w:val="0"/>
          <w:bCs w:val="0"/>
        </w:rPr>
        <w:t>入支出决算总表</w:t>
      </w:r>
      <w:bookmarkEnd w:id="68"/>
    </w:p>
    <w:p>
      <w:pPr>
        <w:pStyle w:val="3"/>
        <w:spacing w:line="415" w:lineRule="auto"/>
        <w:rPr>
          <w:rFonts w:ascii="仿宋" w:hAnsi="仿宋" w:eastAsia="仿宋" w:cs="Times New Roman"/>
          <w:color w:val="000000"/>
        </w:rPr>
      </w:pPr>
      <w:bookmarkStart w:id="69" w:name="_Toc23235980"/>
      <w:r>
        <w:rPr>
          <w:rFonts w:hint="eastAsia" w:ascii="仿宋" w:hAnsi="仿宋" w:eastAsia="仿宋" w:cs="仿宋"/>
          <w:b w:val="0"/>
          <w:bCs w:val="0"/>
          <w:color w:val="000000"/>
        </w:rPr>
        <w:t>二、收</w:t>
      </w:r>
      <w:r>
        <w:rPr>
          <w:rStyle w:val="18"/>
          <w:rFonts w:hint="eastAsia" w:ascii="仿宋" w:hAnsi="仿宋" w:eastAsia="仿宋" w:cs="仿宋"/>
          <w:b w:val="0"/>
          <w:bCs w:val="0"/>
        </w:rPr>
        <w:t>入总表</w:t>
      </w:r>
      <w:bookmarkEnd w:id="69"/>
    </w:p>
    <w:p>
      <w:pPr>
        <w:pStyle w:val="3"/>
        <w:spacing w:line="415" w:lineRule="auto"/>
        <w:rPr>
          <w:rFonts w:ascii="仿宋" w:hAnsi="仿宋" w:eastAsia="仿宋" w:cs="Times New Roman"/>
          <w:color w:val="000000"/>
        </w:rPr>
      </w:pPr>
      <w:bookmarkStart w:id="70" w:name="_Toc23235981"/>
      <w:r>
        <w:rPr>
          <w:rStyle w:val="18"/>
          <w:rFonts w:hint="eastAsia" w:ascii="仿宋" w:hAnsi="仿宋" w:eastAsia="仿宋" w:cs="仿宋"/>
          <w:b w:val="0"/>
          <w:bCs w:val="0"/>
        </w:rPr>
        <w:t>三、</w:t>
      </w:r>
      <w:r>
        <w:rPr>
          <w:rFonts w:hint="eastAsia" w:ascii="仿宋" w:hAnsi="仿宋" w:eastAsia="仿宋" w:cs="仿宋"/>
          <w:b w:val="0"/>
          <w:bCs w:val="0"/>
          <w:color w:val="000000"/>
        </w:rPr>
        <w:t>支</w:t>
      </w:r>
      <w:r>
        <w:rPr>
          <w:rStyle w:val="18"/>
          <w:rFonts w:hint="eastAsia" w:ascii="仿宋" w:hAnsi="仿宋" w:eastAsia="仿宋" w:cs="仿宋"/>
          <w:b w:val="0"/>
          <w:bCs w:val="0"/>
        </w:rPr>
        <w:t>出总表</w:t>
      </w:r>
      <w:bookmarkEnd w:id="70"/>
    </w:p>
    <w:p>
      <w:pPr>
        <w:pStyle w:val="3"/>
        <w:spacing w:line="415" w:lineRule="auto"/>
        <w:rPr>
          <w:rFonts w:ascii="仿宋" w:hAnsi="仿宋" w:eastAsia="仿宋" w:cs="Times New Roman"/>
          <w:b w:val="0"/>
          <w:bCs w:val="0"/>
          <w:color w:val="000000"/>
        </w:rPr>
      </w:pPr>
      <w:bookmarkStart w:id="71" w:name="_Toc23235982"/>
      <w:r>
        <w:rPr>
          <w:rStyle w:val="18"/>
          <w:rFonts w:hint="eastAsia" w:ascii="仿宋" w:hAnsi="仿宋" w:eastAsia="仿宋" w:cs="仿宋"/>
          <w:b w:val="0"/>
          <w:bCs w:val="0"/>
        </w:rPr>
        <w:t>四、</w:t>
      </w:r>
      <w:r>
        <w:rPr>
          <w:rFonts w:hint="eastAsia" w:ascii="仿宋" w:hAnsi="仿宋" w:eastAsia="仿宋" w:cs="仿宋"/>
          <w:b w:val="0"/>
          <w:bCs w:val="0"/>
          <w:color w:val="000000"/>
        </w:rPr>
        <w:t>财</w:t>
      </w:r>
      <w:r>
        <w:rPr>
          <w:rStyle w:val="18"/>
          <w:rFonts w:hint="eastAsia" w:ascii="仿宋" w:hAnsi="仿宋" w:eastAsia="仿宋" w:cs="仿宋"/>
          <w:b w:val="0"/>
          <w:bCs w:val="0"/>
        </w:rPr>
        <w:t>政拨款收入支出决算总表</w:t>
      </w:r>
      <w:bookmarkEnd w:id="71"/>
    </w:p>
    <w:p>
      <w:pPr>
        <w:pStyle w:val="3"/>
        <w:spacing w:line="415" w:lineRule="auto"/>
        <w:rPr>
          <w:rFonts w:ascii="仿宋" w:hAnsi="仿宋" w:eastAsia="仿宋" w:cs="Times New Roman"/>
          <w:color w:val="000000"/>
        </w:rPr>
      </w:pPr>
      <w:bookmarkStart w:id="72" w:name="_Toc23235983"/>
      <w:r>
        <w:rPr>
          <w:rStyle w:val="18"/>
          <w:rFonts w:hint="eastAsia" w:ascii="仿宋" w:hAnsi="仿宋" w:eastAsia="仿宋" w:cs="仿宋"/>
          <w:b w:val="0"/>
          <w:bCs w:val="0"/>
        </w:rPr>
        <w:t>五、</w:t>
      </w:r>
      <w:r>
        <w:rPr>
          <w:rFonts w:hint="eastAsia" w:ascii="仿宋" w:hAnsi="仿宋" w:eastAsia="仿宋" w:cs="仿宋"/>
          <w:b w:val="0"/>
          <w:bCs w:val="0"/>
          <w:color w:val="000000"/>
        </w:rPr>
        <w:t>财</w:t>
      </w:r>
      <w:r>
        <w:rPr>
          <w:rStyle w:val="18"/>
          <w:rFonts w:hint="eastAsia" w:ascii="仿宋" w:hAnsi="仿宋" w:eastAsia="仿宋" w:cs="仿宋"/>
          <w:b w:val="0"/>
          <w:bCs w:val="0"/>
        </w:rPr>
        <w:t>政拨款支出决算明细表（政府经济分类科目）</w:t>
      </w:r>
      <w:bookmarkEnd w:id="72"/>
    </w:p>
    <w:p>
      <w:pPr>
        <w:pStyle w:val="3"/>
        <w:spacing w:line="415" w:lineRule="auto"/>
        <w:rPr>
          <w:rFonts w:ascii="仿宋" w:hAnsi="仿宋" w:eastAsia="仿宋" w:cs="Times New Roman"/>
          <w:color w:val="000000"/>
        </w:rPr>
      </w:pPr>
      <w:bookmarkStart w:id="73" w:name="_Toc23235984"/>
      <w:r>
        <w:rPr>
          <w:rStyle w:val="18"/>
          <w:rFonts w:hint="eastAsia" w:ascii="仿宋" w:hAnsi="仿宋" w:eastAsia="仿宋" w:cs="仿宋"/>
          <w:b w:val="0"/>
          <w:bCs w:val="0"/>
        </w:rPr>
        <w:t>六、</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般公共预算财政拨款支出决算表</w:t>
      </w:r>
      <w:bookmarkEnd w:id="73"/>
    </w:p>
    <w:p>
      <w:pPr>
        <w:pStyle w:val="3"/>
        <w:spacing w:line="415" w:lineRule="auto"/>
        <w:rPr>
          <w:rFonts w:ascii="仿宋" w:hAnsi="仿宋" w:eastAsia="仿宋" w:cs="Times New Roman"/>
          <w:color w:val="000000"/>
        </w:rPr>
      </w:pPr>
      <w:bookmarkStart w:id="74" w:name="_Toc23235985"/>
      <w:r>
        <w:rPr>
          <w:rStyle w:val="18"/>
          <w:rFonts w:hint="eastAsia" w:ascii="仿宋" w:hAnsi="仿宋" w:eastAsia="仿宋" w:cs="仿宋"/>
          <w:b w:val="0"/>
          <w:bCs w:val="0"/>
        </w:rPr>
        <w:t>七、</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般公共预算财政拨款支出决算明细表</w:t>
      </w:r>
      <w:bookmarkEnd w:id="74"/>
    </w:p>
    <w:p>
      <w:pPr>
        <w:pStyle w:val="3"/>
        <w:spacing w:line="415" w:lineRule="auto"/>
        <w:rPr>
          <w:rFonts w:ascii="仿宋" w:hAnsi="仿宋" w:eastAsia="仿宋" w:cs="Times New Roman"/>
          <w:color w:val="000000"/>
        </w:rPr>
      </w:pPr>
      <w:bookmarkStart w:id="75" w:name="_Toc23235986"/>
      <w:r>
        <w:rPr>
          <w:rStyle w:val="18"/>
          <w:rFonts w:hint="eastAsia" w:ascii="仿宋" w:hAnsi="仿宋" w:eastAsia="仿宋" w:cs="仿宋"/>
          <w:b w:val="0"/>
          <w:bCs w:val="0"/>
        </w:rPr>
        <w:t>八、</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般公共预算财政拨款基本支出决算表</w:t>
      </w:r>
      <w:bookmarkEnd w:id="75"/>
    </w:p>
    <w:p>
      <w:pPr>
        <w:pStyle w:val="3"/>
        <w:spacing w:line="415" w:lineRule="auto"/>
        <w:rPr>
          <w:rFonts w:ascii="仿宋" w:hAnsi="仿宋" w:eastAsia="仿宋" w:cs="Times New Roman"/>
          <w:color w:val="000000"/>
        </w:rPr>
      </w:pPr>
      <w:bookmarkStart w:id="76" w:name="_Toc23235987"/>
      <w:r>
        <w:rPr>
          <w:rStyle w:val="18"/>
          <w:rFonts w:hint="eastAsia" w:ascii="仿宋" w:hAnsi="仿宋" w:eastAsia="仿宋" w:cs="仿宋"/>
          <w:b w:val="0"/>
          <w:bCs w:val="0"/>
        </w:rPr>
        <w:t>九、</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般公共预算财政拨款项目支出决算表</w:t>
      </w:r>
      <w:bookmarkEnd w:id="76"/>
    </w:p>
    <w:p>
      <w:pPr>
        <w:pStyle w:val="3"/>
        <w:spacing w:line="415" w:lineRule="auto"/>
        <w:rPr>
          <w:rFonts w:ascii="仿宋" w:hAnsi="仿宋" w:eastAsia="仿宋" w:cs="Times New Roman"/>
          <w:color w:val="000000"/>
        </w:rPr>
      </w:pPr>
      <w:bookmarkStart w:id="77" w:name="_Toc23235988"/>
      <w:r>
        <w:rPr>
          <w:rStyle w:val="18"/>
          <w:rFonts w:hint="eastAsia" w:ascii="仿宋" w:hAnsi="仿宋" w:eastAsia="仿宋" w:cs="仿宋"/>
          <w:b w:val="0"/>
          <w:bCs w:val="0"/>
        </w:rPr>
        <w:t>十、</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般公共预算财政拨款“三公”经费支出决算表</w:t>
      </w:r>
      <w:bookmarkEnd w:id="77"/>
    </w:p>
    <w:p>
      <w:pPr>
        <w:pStyle w:val="3"/>
        <w:spacing w:line="415" w:lineRule="auto"/>
        <w:rPr>
          <w:rFonts w:ascii="仿宋" w:hAnsi="仿宋" w:eastAsia="仿宋" w:cs="Times New Roman"/>
          <w:color w:val="000000"/>
        </w:rPr>
      </w:pPr>
      <w:bookmarkStart w:id="78" w:name="_Toc23235989"/>
      <w:r>
        <w:rPr>
          <w:rStyle w:val="18"/>
          <w:rFonts w:hint="eastAsia" w:ascii="仿宋" w:hAnsi="仿宋" w:eastAsia="仿宋" w:cs="仿宋"/>
          <w:b w:val="0"/>
          <w:bCs w:val="0"/>
        </w:rPr>
        <w:t>十一、</w:t>
      </w:r>
      <w:r>
        <w:rPr>
          <w:rFonts w:hint="eastAsia" w:ascii="仿宋" w:hAnsi="仿宋" w:eastAsia="仿宋" w:cs="仿宋"/>
          <w:b w:val="0"/>
          <w:bCs w:val="0"/>
          <w:color w:val="000000"/>
        </w:rPr>
        <w:t>政</w:t>
      </w:r>
      <w:r>
        <w:rPr>
          <w:rStyle w:val="18"/>
          <w:rFonts w:hint="eastAsia" w:ascii="仿宋" w:hAnsi="仿宋" w:eastAsia="仿宋" w:cs="仿宋"/>
          <w:b w:val="0"/>
          <w:bCs w:val="0"/>
        </w:rPr>
        <w:t>府性基金预算财政拨款收入支出决算表</w:t>
      </w:r>
      <w:bookmarkEnd w:id="78"/>
    </w:p>
    <w:p>
      <w:pPr>
        <w:pStyle w:val="3"/>
        <w:spacing w:line="415" w:lineRule="auto"/>
        <w:rPr>
          <w:rFonts w:ascii="仿宋" w:hAnsi="仿宋" w:eastAsia="仿宋" w:cs="Times New Roman"/>
          <w:color w:val="000000"/>
        </w:rPr>
      </w:pPr>
      <w:bookmarkStart w:id="79" w:name="_Toc23235990"/>
      <w:r>
        <w:rPr>
          <w:rStyle w:val="18"/>
          <w:rFonts w:hint="eastAsia" w:ascii="仿宋" w:hAnsi="仿宋" w:eastAsia="仿宋" w:cs="仿宋"/>
          <w:b w:val="0"/>
          <w:bCs w:val="0"/>
        </w:rPr>
        <w:t>十二、</w:t>
      </w:r>
      <w:r>
        <w:rPr>
          <w:rFonts w:hint="eastAsia" w:ascii="仿宋" w:hAnsi="仿宋" w:eastAsia="仿宋" w:cs="仿宋"/>
          <w:b w:val="0"/>
          <w:bCs w:val="0"/>
          <w:color w:val="000000"/>
        </w:rPr>
        <w:t>政</w:t>
      </w:r>
      <w:r>
        <w:rPr>
          <w:rStyle w:val="18"/>
          <w:rFonts w:hint="eastAsia" w:ascii="仿宋" w:hAnsi="仿宋" w:eastAsia="仿宋" w:cs="仿宋"/>
          <w:b w:val="0"/>
          <w:bCs w:val="0"/>
        </w:rPr>
        <w:t>府性基金预算财政拨款“三公”经费支出决算表</w:t>
      </w:r>
      <w:bookmarkEnd w:id="79"/>
    </w:p>
    <w:p>
      <w:pPr>
        <w:pStyle w:val="3"/>
        <w:spacing w:line="415" w:lineRule="auto"/>
        <w:rPr>
          <w:rFonts w:ascii="仿宋" w:hAnsi="仿宋" w:eastAsia="仿宋" w:cs="Times New Roman"/>
          <w:color w:val="000000"/>
        </w:rPr>
      </w:pPr>
      <w:bookmarkStart w:id="80" w:name="_Toc23235991"/>
      <w:r>
        <w:rPr>
          <w:rStyle w:val="18"/>
          <w:rFonts w:hint="eastAsia" w:ascii="仿宋" w:hAnsi="仿宋" w:eastAsia="仿宋" w:cs="仿宋"/>
          <w:b w:val="0"/>
          <w:bCs w:val="0"/>
        </w:rPr>
        <w:t>十三、</w:t>
      </w:r>
      <w:r>
        <w:rPr>
          <w:rFonts w:hint="eastAsia" w:ascii="仿宋" w:hAnsi="仿宋" w:eastAsia="仿宋" w:cs="仿宋"/>
          <w:b w:val="0"/>
          <w:bCs w:val="0"/>
          <w:color w:val="000000"/>
        </w:rPr>
        <w:t>国</w:t>
      </w:r>
      <w:r>
        <w:rPr>
          <w:rStyle w:val="18"/>
          <w:rFonts w:hint="eastAsia" w:ascii="仿宋" w:hAnsi="仿宋" w:eastAsia="仿宋" w:cs="仿宋"/>
          <w:b w:val="0"/>
          <w:bCs w:val="0"/>
        </w:rPr>
        <w:t>有资本经营预算支出决算表</w:t>
      </w:r>
      <w:bookmarkEnd w:id="80"/>
    </w:p>
    <w:sectPr>
      <w:pgSz w:w="11906" w:h="16838"/>
      <w:pgMar w:top="1701" w:right="1474" w:bottom="1588" w:left="1531"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1</w:t>
    </w:r>
    <w:r>
      <w:fldChar w:fldCharType="end"/>
    </w:r>
  </w:p>
  <w:p>
    <w:pPr>
      <w:pStyle w:val="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23</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C0BEF30"/>
    <w:multiLevelType w:val="singleLevel"/>
    <w:tmpl w:val="EC0BEF30"/>
    <w:lvl w:ilvl="0" w:tentative="0">
      <w:start w:val="1"/>
      <w:numFmt w:val="chineseCounting"/>
      <w:suff w:val="nothing"/>
      <w:lvlText w:val="（%1）"/>
      <w:lvlJc w:val="left"/>
      <w:rPr>
        <w:rFonts w:hint="eastAsia" w:ascii="楷体_GB2312" w:hAnsi="楷体_GB2312" w:eastAsia="楷体_GB2312"/>
        <w:b/>
        <w:bCs/>
        <w:sz w:val="32"/>
        <w:szCs w:val="32"/>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QxYTgxZjU5ZjRiNGQyMmEwOGZhNjZhNzIzZDA3ZjUifQ=="/>
  </w:docVars>
  <w:rsids>
    <w:rsidRoot w:val="00F1361C"/>
    <w:rsid w:val="000222C6"/>
    <w:rsid w:val="0002549F"/>
    <w:rsid w:val="00032A30"/>
    <w:rsid w:val="0003573F"/>
    <w:rsid w:val="00036A67"/>
    <w:rsid w:val="00041DF4"/>
    <w:rsid w:val="00046648"/>
    <w:rsid w:val="00053738"/>
    <w:rsid w:val="00054604"/>
    <w:rsid w:val="0006487A"/>
    <w:rsid w:val="00065F8F"/>
    <w:rsid w:val="000768F2"/>
    <w:rsid w:val="00081432"/>
    <w:rsid w:val="0009159A"/>
    <w:rsid w:val="0009184B"/>
    <w:rsid w:val="0009593C"/>
    <w:rsid w:val="000B047F"/>
    <w:rsid w:val="000B23E1"/>
    <w:rsid w:val="000B5923"/>
    <w:rsid w:val="000B5A48"/>
    <w:rsid w:val="000B5ABD"/>
    <w:rsid w:val="000B6FF3"/>
    <w:rsid w:val="000C3467"/>
    <w:rsid w:val="000C3CA6"/>
    <w:rsid w:val="000D1267"/>
    <w:rsid w:val="000D1D50"/>
    <w:rsid w:val="000D5782"/>
    <w:rsid w:val="000E2DE6"/>
    <w:rsid w:val="000E6613"/>
    <w:rsid w:val="000E7119"/>
    <w:rsid w:val="000F2BD5"/>
    <w:rsid w:val="000F37AD"/>
    <w:rsid w:val="00114E9B"/>
    <w:rsid w:val="0011761D"/>
    <w:rsid w:val="001245F7"/>
    <w:rsid w:val="00143EC9"/>
    <w:rsid w:val="0014729F"/>
    <w:rsid w:val="00152A9C"/>
    <w:rsid w:val="00157167"/>
    <w:rsid w:val="00157BAB"/>
    <w:rsid w:val="001654D1"/>
    <w:rsid w:val="00172A07"/>
    <w:rsid w:val="00176B76"/>
    <w:rsid w:val="0018106D"/>
    <w:rsid w:val="001877A7"/>
    <w:rsid w:val="00191536"/>
    <w:rsid w:val="00196687"/>
    <w:rsid w:val="001A127D"/>
    <w:rsid w:val="001A6AB6"/>
    <w:rsid w:val="001C0962"/>
    <w:rsid w:val="001D0CFD"/>
    <w:rsid w:val="001D7531"/>
    <w:rsid w:val="001D7699"/>
    <w:rsid w:val="001E3430"/>
    <w:rsid w:val="001E57C4"/>
    <w:rsid w:val="001E737D"/>
    <w:rsid w:val="001F0592"/>
    <w:rsid w:val="001F7506"/>
    <w:rsid w:val="002006CD"/>
    <w:rsid w:val="00200ACA"/>
    <w:rsid w:val="002011C1"/>
    <w:rsid w:val="00202B36"/>
    <w:rsid w:val="002040CA"/>
    <w:rsid w:val="00204B7A"/>
    <w:rsid w:val="00205E9D"/>
    <w:rsid w:val="0021101A"/>
    <w:rsid w:val="00212151"/>
    <w:rsid w:val="00216817"/>
    <w:rsid w:val="00220536"/>
    <w:rsid w:val="00230B66"/>
    <w:rsid w:val="00235629"/>
    <w:rsid w:val="00260C38"/>
    <w:rsid w:val="0026110B"/>
    <w:rsid w:val="002616C0"/>
    <w:rsid w:val="00263CCE"/>
    <w:rsid w:val="002662AA"/>
    <w:rsid w:val="00280496"/>
    <w:rsid w:val="00281713"/>
    <w:rsid w:val="002842AB"/>
    <w:rsid w:val="00295495"/>
    <w:rsid w:val="00296042"/>
    <w:rsid w:val="002A7778"/>
    <w:rsid w:val="002B1B6C"/>
    <w:rsid w:val="002B2613"/>
    <w:rsid w:val="002B6987"/>
    <w:rsid w:val="002C0E6C"/>
    <w:rsid w:val="002C24A7"/>
    <w:rsid w:val="002C5F34"/>
    <w:rsid w:val="002C7769"/>
    <w:rsid w:val="002D0C69"/>
    <w:rsid w:val="002D5554"/>
    <w:rsid w:val="002F1818"/>
    <w:rsid w:val="002F567B"/>
    <w:rsid w:val="002F5F5F"/>
    <w:rsid w:val="00307B0D"/>
    <w:rsid w:val="003138EB"/>
    <w:rsid w:val="003216A9"/>
    <w:rsid w:val="00323E96"/>
    <w:rsid w:val="00330B3D"/>
    <w:rsid w:val="00331956"/>
    <w:rsid w:val="0037013F"/>
    <w:rsid w:val="00380C92"/>
    <w:rsid w:val="003A484F"/>
    <w:rsid w:val="003B0BE0"/>
    <w:rsid w:val="003B0C1B"/>
    <w:rsid w:val="003B0F7F"/>
    <w:rsid w:val="003B3831"/>
    <w:rsid w:val="003B688C"/>
    <w:rsid w:val="003C0291"/>
    <w:rsid w:val="003C39AE"/>
    <w:rsid w:val="003C7B60"/>
    <w:rsid w:val="003D1FB2"/>
    <w:rsid w:val="003D49E0"/>
    <w:rsid w:val="003D66DA"/>
    <w:rsid w:val="003E1310"/>
    <w:rsid w:val="003E6F55"/>
    <w:rsid w:val="00401E7D"/>
    <w:rsid w:val="00402A0D"/>
    <w:rsid w:val="00406254"/>
    <w:rsid w:val="00413C98"/>
    <w:rsid w:val="004223DE"/>
    <w:rsid w:val="00434489"/>
    <w:rsid w:val="00437085"/>
    <w:rsid w:val="00443880"/>
    <w:rsid w:val="00443CA2"/>
    <w:rsid w:val="004464F4"/>
    <w:rsid w:val="00450CB1"/>
    <w:rsid w:val="00463FB6"/>
    <w:rsid w:val="00471401"/>
    <w:rsid w:val="00473790"/>
    <w:rsid w:val="00473F31"/>
    <w:rsid w:val="00473FE6"/>
    <w:rsid w:val="0048263A"/>
    <w:rsid w:val="00487E5D"/>
    <w:rsid w:val="00490016"/>
    <w:rsid w:val="0049201A"/>
    <w:rsid w:val="004A47A3"/>
    <w:rsid w:val="004A711F"/>
    <w:rsid w:val="004B199D"/>
    <w:rsid w:val="004B4690"/>
    <w:rsid w:val="004C106A"/>
    <w:rsid w:val="004E0A2D"/>
    <w:rsid w:val="004E206B"/>
    <w:rsid w:val="004E6072"/>
    <w:rsid w:val="004E6DF7"/>
    <w:rsid w:val="004F0861"/>
    <w:rsid w:val="004F0FBD"/>
    <w:rsid w:val="00505A47"/>
    <w:rsid w:val="0050680B"/>
    <w:rsid w:val="005129D5"/>
    <w:rsid w:val="00512FDA"/>
    <w:rsid w:val="00514757"/>
    <w:rsid w:val="00520DA0"/>
    <w:rsid w:val="00522F33"/>
    <w:rsid w:val="0053070B"/>
    <w:rsid w:val="005664BB"/>
    <w:rsid w:val="0057481D"/>
    <w:rsid w:val="0058486E"/>
    <w:rsid w:val="00584BEB"/>
    <w:rsid w:val="005909E1"/>
    <w:rsid w:val="005A5B2A"/>
    <w:rsid w:val="005B4C66"/>
    <w:rsid w:val="005B56D6"/>
    <w:rsid w:val="005C65E3"/>
    <w:rsid w:val="005D1C8B"/>
    <w:rsid w:val="005D5CED"/>
    <w:rsid w:val="005F1A4C"/>
    <w:rsid w:val="00605688"/>
    <w:rsid w:val="006070AF"/>
    <w:rsid w:val="00607E6C"/>
    <w:rsid w:val="006101B1"/>
    <w:rsid w:val="00612306"/>
    <w:rsid w:val="00614E44"/>
    <w:rsid w:val="00622830"/>
    <w:rsid w:val="00630AEF"/>
    <w:rsid w:val="006325F8"/>
    <w:rsid w:val="00634C9A"/>
    <w:rsid w:val="006440E4"/>
    <w:rsid w:val="0064561F"/>
    <w:rsid w:val="006545E8"/>
    <w:rsid w:val="0066343B"/>
    <w:rsid w:val="00664777"/>
    <w:rsid w:val="00674844"/>
    <w:rsid w:val="006748A4"/>
    <w:rsid w:val="006801CF"/>
    <w:rsid w:val="00683E73"/>
    <w:rsid w:val="006A3141"/>
    <w:rsid w:val="006A5E34"/>
    <w:rsid w:val="006B1C3C"/>
    <w:rsid w:val="006B1D23"/>
    <w:rsid w:val="006B2422"/>
    <w:rsid w:val="006B2B9A"/>
    <w:rsid w:val="006B3F06"/>
    <w:rsid w:val="006B545E"/>
    <w:rsid w:val="006C0926"/>
    <w:rsid w:val="006C1937"/>
    <w:rsid w:val="006C38F0"/>
    <w:rsid w:val="006C52D9"/>
    <w:rsid w:val="006C7D1F"/>
    <w:rsid w:val="006E22BC"/>
    <w:rsid w:val="006F020C"/>
    <w:rsid w:val="00702C2C"/>
    <w:rsid w:val="00702DDC"/>
    <w:rsid w:val="00712049"/>
    <w:rsid w:val="007127B7"/>
    <w:rsid w:val="00722CCA"/>
    <w:rsid w:val="00730825"/>
    <w:rsid w:val="007416B6"/>
    <w:rsid w:val="00746F48"/>
    <w:rsid w:val="0075182A"/>
    <w:rsid w:val="0075404D"/>
    <w:rsid w:val="0076182A"/>
    <w:rsid w:val="00767B7E"/>
    <w:rsid w:val="007761CC"/>
    <w:rsid w:val="007770C3"/>
    <w:rsid w:val="00784D24"/>
    <w:rsid w:val="00785FBA"/>
    <w:rsid w:val="007860B2"/>
    <w:rsid w:val="00786AFB"/>
    <w:rsid w:val="00786E4A"/>
    <w:rsid w:val="007875EB"/>
    <w:rsid w:val="0079426B"/>
    <w:rsid w:val="00794D31"/>
    <w:rsid w:val="007A5F20"/>
    <w:rsid w:val="007A6C89"/>
    <w:rsid w:val="007B3FC3"/>
    <w:rsid w:val="007B56DB"/>
    <w:rsid w:val="007D312A"/>
    <w:rsid w:val="007D3F19"/>
    <w:rsid w:val="007D554D"/>
    <w:rsid w:val="007E19B5"/>
    <w:rsid w:val="007E23B0"/>
    <w:rsid w:val="007E7E4B"/>
    <w:rsid w:val="007F1991"/>
    <w:rsid w:val="007F2C2F"/>
    <w:rsid w:val="007F55FC"/>
    <w:rsid w:val="007F5665"/>
    <w:rsid w:val="00800112"/>
    <w:rsid w:val="00822261"/>
    <w:rsid w:val="008253BB"/>
    <w:rsid w:val="0083706E"/>
    <w:rsid w:val="008423A5"/>
    <w:rsid w:val="00842964"/>
    <w:rsid w:val="00850625"/>
    <w:rsid w:val="00853224"/>
    <w:rsid w:val="00853718"/>
    <w:rsid w:val="00855221"/>
    <w:rsid w:val="00857B14"/>
    <w:rsid w:val="00860645"/>
    <w:rsid w:val="00867B34"/>
    <w:rsid w:val="00871F71"/>
    <w:rsid w:val="0088057D"/>
    <w:rsid w:val="00885AF4"/>
    <w:rsid w:val="00886CDE"/>
    <w:rsid w:val="00893967"/>
    <w:rsid w:val="008939CD"/>
    <w:rsid w:val="008B4ABC"/>
    <w:rsid w:val="008B768C"/>
    <w:rsid w:val="008C4DB1"/>
    <w:rsid w:val="008C4EAF"/>
    <w:rsid w:val="008C5176"/>
    <w:rsid w:val="008C7FD0"/>
    <w:rsid w:val="008E1DE7"/>
    <w:rsid w:val="008E4056"/>
    <w:rsid w:val="008E498E"/>
    <w:rsid w:val="008E707C"/>
    <w:rsid w:val="00900B08"/>
    <w:rsid w:val="00902155"/>
    <w:rsid w:val="00902FA3"/>
    <w:rsid w:val="009041C2"/>
    <w:rsid w:val="00923564"/>
    <w:rsid w:val="0092392E"/>
    <w:rsid w:val="009315F9"/>
    <w:rsid w:val="00933C6E"/>
    <w:rsid w:val="00943EC3"/>
    <w:rsid w:val="00946945"/>
    <w:rsid w:val="00951219"/>
    <w:rsid w:val="00951248"/>
    <w:rsid w:val="0095152F"/>
    <w:rsid w:val="00951CD9"/>
    <w:rsid w:val="00954C49"/>
    <w:rsid w:val="0095569F"/>
    <w:rsid w:val="0097099F"/>
    <w:rsid w:val="00971997"/>
    <w:rsid w:val="00971FDB"/>
    <w:rsid w:val="00971FFC"/>
    <w:rsid w:val="00973259"/>
    <w:rsid w:val="0098660A"/>
    <w:rsid w:val="009931C3"/>
    <w:rsid w:val="009955D9"/>
    <w:rsid w:val="009A62F2"/>
    <w:rsid w:val="009B2C43"/>
    <w:rsid w:val="009B4EAE"/>
    <w:rsid w:val="009B7573"/>
    <w:rsid w:val="009C0FD3"/>
    <w:rsid w:val="009C22F4"/>
    <w:rsid w:val="009C2E98"/>
    <w:rsid w:val="009D3447"/>
    <w:rsid w:val="009D4711"/>
    <w:rsid w:val="009D6343"/>
    <w:rsid w:val="009E442C"/>
    <w:rsid w:val="009F0010"/>
    <w:rsid w:val="009F1185"/>
    <w:rsid w:val="009F1295"/>
    <w:rsid w:val="009F18CD"/>
    <w:rsid w:val="009F2A13"/>
    <w:rsid w:val="009F657B"/>
    <w:rsid w:val="00A04EB0"/>
    <w:rsid w:val="00A13CC1"/>
    <w:rsid w:val="00A16847"/>
    <w:rsid w:val="00A20431"/>
    <w:rsid w:val="00A2067B"/>
    <w:rsid w:val="00A206C9"/>
    <w:rsid w:val="00A20A06"/>
    <w:rsid w:val="00A237D8"/>
    <w:rsid w:val="00A268C4"/>
    <w:rsid w:val="00A307CD"/>
    <w:rsid w:val="00A37323"/>
    <w:rsid w:val="00A40A00"/>
    <w:rsid w:val="00A4142F"/>
    <w:rsid w:val="00A41F07"/>
    <w:rsid w:val="00A4378D"/>
    <w:rsid w:val="00A52E7E"/>
    <w:rsid w:val="00A56DF2"/>
    <w:rsid w:val="00A67AB5"/>
    <w:rsid w:val="00A7145E"/>
    <w:rsid w:val="00A76612"/>
    <w:rsid w:val="00A77422"/>
    <w:rsid w:val="00A80C00"/>
    <w:rsid w:val="00A91760"/>
    <w:rsid w:val="00A93B00"/>
    <w:rsid w:val="00A93C21"/>
    <w:rsid w:val="00A94126"/>
    <w:rsid w:val="00AA7665"/>
    <w:rsid w:val="00AC3C6A"/>
    <w:rsid w:val="00AC7849"/>
    <w:rsid w:val="00AD5620"/>
    <w:rsid w:val="00AD7C1B"/>
    <w:rsid w:val="00AE16BA"/>
    <w:rsid w:val="00AE1EBE"/>
    <w:rsid w:val="00AE32D2"/>
    <w:rsid w:val="00B00711"/>
    <w:rsid w:val="00B03048"/>
    <w:rsid w:val="00B03C9D"/>
    <w:rsid w:val="00B060AE"/>
    <w:rsid w:val="00B10517"/>
    <w:rsid w:val="00B10873"/>
    <w:rsid w:val="00B10FB0"/>
    <w:rsid w:val="00B14E76"/>
    <w:rsid w:val="00B161B8"/>
    <w:rsid w:val="00B2048C"/>
    <w:rsid w:val="00B218A2"/>
    <w:rsid w:val="00B23E86"/>
    <w:rsid w:val="00B310B9"/>
    <w:rsid w:val="00B35F3F"/>
    <w:rsid w:val="00B36086"/>
    <w:rsid w:val="00B36CBB"/>
    <w:rsid w:val="00B425E0"/>
    <w:rsid w:val="00B440AA"/>
    <w:rsid w:val="00B44B70"/>
    <w:rsid w:val="00B451BE"/>
    <w:rsid w:val="00B53C56"/>
    <w:rsid w:val="00B5624E"/>
    <w:rsid w:val="00B77EA6"/>
    <w:rsid w:val="00B81598"/>
    <w:rsid w:val="00B831E8"/>
    <w:rsid w:val="00B841F1"/>
    <w:rsid w:val="00B944D6"/>
    <w:rsid w:val="00B948DD"/>
    <w:rsid w:val="00BB4DF0"/>
    <w:rsid w:val="00BC289F"/>
    <w:rsid w:val="00BC4518"/>
    <w:rsid w:val="00BC5361"/>
    <w:rsid w:val="00BC5460"/>
    <w:rsid w:val="00BC6B50"/>
    <w:rsid w:val="00BD0E25"/>
    <w:rsid w:val="00BF5B80"/>
    <w:rsid w:val="00BF5BD6"/>
    <w:rsid w:val="00BF72D6"/>
    <w:rsid w:val="00C03E31"/>
    <w:rsid w:val="00C1532F"/>
    <w:rsid w:val="00C33E72"/>
    <w:rsid w:val="00C354B2"/>
    <w:rsid w:val="00C35554"/>
    <w:rsid w:val="00C3578C"/>
    <w:rsid w:val="00C35BBA"/>
    <w:rsid w:val="00C4126F"/>
    <w:rsid w:val="00C42709"/>
    <w:rsid w:val="00C43A9D"/>
    <w:rsid w:val="00C50389"/>
    <w:rsid w:val="00C533CC"/>
    <w:rsid w:val="00C5751C"/>
    <w:rsid w:val="00C61BFC"/>
    <w:rsid w:val="00C61D7B"/>
    <w:rsid w:val="00C62551"/>
    <w:rsid w:val="00C62B85"/>
    <w:rsid w:val="00C65438"/>
    <w:rsid w:val="00C66F4B"/>
    <w:rsid w:val="00C8201D"/>
    <w:rsid w:val="00C91CBB"/>
    <w:rsid w:val="00C9238F"/>
    <w:rsid w:val="00C9456B"/>
    <w:rsid w:val="00CC09B6"/>
    <w:rsid w:val="00CC666F"/>
    <w:rsid w:val="00CD1E3F"/>
    <w:rsid w:val="00CE44F6"/>
    <w:rsid w:val="00CE49DA"/>
    <w:rsid w:val="00CE6AA8"/>
    <w:rsid w:val="00CE7B61"/>
    <w:rsid w:val="00D00095"/>
    <w:rsid w:val="00D0043A"/>
    <w:rsid w:val="00D20620"/>
    <w:rsid w:val="00D23A5C"/>
    <w:rsid w:val="00D26091"/>
    <w:rsid w:val="00D34E7C"/>
    <w:rsid w:val="00D35489"/>
    <w:rsid w:val="00D4003B"/>
    <w:rsid w:val="00D51276"/>
    <w:rsid w:val="00D5148D"/>
    <w:rsid w:val="00D52274"/>
    <w:rsid w:val="00D7035F"/>
    <w:rsid w:val="00D76C0C"/>
    <w:rsid w:val="00D80BD9"/>
    <w:rsid w:val="00D875FB"/>
    <w:rsid w:val="00D97CCD"/>
    <w:rsid w:val="00DA65AC"/>
    <w:rsid w:val="00DB1913"/>
    <w:rsid w:val="00DB3946"/>
    <w:rsid w:val="00DC410D"/>
    <w:rsid w:val="00DC68CA"/>
    <w:rsid w:val="00DC7CBA"/>
    <w:rsid w:val="00DD2970"/>
    <w:rsid w:val="00DD73B7"/>
    <w:rsid w:val="00DF28BC"/>
    <w:rsid w:val="00DF34B9"/>
    <w:rsid w:val="00E01053"/>
    <w:rsid w:val="00E07ACF"/>
    <w:rsid w:val="00E113CE"/>
    <w:rsid w:val="00E21427"/>
    <w:rsid w:val="00E31C50"/>
    <w:rsid w:val="00E331A1"/>
    <w:rsid w:val="00E33202"/>
    <w:rsid w:val="00E336A9"/>
    <w:rsid w:val="00E50624"/>
    <w:rsid w:val="00E568DF"/>
    <w:rsid w:val="00E57A8B"/>
    <w:rsid w:val="00E64269"/>
    <w:rsid w:val="00E674AA"/>
    <w:rsid w:val="00E67B23"/>
    <w:rsid w:val="00E73B07"/>
    <w:rsid w:val="00E73B8C"/>
    <w:rsid w:val="00E74986"/>
    <w:rsid w:val="00E82267"/>
    <w:rsid w:val="00E8727D"/>
    <w:rsid w:val="00EA010F"/>
    <w:rsid w:val="00EA3CF7"/>
    <w:rsid w:val="00EA5195"/>
    <w:rsid w:val="00EB7D3C"/>
    <w:rsid w:val="00ED1B63"/>
    <w:rsid w:val="00ED3C1F"/>
    <w:rsid w:val="00ED4085"/>
    <w:rsid w:val="00ED420E"/>
    <w:rsid w:val="00EE2F57"/>
    <w:rsid w:val="00EF4C34"/>
    <w:rsid w:val="00EF77C6"/>
    <w:rsid w:val="00F05438"/>
    <w:rsid w:val="00F11A35"/>
    <w:rsid w:val="00F12194"/>
    <w:rsid w:val="00F1361C"/>
    <w:rsid w:val="00F15B93"/>
    <w:rsid w:val="00F160C7"/>
    <w:rsid w:val="00F16F79"/>
    <w:rsid w:val="00F34931"/>
    <w:rsid w:val="00F36D8F"/>
    <w:rsid w:val="00F417B1"/>
    <w:rsid w:val="00F41DB9"/>
    <w:rsid w:val="00F42B8A"/>
    <w:rsid w:val="00F44BB0"/>
    <w:rsid w:val="00F5566F"/>
    <w:rsid w:val="00F602DF"/>
    <w:rsid w:val="00F745DA"/>
    <w:rsid w:val="00F81FD9"/>
    <w:rsid w:val="00F841AA"/>
    <w:rsid w:val="00F93026"/>
    <w:rsid w:val="00FA20E0"/>
    <w:rsid w:val="00FA23E8"/>
    <w:rsid w:val="00FA382C"/>
    <w:rsid w:val="00FA7DC6"/>
    <w:rsid w:val="00FB481A"/>
    <w:rsid w:val="00FC49C3"/>
    <w:rsid w:val="00FD2510"/>
    <w:rsid w:val="00FD2EF5"/>
    <w:rsid w:val="00FD3CC1"/>
    <w:rsid w:val="00FF0875"/>
    <w:rsid w:val="00FF1E02"/>
    <w:rsid w:val="00FF2645"/>
    <w:rsid w:val="00FF30B4"/>
    <w:rsid w:val="10C055FF"/>
    <w:rsid w:val="16BB723D"/>
    <w:rsid w:val="240371BF"/>
    <w:rsid w:val="29FD04D3"/>
    <w:rsid w:val="319F7F4E"/>
    <w:rsid w:val="3EDA122B"/>
    <w:rsid w:val="5DEE5127"/>
    <w:rsid w:val="7DEC02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39" w:semiHidden="0" w:name="toc 1"/>
    <w:lsdException w:unhideWhenUsed="0" w:uiPriority="39" w:semiHidden="0" w:name="toc 2"/>
    <w:lsdException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Body Text"/>
    <w:basedOn w:val="1"/>
    <w:link w:val="26"/>
    <w:uiPriority w:val="99"/>
    <w:pPr>
      <w:spacing w:beforeLines="30"/>
    </w:pPr>
    <w:rPr>
      <w:rFonts w:ascii="仿宋_GB2312" w:eastAsia="仿宋_GB2312" w:cs="仿宋_GB2312"/>
      <w:kern w:val="0"/>
      <w:sz w:val="24"/>
      <w:szCs w:val="24"/>
    </w:rPr>
  </w:style>
  <w:style w:type="paragraph" w:styleId="6">
    <w:name w:val="toc 3"/>
    <w:basedOn w:val="1"/>
    <w:next w:val="1"/>
    <w:semiHidden/>
    <w:uiPriority w:val="99"/>
    <w:pPr>
      <w:tabs>
        <w:tab w:val="right" w:leader="dot" w:pos="8296"/>
      </w:tabs>
      <w:ind w:left="840" w:leftChars="400"/>
    </w:pPr>
  </w:style>
  <w:style w:type="paragraph" w:styleId="7">
    <w:name w:val="Balloon Text"/>
    <w:basedOn w:val="1"/>
    <w:link w:val="21"/>
    <w:semiHidden/>
    <w:uiPriority w:val="99"/>
    <w:rPr>
      <w:sz w:val="18"/>
      <w:szCs w:val="18"/>
    </w:rPr>
  </w:style>
  <w:style w:type="paragraph" w:styleId="8">
    <w:name w:val="footer"/>
    <w:basedOn w:val="1"/>
    <w:link w:val="25"/>
    <w:uiPriority w:val="99"/>
    <w:pPr>
      <w:tabs>
        <w:tab w:val="center" w:pos="4153"/>
        <w:tab w:val="right" w:pos="8306"/>
      </w:tabs>
      <w:snapToGrid w:val="0"/>
      <w:jc w:val="left"/>
    </w:pPr>
    <w:rPr>
      <w:rFonts w:ascii="Calibri" w:hAnsi="Calibri" w:cs="Calibri"/>
      <w:kern w:val="0"/>
      <w:sz w:val="18"/>
      <w:szCs w:val="18"/>
    </w:rPr>
  </w:style>
  <w:style w:type="paragraph" w:styleId="9">
    <w:name w:val="header"/>
    <w:basedOn w:val="1"/>
    <w:link w:val="24"/>
    <w:semiHidden/>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0">
    <w:name w:val="toc 1"/>
    <w:basedOn w:val="1"/>
    <w:next w:val="1"/>
    <w:uiPriority w:val="39"/>
    <w:pPr>
      <w:tabs>
        <w:tab w:val="right" w:leader="dot" w:pos="8296"/>
      </w:tabs>
      <w:spacing w:before="93"/>
      <w:jc w:val="center"/>
    </w:pPr>
    <w:rPr>
      <w:rFonts w:ascii="仿宋" w:hAnsi="仿宋" w:eastAsia="仿宋" w:cs="仿宋"/>
      <w:sz w:val="28"/>
      <w:szCs w:val="28"/>
    </w:rPr>
  </w:style>
  <w:style w:type="paragraph" w:styleId="11">
    <w:name w:val="toc 2"/>
    <w:basedOn w:val="1"/>
    <w:next w:val="1"/>
    <w:uiPriority w:val="39"/>
    <w:pPr>
      <w:tabs>
        <w:tab w:val="left" w:pos="1260"/>
        <w:tab w:val="right" w:leader="dot" w:pos="7980"/>
        <w:tab w:val="right" w:leader="dot" w:pos="8296"/>
        <w:tab w:val="right" w:leader="dot" w:pos="8400"/>
      </w:tabs>
    </w:pPr>
  </w:style>
  <w:style w:type="table" w:styleId="13">
    <w:name w:val="Table Grid"/>
    <w:basedOn w:val="12"/>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99"/>
    <w:rPr>
      <w:b/>
      <w:bCs/>
    </w:rPr>
  </w:style>
  <w:style w:type="character" w:styleId="16">
    <w:name w:val="Hyperlink"/>
    <w:uiPriority w:val="99"/>
    <w:rPr>
      <w:color w:val="0000FF"/>
      <w:u w:val="single"/>
    </w:rPr>
  </w:style>
  <w:style w:type="character" w:customStyle="1" w:styleId="17">
    <w:name w:val="标题 1 Char"/>
    <w:link w:val="2"/>
    <w:locked/>
    <w:uiPriority w:val="99"/>
    <w:rPr>
      <w:rFonts w:ascii="Times New Roman" w:hAnsi="Times New Roman" w:cs="Times New Roman"/>
      <w:b/>
      <w:bCs/>
      <w:kern w:val="44"/>
      <w:sz w:val="44"/>
      <w:szCs w:val="44"/>
    </w:rPr>
  </w:style>
  <w:style w:type="character" w:customStyle="1" w:styleId="18">
    <w:name w:val="标题 2 Char"/>
    <w:link w:val="3"/>
    <w:locked/>
    <w:uiPriority w:val="99"/>
    <w:rPr>
      <w:rFonts w:ascii="Cambria" w:hAnsi="Cambria" w:eastAsia="宋体" w:cs="Cambria"/>
      <w:b/>
      <w:bCs/>
      <w:kern w:val="2"/>
      <w:sz w:val="32"/>
      <w:szCs w:val="32"/>
    </w:rPr>
  </w:style>
  <w:style w:type="character" w:customStyle="1" w:styleId="19">
    <w:name w:val="标题 3 Char"/>
    <w:link w:val="4"/>
    <w:locked/>
    <w:uiPriority w:val="99"/>
    <w:rPr>
      <w:rFonts w:ascii="Times New Roman" w:hAnsi="Times New Roman" w:cs="Times New Roman"/>
      <w:b/>
      <w:bCs/>
      <w:kern w:val="2"/>
      <w:sz w:val="32"/>
      <w:szCs w:val="32"/>
    </w:rPr>
  </w:style>
  <w:style w:type="character" w:customStyle="1" w:styleId="20">
    <w:name w:val="Body Text Char"/>
    <w:semiHidden/>
    <w:locked/>
    <w:uiPriority w:val="99"/>
    <w:rPr>
      <w:rFonts w:ascii="Times New Roman" w:hAnsi="Times New Roman" w:cs="Times New Roman"/>
      <w:sz w:val="24"/>
      <w:szCs w:val="24"/>
    </w:rPr>
  </w:style>
  <w:style w:type="character" w:customStyle="1" w:styleId="21">
    <w:name w:val="批注框文本 Char"/>
    <w:link w:val="7"/>
    <w:semiHidden/>
    <w:locked/>
    <w:uiPriority w:val="99"/>
    <w:rPr>
      <w:rFonts w:ascii="Times New Roman" w:hAnsi="Times New Roman" w:cs="Times New Roman"/>
      <w:kern w:val="2"/>
      <w:sz w:val="18"/>
      <w:szCs w:val="18"/>
    </w:rPr>
  </w:style>
  <w:style w:type="character" w:customStyle="1" w:styleId="22">
    <w:name w:val="Footer Char"/>
    <w:semiHidden/>
    <w:locked/>
    <w:uiPriority w:val="99"/>
    <w:rPr>
      <w:rFonts w:ascii="Times New Roman" w:hAnsi="Times New Roman" w:cs="Times New Roman"/>
      <w:sz w:val="18"/>
      <w:szCs w:val="18"/>
    </w:rPr>
  </w:style>
  <w:style w:type="character" w:customStyle="1" w:styleId="23">
    <w:name w:val="Header Char"/>
    <w:semiHidden/>
    <w:locked/>
    <w:uiPriority w:val="99"/>
    <w:rPr>
      <w:rFonts w:ascii="Times New Roman" w:hAnsi="Times New Roman" w:cs="Times New Roman"/>
      <w:sz w:val="18"/>
      <w:szCs w:val="18"/>
    </w:rPr>
  </w:style>
  <w:style w:type="character" w:customStyle="1" w:styleId="24">
    <w:name w:val="页眉 Char"/>
    <w:link w:val="9"/>
    <w:semiHidden/>
    <w:locked/>
    <w:uiPriority w:val="99"/>
    <w:rPr>
      <w:sz w:val="18"/>
      <w:szCs w:val="18"/>
    </w:rPr>
  </w:style>
  <w:style w:type="character" w:customStyle="1" w:styleId="25">
    <w:name w:val="页脚 Char"/>
    <w:link w:val="8"/>
    <w:locked/>
    <w:uiPriority w:val="99"/>
    <w:rPr>
      <w:sz w:val="18"/>
      <w:szCs w:val="18"/>
    </w:rPr>
  </w:style>
  <w:style w:type="character" w:customStyle="1" w:styleId="26">
    <w:name w:val="正文文本 Char"/>
    <w:link w:val="5"/>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8">
    <w:name w:val="列出段落1"/>
    <w:basedOn w:val="1"/>
    <w:uiPriority w:val="99"/>
    <w:pPr>
      <w:ind w:firstLine="420" w:firstLineChars="200"/>
    </w:pPr>
  </w:style>
  <w:style w:type="paragraph" w:customStyle="1" w:styleId="29">
    <w:name w:val="TOC 标题1"/>
    <w:basedOn w:val="2"/>
    <w:next w:val="1"/>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0">
    <w:name w:val="〖C01〗正文"/>
    <w:uiPriority w:val="99"/>
    <w:pPr>
      <w:widowControl w:val="0"/>
      <w:topLinePunct/>
      <w:spacing w:line="600" w:lineRule="exact"/>
      <w:ind w:firstLine="637" w:firstLineChars="200"/>
    </w:pPr>
    <w:rPr>
      <w:rFonts w:ascii="仿宋_GB2312" w:hAnsi="Calibri" w:eastAsia="仿宋_GB2312" w:cs="仿宋_GB2312"/>
      <w:kern w:val="2"/>
      <w:sz w:val="32"/>
      <w:szCs w:val="32"/>
      <w:lang w:val="en-US" w:eastAsia="zh-CN" w:bidi="ar-SA"/>
    </w:rPr>
  </w:style>
  <w:style w:type="paragraph" w:customStyle="1" w:styleId="31">
    <w:name w:val="Char Char Char Char"/>
    <w:basedOn w:val="1"/>
    <w:uiPriority w:val="99"/>
    <w:pPr>
      <w:widowControl/>
      <w:spacing w:after="16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w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wmf"/><Relationship Id="rId11" Type="http://schemas.openxmlformats.org/officeDocument/2006/relationships/oleObject" Target="embeddings/oleObject3.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EE23B4-ABBD-40C2-BBF5-2B1BCEFAF86C}">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15610</Words>
  <Characters>16774</Characters>
  <Lines>137</Lines>
  <Paragraphs>38</Paragraphs>
  <TotalTime>252</TotalTime>
  <ScaleCrop>false</ScaleCrop>
  <LinksUpToDate>false</LinksUpToDate>
  <CharactersWithSpaces>16831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2019-10-24T03:40:00Z</dcterms:created>
  <dc:creator>张彬茜</dc:creator>
  <cp:lastModifiedBy>小王爷Lee</cp:lastModifiedBy>
  <cp:lastPrinted>2019-10-28T02:22:00Z</cp:lastPrinted>
  <dcterms:modified xsi:type="dcterms:W3CDTF">2026-08-25T04:04:12Z</dcterms:modified>
  <dc:title>四川省***</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4FF5923BC17D4E1689D89685961777CE_12</vt:lpwstr>
  </property>
</Properties>
</file>