
<file path=[Content_Types].xml><?xml version="1.0" encoding="utf-8"?>
<Types xmlns="http://schemas.openxmlformats.org/package/2006/content-types">
  <Default Extension="xlsx" ContentType="application/vnd.openxmlformats-officedocument.spreadsheetml.shee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96475"/>
      <w:bookmarkStart w:id="2" w:name="_Toc15377193"/>
      <w:bookmarkStart w:id="3" w:name="_Toc15377425"/>
      <w:bookmarkStart w:id="4" w:name="_Toc15378441"/>
      <w:bookmarkStart w:id="5" w:name="_Toc15396597"/>
      <w:r>
        <w:rPr>
          <w:rFonts w:ascii="黑体" w:hAnsi="黑体" w:eastAsia="黑体"/>
          <w:color w:val="000000"/>
          <w:sz w:val="72"/>
          <w:szCs w:val="72"/>
        </w:rPr>
        <w:t>201</w:t>
      </w:r>
      <w:r>
        <w:rPr>
          <w:rFonts w:hint="eastAsia" w:ascii="黑体" w:hAnsi="黑体" w:eastAsia="黑体"/>
          <w:color w:val="000000"/>
          <w:sz w:val="72"/>
          <w:szCs w:val="72"/>
        </w:rPr>
        <w:t>8</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77426"/>
      <w:bookmarkStart w:id="7" w:name="_Toc15396598"/>
      <w:bookmarkStart w:id="8" w:name="_Toc15377194"/>
      <w:bookmarkStart w:id="9" w:name="_Toc15396476"/>
      <w:bookmarkStart w:id="10" w:name="_Toc15378442"/>
      <w:r>
        <w:rPr>
          <w:rFonts w:hint="eastAsia" w:ascii="方正小标宋简体" w:hAnsi="宋体" w:eastAsia="方正小标宋简体"/>
          <w:color w:val="000000"/>
          <w:sz w:val="72"/>
          <w:szCs w:val="72"/>
        </w:rPr>
        <w:t>四川省乐山市井研县</w:t>
      </w:r>
      <w:bookmarkEnd w:id="0"/>
      <w:bookmarkStart w:id="11" w:name="_Toc15306268"/>
      <w:r>
        <w:rPr>
          <w:rFonts w:hint="eastAsia" w:ascii="方正小标宋简体" w:hAnsi="宋体" w:eastAsia="方正小标宋简体"/>
          <w:color w:val="000000"/>
          <w:sz w:val="72"/>
          <w:szCs w:val="72"/>
        </w:rPr>
        <w:t>门坎乡人民政府部门决算</w:t>
      </w:r>
      <w:bookmarkEnd w:id="6"/>
      <w:bookmarkEnd w:id="7"/>
      <w:bookmarkEnd w:id="8"/>
      <w:bookmarkEnd w:id="9"/>
      <w:bookmarkEnd w:id="10"/>
      <w:bookmarkEnd w:id="11"/>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8"/>
      </w:pPr>
      <w:r>
        <w:rPr>
          <w:rFonts w:hint="eastAsia"/>
        </w:rPr>
        <w:t>公开时间：2019年11月1日</w:t>
      </w:r>
    </w:p>
    <w:p/>
    <w:p>
      <w:pPr>
        <w:pStyle w:val="8"/>
        <w:rPr>
          <w:rFonts w:cstheme="minorBidi"/>
        </w:rPr>
      </w:pPr>
      <w:r>
        <w:fldChar w:fldCharType="begin"/>
      </w:r>
      <w:r>
        <w:instrText xml:space="preserve"> HYPERLINK \l "_Toc15396599" </w:instrText>
      </w:r>
      <w:r>
        <w:fldChar w:fldCharType="separate"/>
      </w:r>
      <w:r>
        <w:rPr>
          <w:rStyle w:val="13"/>
          <w:rFonts w:hint="eastAsia"/>
        </w:rPr>
        <w:t>第一部分部门概况</w:t>
      </w:r>
      <w:r>
        <w:tab/>
      </w:r>
      <w:r>
        <w:rPr>
          <w:rFonts w:hint="eastAsia"/>
        </w:rPr>
        <w:t>4</w:t>
      </w:r>
      <w:r>
        <w:rPr>
          <w:rFonts w:hint="eastAsia"/>
        </w:rPr>
        <w:fldChar w:fldCharType="end"/>
      </w:r>
    </w:p>
    <w:p>
      <w:pPr>
        <w:pStyle w:val="9"/>
        <w:rPr>
          <w:rFonts w:ascii="仿宋" w:hAnsi="仿宋" w:eastAsia="仿宋" w:cstheme="minorBidi"/>
          <w:sz w:val="28"/>
          <w:szCs w:val="28"/>
        </w:rPr>
      </w:pPr>
      <w:r>
        <w:fldChar w:fldCharType="begin"/>
      </w:r>
      <w:r>
        <w:instrText xml:space="preserve"> HYPERLINK \l "_Toc15396600" </w:instrText>
      </w:r>
      <w:r>
        <w:fldChar w:fldCharType="separate"/>
      </w:r>
      <w:r>
        <w:rPr>
          <w:rStyle w:val="13"/>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9"/>
        <w:rPr>
          <w:rFonts w:ascii="仿宋" w:hAnsi="仿宋" w:eastAsia="仿宋" w:cstheme="minorBidi"/>
          <w:sz w:val="28"/>
          <w:szCs w:val="28"/>
        </w:rPr>
      </w:pPr>
      <w:r>
        <w:fldChar w:fldCharType="begin"/>
      </w:r>
      <w:r>
        <w:instrText xml:space="preserve"> HYPERLINK \l "_Toc15396601" </w:instrText>
      </w:r>
      <w:r>
        <w:fldChar w:fldCharType="separate"/>
      </w:r>
      <w:r>
        <w:rPr>
          <w:rStyle w:val="13"/>
          <w:rFonts w:hint="eastAsia" w:ascii="仿宋" w:hAnsi="仿宋" w:eastAsia="仿宋"/>
          <w:sz w:val="28"/>
          <w:szCs w:val="28"/>
        </w:rPr>
        <w:t>二、机构设置</w:t>
      </w:r>
      <w:r>
        <w:rPr>
          <w:rFonts w:ascii="仿宋" w:hAnsi="仿宋" w:eastAsia="仿宋"/>
          <w:sz w:val="28"/>
          <w:szCs w:val="28"/>
        </w:rPr>
        <w:tab/>
      </w:r>
      <w:r>
        <w:rPr>
          <w:rFonts w:hint="eastAsia" w:ascii="仿宋" w:hAnsi="仿宋" w:eastAsia="仿宋"/>
          <w:sz w:val="28"/>
          <w:szCs w:val="28"/>
        </w:rPr>
        <w:t>7</w:t>
      </w:r>
      <w:r>
        <w:rPr>
          <w:rFonts w:hint="eastAsia" w:ascii="仿宋" w:hAnsi="仿宋" w:eastAsia="仿宋"/>
          <w:sz w:val="28"/>
          <w:szCs w:val="28"/>
        </w:rPr>
        <w:fldChar w:fldCharType="end"/>
      </w:r>
    </w:p>
    <w:p>
      <w:pPr>
        <w:pStyle w:val="8"/>
      </w:pPr>
      <w:r>
        <w:fldChar w:fldCharType="begin"/>
      </w:r>
      <w:r>
        <w:instrText xml:space="preserve"> HYPERLINK \l "_Toc15396602" </w:instrText>
      </w:r>
      <w:r>
        <w:fldChar w:fldCharType="separate"/>
      </w:r>
      <w:r>
        <w:rPr>
          <w:rStyle w:val="13"/>
          <w:rFonts w:hint="eastAsia"/>
        </w:rPr>
        <w:t>第二部分</w:t>
      </w:r>
      <w:r>
        <w:rPr>
          <w:rStyle w:val="13"/>
        </w:rPr>
        <w:t xml:space="preserve"> 2018</w:t>
      </w:r>
      <w:r>
        <w:rPr>
          <w:rStyle w:val="13"/>
          <w:rFonts w:hint="eastAsia"/>
        </w:rPr>
        <w:t>年度部门决算情况说明</w:t>
      </w:r>
      <w:r>
        <w:tab/>
      </w:r>
      <w:r>
        <w:rPr>
          <w:rFonts w:hint="eastAsia"/>
        </w:rPr>
        <w:t>8</w:t>
      </w:r>
      <w:r>
        <w:rPr>
          <w:rFonts w:hint="eastAsia"/>
        </w:rPr>
        <w:fldChar w:fldCharType="end"/>
      </w:r>
    </w:p>
    <w:p>
      <w:pPr>
        <w:pStyle w:val="9"/>
        <w:rPr>
          <w:rFonts w:ascii="仿宋" w:hAnsi="仿宋" w:eastAsia="仿宋" w:cstheme="minorBidi"/>
          <w:sz w:val="28"/>
          <w:szCs w:val="28"/>
        </w:rPr>
      </w:pPr>
      <w:r>
        <w:fldChar w:fldCharType="begin"/>
      </w:r>
      <w:r>
        <w:instrText xml:space="preserve"> HYPERLINK \l "_Toc15396603" </w:instrText>
      </w:r>
      <w:r>
        <w:fldChar w:fldCharType="separate"/>
      </w:r>
      <w:r>
        <w:rPr>
          <w:rStyle w:val="13"/>
          <w:rFonts w:hint="eastAsia" w:ascii="仿宋" w:hAnsi="仿宋" w:eastAsia="仿宋" w:cstheme="majorBidi"/>
          <w:bCs/>
          <w:sz w:val="28"/>
          <w:szCs w:val="28"/>
        </w:rPr>
        <w:t>一、</w:t>
      </w:r>
      <w:r>
        <w:rPr>
          <w:rStyle w:val="13"/>
          <w:rFonts w:hint="eastAsia" w:ascii="仿宋" w:hAnsi="仿宋" w:eastAsia="仿宋"/>
          <w:sz w:val="28"/>
          <w:szCs w:val="28"/>
        </w:rPr>
        <w:t>收</w:t>
      </w:r>
      <w:r>
        <w:rPr>
          <w:rStyle w:val="13"/>
          <w:rFonts w:hint="eastAsia" w:ascii="仿宋" w:hAnsi="仿宋" w:eastAsia="仿宋" w:cstheme="majorBidi"/>
          <w:bCs/>
          <w:sz w:val="28"/>
          <w:szCs w:val="28"/>
        </w:rPr>
        <w:t>入支出决算总体情况说明</w:t>
      </w:r>
      <w:r>
        <w:rPr>
          <w:rFonts w:ascii="仿宋" w:hAnsi="仿宋" w:eastAsia="仿宋"/>
          <w:sz w:val="28"/>
          <w:szCs w:val="28"/>
        </w:rPr>
        <w:tab/>
      </w:r>
      <w:r>
        <w:rPr>
          <w:rFonts w:hint="eastAsia" w:ascii="仿宋" w:hAnsi="仿宋" w:eastAsia="仿宋"/>
          <w:sz w:val="28"/>
          <w:szCs w:val="28"/>
        </w:rPr>
        <w:t>8</w:t>
      </w:r>
      <w:r>
        <w:rPr>
          <w:rFonts w:hint="eastAsia" w:ascii="仿宋" w:hAnsi="仿宋" w:eastAsia="仿宋"/>
          <w:sz w:val="28"/>
          <w:szCs w:val="28"/>
        </w:rPr>
        <w:fldChar w:fldCharType="end"/>
      </w:r>
    </w:p>
    <w:p>
      <w:pPr>
        <w:pStyle w:val="9"/>
        <w:rPr>
          <w:rFonts w:ascii="仿宋" w:hAnsi="仿宋" w:eastAsia="仿宋" w:cstheme="minorBidi"/>
          <w:sz w:val="28"/>
          <w:szCs w:val="28"/>
        </w:rPr>
      </w:pPr>
      <w:r>
        <w:fldChar w:fldCharType="begin"/>
      </w:r>
      <w:r>
        <w:instrText xml:space="preserve"> HYPERLINK \l "_Toc15396604" </w:instrText>
      </w:r>
      <w:r>
        <w:fldChar w:fldCharType="separate"/>
      </w:r>
      <w:r>
        <w:rPr>
          <w:rStyle w:val="13"/>
          <w:rFonts w:hint="eastAsia" w:ascii="仿宋" w:hAnsi="仿宋" w:eastAsia="仿宋" w:cstheme="majorBidi"/>
          <w:bCs/>
          <w:sz w:val="28"/>
          <w:szCs w:val="28"/>
        </w:rPr>
        <w:t>二、</w:t>
      </w:r>
      <w:r>
        <w:rPr>
          <w:rStyle w:val="13"/>
          <w:rFonts w:hint="eastAsia" w:ascii="仿宋" w:hAnsi="仿宋" w:eastAsia="仿宋"/>
          <w:sz w:val="28"/>
          <w:szCs w:val="28"/>
        </w:rPr>
        <w:t>收</w:t>
      </w:r>
      <w:r>
        <w:rPr>
          <w:rStyle w:val="13"/>
          <w:rFonts w:hint="eastAsia" w:ascii="仿宋" w:hAnsi="仿宋" w:eastAsia="仿宋" w:cstheme="majorBidi"/>
          <w:bCs/>
          <w:sz w:val="28"/>
          <w:szCs w:val="28"/>
        </w:rPr>
        <w:t>入决算情况说明</w:t>
      </w:r>
      <w:r>
        <w:rPr>
          <w:rFonts w:ascii="仿宋" w:hAnsi="仿宋" w:eastAsia="仿宋"/>
          <w:sz w:val="28"/>
          <w:szCs w:val="28"/>
        </w:rPr>
        <w:tab/>
      </w:r>
      <w:r>
        <w:rPr>
          <w:rFonts w:hint="eastAsia" w:ascii="仿宋" w:hAnsi="仿宋" w:eastAsia="仿宋"/>
          <w:sz w:val="28"/>
          <w:szCs w:val="28"/>
        </w:rPr>
        <w:t>8</w:t>
      </w:r>
      <w:r>
        <w:rPr>
          <w:rFonts w:hint="eastAsia" w:ascii="仿宋" w:hAnsi="仿宋" w:eastAsia="仿宋"/>
          <w:sz w:val="28"/>
          <w:szCs w:val="28"/>
        </w:rPr>
        <w:fldChar w:fldCharType="end"/>
      </w:r>
    </w:p>
    <w:p>
      <w:pPr>
        <w:pStyle w:val="9"/>
        <w:rPr>
          <w:rFonts w:ascii="仿宋" w:hAnsi="仿宋" w:eastAsia="仿宋" w:cstheme="minorBidi"/>
          <w:sz w:val="28"/>
          <w:szCs w:val="28"/>
        </w:rPr>
      </w:pPr>
      <w:r>
        <w:fldChar w:fldCharType="begin"/>
      </w:r>
      <w:r>
        <w:instrText xml:space="preserve"> HYPERLINK \l "_Toc15396605" </w:instrText>
      </w:r>
      <w:r>
        <w:fldChar w:fldCharType="separate"/>
      </w:r>
      <w:r>
        <w:rPr>
          <w:rStyle w:val="13"/>
          <w:rFonts w:hint="eastAsia" w:ascii="仿宋" w:hAnsi="仿宋" w:eastAsia="仿宋" w:cstheme="majorBidi"/>
          <w:bCs/>
          <w:sz w:val="28"/>
          <w:szCs w:val="28"/>
        </w:rPr>
        <w:t>三、</w:t>
      </w:r>
      <w:r>
        <w:rPr>
          <w:rStyle w:val="13"/>
          <w:rFonts w:hint="eastAsia" w:ascii="仿宋" w:hAnsi="仿宋" w:eastAsia="仿宋"/>
          <w:sz w:val="28"/>
          <w:szCs w:val="28"/>
        </w:rPr>
        <w:t>支</w:t>
      </w:r>
      <w:r>
        <w:rPr>
          <w:rStyle w:val="13"/>
          <w:rFonts w:hint="eastAsia" w:ascii="仿宋" w:hAnsi="仿宋" w:eastAsia="仿宋" w:cstheme="majorBidi"/>
          <w:bCs/>
          <w:sz w:val="28"/>
          <w:szCs w:val="28"/>
        </w:rPr>
        <w:t>出决算情况说明</w:t>
      </w:r>
      <w:r>
        <w:rPr>
          <w:rFonts w:ascii="仿宋" w:hAnsi="仿宋" w:eastAsia="仿宋"/>
          <w:sz w:val="28"/>
          <w:szCs w:val="28"/>
        </w:rPr>
        <w:tab/>
      </w:r>
      <w:r>
        <w:rPr>
          <w:rFonts w:hint="eastAsia" w:ascii="仿宋" w:hAnsi="仿宋" w:eastAsia="仿宋"/>
          <w:sz w:val="28"/>
          <w:szCs w:val="28"/>
        </w:rPr>
        <w:t>9</w:t>
      </w:r>
      <w:r>
        <w:rPr>
          <w:rFonts w:hint="eastAsia" w:ascii="仿宋" w:hAnsi="仿宋" w:eastAsia="仿宋"/>
          <w:sz w:val="28"/>
          <w:szCs w:val="28"/>
        </w:rPr>
        <w:fldChar w:fldCharType="end"/>
      </w:r>
    </w:p>
    <w:p>
      <w:pPr>
        <w:pStyle w:val="9"/>
        <w:rPr>
          <w:rFonts w:ascii="仿宋" w:hAnsi="仿宋" w:eastAsia="仿宋" w:cstheme="minorBidi"/>
          <w:sz w:val="28"/>
          <w:szCs w:val="28"/>
        </w:rPr>
      </w:pPr>
      <w:r>
        <w:fldChar w:fldCharType="begin"/>
      </w:r>
      <w:r>
        <w:instrText xml:space="preserve"> HYPERLINK \l "_Toc15396606" </w:instrText>
      </w:r>
      <w:r>
        <w:fldChar w:fldCharType="separate"/>
      </w:r>
      <w:r>
        <w:rPr>
          <w:rStyle w:val="13"/>
          <w:rFonts w:hint="eastAsia" w:ascii="仿宋" w:hAnsi="仿宋" w:eastAsia="仿宋"/>
          <w:sz w:val="28"/>
          <w:szCs w:val="28"/>
        </w:rPr>
        <w:t>四、财</w:t>
      </w:r>
      <w:r>
        <w:rPr>
          <w:rStyle w:val="13"/>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hint="eastAsia" w:ascii="仿宋" w:hAnsi="仿宋" w:eastAsia="仿宋"/>
          <w:sz w:val="28"/>
          <w:szCs w:val="28"/>
        </w:rPr>
        <w:t>1</w:t>
      </w:r>
      <w:r>
        <w:rPr>
          <w:rFonts w:hint="eastAsia" w:ascii="仿宋" w:hAnsi="仿宋" w:eastAsia="仿宋"/>
          <w:sz w:val="28"/>
          <w:szCs w:val="28"/>
        </w:rPr>
        <w:fldChar w:fldCharType="end"/>
      </w:r>
      <w:r>
        <w:rPr>
          <w:rFonts w:hint="eastAsia" w:ascii="仿宋" w:hAnsi="仿宋" w:eastAsia="仿宋"/>
          <w:sz w:val="28"/>
          <w:szCs w:val="28"/>
        </w:rPr>
        <w:t>0</w:t>
      </w:r>
    </w:p>
    <w:p>
      <w:pPr>
        <w:pStyle w:val="9"/>
        <w:rPr>
          <w:rFonts w:ascii="仿宋" w:hAnsi="仿宋" w:eastAsia="仿宋" w:cstheme="minorBidi"/>
          <w:sz w:val="28"/>
          <w:szCs w:val="28"/>
        </w:rPr>
      </w:pPr>
      <w:r>
        <w:fldChar w:fldCharType="begin"/>
      </w:r>
      <w:r>
        <w:instrText xml:space="preserve"> HYPERLINK \l "_Toc15396607" </w:instrText>
      </w:r>
      <w:r>
        <w:fldChar w:fldCharType="separate"/>
      </w:r>
      <w:r>
        <w:rPr>
          <w:rStyle w:val="13"/>
          <w:rFonts w:hint="eastAsia" w:ascii="仿宋" w:hAnsi="仿宋" w:eastAsia="仿宋"/>
          <w:sz w:val="28"/>
          <w:szCs w:val="28"/>
        </w:rPr>
        <w:t>五、一</w:t>
      </w:r>
      <w:r>
        <w:rPr>
          <w:rStyle w:val="13"/>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hint="eastAsia" w:ascii="仿宋" w:hAnsi="仿宋" w:eastAsia="仿宋"/>
          <w:sz w:val="28"/>
          <w:szCs w:val="28"/>
        </w:rPr>
        <w:t>1</w:t>
      </w:r>
      <w:r>
        <w:rPr>
          <w:rFonts w:hint="eastAsia" w:ascii="仿宋" w:hAnsi="仿宋" w:eastAsia="仿宋"/>
          <w:sz w:val="28"/>
          <w:szCs w:val="28"/>
        </w:rPr>
        <w:fldChar w:fldCharType="end"/>
      </w:r>
      <w:r>
        <w:rPr>
          <w:rFonts w:hint="eastAsia" w:ascii="仿宋" w:hAnsi="仿宋" w:eastAsia="仿宋"/>
          <w:sz w:val="28"/>
          <w:szCs w:val="28"/>
        </w:rPr>
        <w:t>0</w:t>
      </w:r>
    </w:p>
    <w:p>
      <w:pPr>
        <w:pStyle w:val="9"/>
        <w:rPr>
          <w:rFonts w:ascii="仿宋" w:hAnsi="仿宋" w:eastAsia="仿宋" w:cstheme="minorBidi"/>
          <w:sz w:val="28"/>
          <w:szCs w:val="28"/>
        </w:rPr>
      </w:pPr>
      <w:r>
        <w:fldChar w:fldCharType="begin"/>
      </w:r>
      <w:r>
        <w:instrText xml:space="preserve"> HYPERLINK \l "_Toc15396608" </w:instrText>
      </w:r>
      <w:r>
        <w:fldChar w:fldCharType="separate"/>
      </w:r>
      <w:r>
        <w:rPr>
          <w:rStyle w:val="13"/>
          <w:rFonts w:hint="eastAsia" w:ascii="仿宋" w:hAnsi="仿宋" w:eastAsia="仿宋"/>
          <w:sz w:val="28"/>
          <w:szCs w:val="28"/>
        </w:rPr>
        <w:t>六、一</w:t>
      </w:r>
      <w:r>
        <w:rPr>
          <w:rStyle w:val="13"/>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hint="eastAsia" w:ascii="仿宋" w:hAnsi="仿宋" w:eastAsia="仿宋"/>
          <w:sz w:val="28"/>
          <w:szCs w:val="28"/>
        </w:rPr>
        <w:t>1</w:t>
      </w:r>
      <w:r>
        <w:rPr>
          <w:rFonts w:hint="eastAsia" w:ascii="仿宋" w:hAnsi="仿宋" w:eastAsia="仿宋"/>
          <w:sz w:val="28"/>
          <w:szCs w:val="28"/>
        </w:rPr>
        <w:fldChar w:fldCharType="end"/>
      </w:r>
      <w:r>
        <w:rPr>
          <w:rFonts w:hint="eastAsia" w:ascii="仿宋" w:hAnsi="仿宋" w:eastAsia="仿宋"/>
          <w:sz w:val="28"/>
          <w:szCs w:val="28"/>
        </w:rPr>
        <w:t>4</w:t>
      </w:r>
    </w:p>
    <w:p>
      <w:pPr>
        <w:pStyle w:val="9"/>
        <w:rPr>
          <w:rFonts w:ascii="仿宋" w:hAnsi="仿宋" w:eastAsia="仿宋" w:cstheme="minorBidi"/>
          <w:sz w:val="28"/>
          <w:szCs w:val="28"/>
        </w:rPr>
      </w:pPr>
      <w:r>
        <w:fldChar w:fldCharType="begin"/>
      </w:r>
      <w:r>
        <w:instrText xml:space="preserve"> HYPERLINK \l "_Toc15396609" </w:instrText>
      </w:r>
      <w:r>
        <w:fldChar w:fldCharType="separate"/>
      </w:r>
      <w:r>
        <w:rPr>
          <w:rStyle w:val="13"/>
          <w:rFonts w:hint="eastAsia" w:ascii="仿宋" w:hAnsi="仿宋" w:eastAsia="仿宋"/>
          <w:sz w:val="28"/>
          <w:szCs w:val="28"/>
        </w:rPr>
        <w:t>七、</w:t>
      </w:r>
      <w:r>
        <w:rPr>
          <w:rStyle w:val="13"/>
          <w:rFonts w:ascii="仿宋" w:hAnsi="仿宋" w:eastAsia="仿宋"/>
          <w:sz w:val="28"/>
          <w:szCs w:val="28"/>
        </w:rPr>
        <w:t>“</w:t>
      </w:r>
      <w:r>
        <w:rPr>
          <w:rStyle w:val="13"/>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hint="eastAsia" w:ascii="仿宋" w:hAnsi="仿宋" w:eastAsia="仿宋"/>
          <w:sz w:val="28"/>
          <w:szCs w:val="28"/>
        </w:rPr>
        <w:t>1</w:t>
      </w:r>
      <w:r>
        <w:rPr>
          <w:rFonts w:hint="eastAsia" w:ascii="仿宋" w:hAnsi="仿宋" w:eastAsia="仿宋"/>
          <w:sz w:val="28"/>
          <w:szCs w:val="28"/>
        </w:rPr>
        <w:fldChar w:fldCharType="end"/>
      </w:r>
      <w:r>
        <w:rPr>
          <w:rFonts w:hint="eastAsia" w:ascii="仿宋" w:hAnsi="仿宋" w:eastAsia="仿宋"/>
          <w:sz w:val="28"/>
          <w:szCs w:val="28"/>
        </w:rPr>
        <w:t>5</w:t>
      </w:r>
    </w:p>
    <w:p>
      <w:pPr>
        <w:pStyle w:val="9"/>
        <w:rPr>
          <w:rFonts w:ascii="仿宋" w:hAnsi="仿宋" w:eastAsia="仿宋" w:cstheme="minorBidi"/>
          <w:sz w:val="28"/>
          <w:szCs w:val="28"/>
        </w:rPr>
      </w:pPr>
      <w:r>
        <w:fldChar w:fldCharType="begin"/>
      </w:r>
      <w:r>
        <w:instrText xml:space="preserve"> HYPERLINK \l "_Toc15396610" </w:instrText>
      </w:r>
      <w:r>
        <w:fldChar w:fldCharType="separate"/>
      </w:r>
      <w:r>
        <w:rPr>
          <w:rStyle w:val="13"/>
          <w:rFonts w:hint="eastAsia" w:ascii="仿宋" w:hAnsi="仿宋" w:eastAsia="仿宋"/>
          <w:sz w:val="28"/>
          <w:szCs w:val="28"/>
        </w:rPr>
        <w:t>八、</w:t>
      </w:r>
      <w:r>
        <w:rPr>
          <w:rStyle w:val="13"/>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hint="eastAsia" w:ascii="仿宋" w:hAnsi="仿宋" w:eastAsia="仿宋"/>
          <w:sz w:val="28"/>
          <w:szCs w:val="28"/>
        </w:rPr>
        <w:t>1</w:t>
      </w:r>
      <w:r>
        <w:rPr>
          <w:rFonts w:hint="eastAsia" w:ascii="仿宋" w:hAnsi="仿宋" w:eastAsia="仿宋"/>
          <w:sz w:val="28"/>
          <w:szCs w:val="28"/>
        </w:rPr>
        <w:fldChar w:fldCharType="end"/>
      </w:r>
      <w:r>
        <w:rPr>
          <w:rFonts w:hint="eastAsia" w:ascii="仿宋" w:hAnsi="仿宋" w:eastAsia="仿宋"/>
          <w:sz w:val="28"/>
          <w:szCs w:val="28"/>
        </w:rPr>
        <w:t>7</w:t>
      </w:r>
    </w:p>
    <w:p>
      <w:pPr>
        <w:pStyle w:val="9"/>
      </w:pPr>
      <w:r>
        <w:fldChar w:fldCharType="begin"/>
      </w:r>
      <w:r>
        <w:instrText xml:space="preserve"> HYPERLINK \l "_Toc15396611" </w:instrText>
      </w:r>
      <w:r>
        <w:fldChar w:fldCharType="separate"/>
      </w:r>
      <w:r>
        <w:rPr>
          <w:rStyle w:val="13"/>
          <w:rFonts w:hint="eastAsia" w:ascii="仿宋" w:hAnsi="仿宋" w:eastAsia="仿宋" w:cstheme="majorBidi"/>
          <w:bCs/>
          <w:sz w:val="28"/>
          <w:szCs w:val="28"/>
        </w:rPr>
        <w:t>九、</w:t>
      </w:r>
      <w:r>
        <w:rPr>
          <w:rStyle w:val="13"/>
          <w:rFonts w:hint="eastAsia" w:ascii="仿宋" w:hAnsi="仿宋" w:eastAsia="仿宋"/>
          <w:sz w:val="28"/>
          <w:szCs w:val="28"/>
        </w:rPr>
        <w:t xml:space="preserve"> 国</w:t>
      </w:r>
      <w:r>
        <w:rPr>
          <w:rStyle w:val="13"/>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w:t>
      </w:r>
      <w:r>
        <w:rPr>
          <w:rFonts w:hint="eastAsia" w:ascii="仿宋" w:hAnsi="仿宋" w:eastAsia="仿宋"/>
          <w:sz w:val="28"/>
          <w:szCs w:val="28"/>
        </w:rPr>
        <w:t>7</w:t>
      </w:r>
      <w:r>
        <w:rPr>
          <w:rFonts w:ascii="仿宋" w:hAnsi="仿宋" w:eastAsia="仿宋"/>
          <w:sz w:val="28"/>
          <w:szCs w:val="28"/>
        </w:rPr>
        <w:fldChar w:fldCharType="end"/>
      </w:r>
      <w:r>
        <w:rPr>
          <w:rFonts w:ascii="仿宋" w:hAnsi="仿宋" w:eastAsia="仿宋"/>
          <w:sz w:val="28"/>
          <w:szCs w:val="28"/>
        </w:rPr>
        <w:fldChar w:fldCharType="end"/>
      </w:r>
    </w:p>
    <w:p>
      <w:pPr>
        <w:pStyle w:val="9"/>
        <w:rPr>
          <w:rFonts w:ascii="仿宋" w:hAnsi="仿宋" w:eastAsia="仿宋"/>
          <w:sz w:val="28"/>
          <w:szCs w:val="28"/>
        </w:rPr>
      </w:pPr>
      <w:r>
        <w:fldChar w:fldCharType="begin"/>
      </w:r>
      <w:r>
        <w:instrText xml:space="preserve"> HYPERLINK \l "_Toc15396611" </w:instrText>
      </w:r>
      <w:r>
        <w:fldChar w:fldCharType="separate"/>
      </w:r>
      <w:r>
        <w:rPr>
          <w:rStyle w:val="13"/>
          <w:rFonts w:hint="eastAsia" w:ascii="仿宋" w:hAnsi="仿宋" w:eastAsia="仿宋" w:cstheme="majorBidi"/>
          <w:bCs/>
          <w:sz w:val="28"/>
          <w:szCs w:val="28"/>
        </w:rPr>
        <w:t>十、</w:t>
      </w:r>
      <w:r>
        <w:rPr>
          <w:rStyle w:val="13"/>
          <w:rFonts w:hint="eastAsia" w:ascii="仿宋" w:hAnsi="仿宋" w:eastAsia="仿宋"/>
          <w:sz w:val="28"/>
          <w:szCs w:val="28"/>
        </w:rPr>
        <w:t xml:space="preserve"> 预算绩效情况说明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w:t>
      </w:r>
      <w:r>
        <w:rPr>
          <w:rFonts w:hint="eastAsia" w:ascii="仿宋" w:hAnsi="仿宋" w:eastAsia="仿宋"/>
          <w:sz w:val="28"/>
          <w:szCs w:val="28"/>
        </w:rPr>
        <w:t>7</w:t>
      </w:r>
      <w:r>
        <w:rPr>
          <w:rFonts w:ascii="仿宋" w:hAnsi="仿宋" w:eastAsia="仿宋"/>
          <w:sz w:val="28"/>
          <w:szCs w:val="28"/>
        </w:rPr>
        <w:fldChar w:fldCharType="end"/>
      </w:r>
      <w:r>
        <w:rPr>
          <w:rFonts w:ascii="仿宋" w:hAnsi="仿宋" w:eastAsia="仿宋"/>
          <w:sz w:val="28"/>
          <w:szCs w:val="28"/>
        </w:rPr>
        <w:fldChar w:fldCharType="end"/>
      </w:r>
    </w:p>
    <w:p>
      <w:pPr>
        <w:pStyle w:val="9"/>
        <w:rPr>
          <w:rFonts w:ascii="仿宋" w:hAnsi="仿宋" w:eastAsia="仿宋" w:cstheme="minorBidi"/>
          <w:sz w:val="28"/>
          <w:szCs w:val="28"/>
        </w:rPr>
      </w:pPr>
      <w:r>
        <w:fldChar w:fldCharType="begin"/>
      </w:r>
      <w:r>
        <w:instrText xml:space="preserve"> HYPERLINK \l "_Toc15396612" </w:instrText>
      </w:r>
      <w:r>
        <w:fldChar w:fldCharType="separate"/>
      </w:r>
      <w:r>
        <w:rPr>
          <w:rStyle w:val="13"/>
          <w:rFonts w:hint="eastAsia" w:ascii="仿宋" w:hAnsi="仿宋" w:eastAsia="仿宋"/>
          <w:sz w:val="28"/>
          <w:szCs w:val="28"/>
        </w:rPr>
        <w:t>十</w:t>
      </w:r>
      <w:r>
        <w:rPr>
          <w:rStyle w:val="13"/>
          <w:rFonts w:hint="eastAsia" w:ascii="仿宋" w:hAnsi="仿宋" w:eastAsia="仿宋" w:cstheme="majorBidi"/>
          <w:bCs/>
          <w:sz w:val="28"/>
          <w:szCs w:val="28"/>
        </w:rPr>
        <w:t>一、其他重要事项的情况说明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ascii="仿宋" w:hAnsi="仿宋" w:eastAsia="仿宋"/>
          <w:sz w:val="28"/>
          <w:szCs w:val="28"/>
        </w:rPr>
        <w:t>1</w:t>
      </w:r>
      <w:r>
        <w:rPr>
          <w:rFonts w:hint="eastAsia"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8"/>
        <w:rPr>
          <w:rFonts w:cstheme="minorBidi"/>
        </w:rPr>
      </w:pPr>
      <w:r>
        <w:fldChar w:fldCharType="begin"/>
      </w:r>
      <w:r>
        <w:instrText xml:space="preserve"> HYPERLINK \l "_Toc15396613" </w:instrText>
      </w:r>
      <w:r>
        <w:fldChar w:fldCharType="separate"/>
      </w:r>
      <w:r>
        <w:rPr>
          <w:rStyle w:val="13"/>
          <w:rFonts w:hint="eastAsia"/>
          <w:bCs/>
          <w:kern w:val="44"/>
        </w:rPr>
        <w:t>第三部分</w:t>
      </w:r>
      <w:r>
        <w:rPr>
          <w:rStyle w:val="13"/>
          <w:rFonts w:hint="eastAsia"/>
        </w:rPr>
        <w:t xml:space="preserve"> 名</w:t>
      </w:r>
      <w:r>
        <w:rPr>
          <w:rStyle w:val="13"/>
          <w:rFonts w:hint="eastAsia"/>
          <w:bCs/>
          <w:kern w:val="44"/>
        </w:rPr>
        <w:t>词解释</w:t>
      </w:r>
      <w:r>
        <w:tab/>
      </w:r>
      <w:r>
        <w:rPr>
          <w:rFonts w:hint="eastAsia"/>
        </w:rPr>
        <w:t>1</w:t>
      </w:r>
      <w:r>
        <w:rPr>
          <w:rFonts w:hint="eastAsia"/>
        </w:rPr>
        <w:fldChar w:fldCharType="end"/>
      </w:r>
      <w:r>
        <w:rPr>
          <w:rFonts w:hint="eastAsia"/>
        </w:rPr>
        <w:t>9</w:t>
      </w:r>
    </w:p>
    <w:p>
      <w:pPr>
        <w:pStyle w:val="8"/>
        <w:rPr>
          <w:rFonts w:cstheme="minorBidi"/>
        </w:rPr>
      </w:pPr>
      <w:r>
        <w:fldChar w:fldCharType="begin"/>
      </w:r>
      <w:r>
        <w:instrText xml:space="preserve"> HYPERLINK \l "_Toc15396614" </w:instrText>
      </w:r>
      <w:r>
        <w:fldChar w:fldCharType="separate"/>
      </w:r>
      <w:r>
        <w:rPr>
          <w:rStyle w:val="13"/>
          <w:rFonts w:hint="eastAsia"/>
        </w:rPr>
        <w:t>第</w:t>
      </w:r>
      <w:r>
        <w:rPr>
          <w:rStyle w:val="13"/>
          <w:rFonts w:hint="eastAsia"/>
          <w:bCs/>
          <w:kern w:val="44"/>
        </w:rPr>
        <w:t>四部分附件</w:t>
      </w:r>
      <w:r>
        <w:tab/>
      </w:r>
      <w:r>
        <w:rPr>
          <w:rFonts w:hint="eastAsia"/>
        </w:rPr>
        <w:t>2</w:t>
      </w:r>
      <w:r>
        <w:rPr>
          <w:rFonts w:hint="eastAsia"/>
        </w:rPr>
        <w:fldChar w:fldCharType="end"/>
      </w:r>
      <w:r>
        <w:rPr>
          <w:rFonts w:hint="eastAsia"/>
        </w:rPr>
        <w:t>5</w:t>
      </w:r>
    </w:p>
    <w:p>
      <w:pPr>
        <w:pStyle w:val="9"/>
        <w:rPr>
          <w:rFonts w:ascii="仿宋" w:hAnsi="仿宋" w:eastAsia="仿宋" w:cstheme="minorBidi"/>
          <w:sz w:val="28"/>
          <w:szCs w:val="28"/>
        </w:rPr>
      </w:pPr>
      <w:r>
        <w:fldChar w:fldCharType="begin"/>
      </w:r>
      <w:r>
        <w:instrText xml:space="preserve"> HYPERLINK \l "_Toc15396615" </w:instrText>
      </w:r>
      <w:r>
        <w:fldChar w:fldCharType="separate"/>
      </w:r>
      <w:r>
        <w:rPr>
          <w:rStyle w:val="13"/>
          <w:rFonts w:hint="eastAsia" w:ascii="仿宋" w:hAnsi="仿宋" w:eastAsia="仿宋"/>
          <w:kern w:val="44"/>
          <w:sz w:val="28"/>
          <w:szCs w:val="28"/>
        </w:rPr>
        <w:t>附件</w:t>
      </w:r>
      <w:r>
        <w:rPr>
          <w:rFonts w:ascii="仿宋" w:hAnsi="仿宋" w:eastAsia="仿宋"/>
          <w:sz w:val="28"/>
          <w:szCs w:val="28"/>
        </w:rPr>
        <w:tab/>
      </w:r>
      <w:r>
        <w:rPr>
          <w:rFonts w:hint="eastAsia" w:ascii="仿宋" w:hAnsi="仿宋" w:eastAsia="仿宋"/>
          <w:sz w:val="28"/>
          <w:szCs w:val="28"/>
        </w:rPr>
        <w:t>2</w:t>
      </w:r>
      <w:r>
        <w:rPr>
          <w:rFonts w:hint="eastAsia" w:ascii="仿宋" w:hAnsi="仿宋" w:eastAsia="仿宋"/>
          <w:sz w:val="28"/>
          <w:szCs w:val="28"/>
        </w:rPr>
        <w:fldChar w:fldCharType="end"/>
      </w:r>
      <w:r>
        <w:rPr>
          <w:rFonts w:hint="eastAsia" w:ascii="仿宋" w:hAnsi="仿宋" w:eastAsia="仿宋"/>
          <w:sz w:val="28"/>
          <w:szCs w:val="28"/>
        </w:rPr>
        <w:t>5</w:t>
      </w:r>
    </w:p>
    <w:p>
      <w:pPr>
        <w:pStyle w:val="8"/>
        <w:rPr>
          <w:rFonts w:cstheme="minorBidi"/>
        </w:rPr>
      </w:pPr>
      <w:r>
        <w:fldChar w:fldCharType="begin"/>
      </w:r>
      <w:r>
        <w:instrText xml:space="preserve"> HYPERLINK \l "_Toc15396618" </w:instrText>
      </w:r>
      <w:r>
        <w:fldChar w:fldCharType="separate"/>
      </w:r>
      <w:r>
        <w:rPr>
          <w:rStyle w:val="13"/>
          <w:rFonts w:hint="eastAsia"/>
        </w:rPr>
        <w:t>第</w:t>
      </w:r>
      <w:r>
        <w:rPr>
          <w:rStyle w:val="13"/>
          <w:rFonts w:hint="eastAsia"/>
          <w:bCs/>
          <w:kern w:val="44"/>
        </w:rPr>
        <w:t>五部分附表</w:t>
      </w:r>
      <w:r>
        <w:tab/>
      </w:r>
      <w:r>
        <w:rPr>
          <w:rFonts w:hint="eastAsia"/>
        </w:rPr>
        <w:t>3</w:t>
      </w:r>
      <w:r>
        <w:rPr>
          <w:rFonts w:hint="eastAsia"/>
        </w:rPr>
        <w:fldChar w:fldCharType="end"/>
      </w:r>
      <w:r>
        <w:rPr>
          <w:rFonts w:hint="eastAsia"/>
        </w:rPr>
        <w:t>3</w:t>
      </w:r>
    </w:p>
    <w:p>
      <w:pPr>
        <w:pStyle w:val="9"/>
        <w:rPr>
          <w:rFonts w:ascii="仿宋" w:hAnsi="仿宋" w:eastAsia="仿宋" w:cstheme="minorBidi"/>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3"/>
          <w:rFonts w:hint="eastAsia" w:ascii="仿宋" w:hAnsi="仿宋" w:eastAsia="仿宋"/>
          <w:sz w:val="28"/>
          <w:szCs w:val="28"/>
        </w:rPr>
        <w:t>收入支出决算总表</w:t>
      </w:r>
      <w:r>
        <w:rPr>
          <w:rFonts w:ascii="仿宋" w:hAnsi="仿宋" w:eastAsia="仿宋"/>
          <w:sz w:val="28"/>
          <w:szCs w:val="28"/>
        </w:rPr>
        <w:tab/>
      </w:r>
      <w:r>
        <w:rPr>
          <w:rFonts w:hint="eastAsia" w:ascii="仿宋" w:hAnsi="仿宋" w:eastAsia="仿宋"/>
          <w:sz w:val="28"/>
          <w:szCs w:val="28"/>
        </w:rPr>
        <w:t>3</w:t>
      </w:r>
      <w:r>
        <w:rPr>
          <w:rFonts w:hint="eastAsia" w:ascii="仿宋" w:hAnsi="仿宋" w:eastAsia="仿宋"/>
          <w:sz w:val="28"/>
          <w:szCs w:val="28"/>
        </w:rPr>
        <w:fldChar w:fldCharType="end"/>
      </w:r>
      <w:r>
        <w:rPr>
          <w:rFonts w:hint="eastAsia" w:ascii="仿宋" w:hAnsi="仿宋" w:eastAsia="仿宋"/>
          <w:sz w:val="28"/>
          <w:szCs w:val="28"/>
        </w:rPr>
        <w:t>3</w:t>
      </w:r>
    </w:p>
    <w:p>
      <w:pPr>
        <w:pStyle w:val="9"/>
        <w:rPr>
          <w:rFonts w:ascii="仿宋" w:hAnsi="仿宋" w:eastAsia="仿宋" w:cstheme="minorBidi"/>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3"/>
          <w:rFonts w:hint="eastAsia" w:ascii="仿宋" w:hAnsi="仿宋" w:eastAsia="仿宋"/>
          <w:sz w:val="28"/>
          <w:szCs w:val="28"/>
        </w:rPr>
        <w:t>收入总表</w:t>
      </w:r>
      <w:r>
        <w:rPr>
          <w:rFonts w:ascii="仿宋" w:hAnsi="仿宋" w:eastAsia="仿宋"/>
          <w:sz w:val="28"/>
          <w:szCs w:val="28"/>
        </w:rPr>
        <w:tab/>
      </w:r>
      <w:r>
        <w:rPr>
          <w:rFonts w:hint="eastAsia" w:ascii="仿宋" w:hAnsi="仿宋" w:eastAsia="仿宋"/>
          <w:sz w:val="28"/>
          <w:szCs w:val="28"/>
        </w:rPr>
        <w:t>3</w:t>
      </w:r>
      <w:r>
        <w:rPr>
          <w:rFonts w:hint="eastAsia" w:ascii="仿宋" w:hAnsi="仿宋" w:eastAsia="仿宋"/>
          <w:sz w:val="28"/>
          <w:szCs w:val="28"/>
        </w:rPr>
        <w:fldChar w:fldCharType="end"/>
      </w:r>
      <w:r>
        <w:rPr>
          <w:rFonts w:hint="eastAsia" w:ascii="仿宋" w:hAnsi="仿宋" w:eastAsia="仿宋"/>
          <w:sz w:val="28"/>
          <w:szCs w:val="28"/>
        </w:rPr>
        <w:t>3</w:t>
      </w:r>
    </w:p>
    <w:p>
      <w:pPr>
        <w:pStyle w:val="9"/>
        <w:rPr>
          <w:rFonts w:ascii="仿宋" w:hAnsi="仿宋" w:eastAsia="仿宋" w:cstheme="minorBidi"/>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3"/>
          <w:rFonts w:hint="eastAsia" w:ascii="仿宋" w:hAnsi="仿宋" w:eastAsia="仿宋"/>
          <w:sz w:val="28"/>
          <w:szCs w:val="28"/>
        </w:rPr>
        <w:t>支出总表</w:t>
      </w:r>
      <w:r>
        <w:rPr>
          <w:rFonts w:ascii="仿宋" w:hAnsi="仿宋" w:eastAsia="仿宋"/>
          <w:sz w:val="28"/>
          <w:szCs w:val="28"/>
        </w:rPr>
        <w:tab/>
      </w:r>
      <w:r>
        <w:rPr>
          <w:rFonts w:hint="eastAsia" w:ascii="仿宋" w:hAnsi="仿宋" w:eastAsia="仿宋"/>
          <w:sz w:val="28"/>
          <w:szCs w:val="28"/>
        </w:rPr>
        <w:t>3</w:t>
      </w:r>
      <w:r>
        <w:rPr>
          <w:rFonts w:hint="eastAsia" w:ascii="仿宋" w:hAnsi="仿宋" w:eastAsia="仿宋"/>
          <w:sz w:val="28"/>
          <w:szCs w:val="28"/>
        </w:rPr>
        <w:fldChar w:fldCharType="end"/>
      </w:r>
      <w:r>
        <w:rPr>
          <w:rFonts w:hint="eastAsia" w:ascii="仿宋" w:hAnsi="仿宋" w:eastAsia="仿宋"/>
          <w:sz w:val="28"/>
          <w:szCs w:val="28"/>
        </w:rPr>
        <w:t>3</w:t>
      </w:r>
    </w:p>
    <w:p>
      <w:pPr>
        <w:pStyle w:val="9"/>
        <w:rPr>
          <w:rFonts w:ascii="仿宋" w:hAnsi="仿宋" w:eastAsia="仿宋" w:cstheme="minorBidi"/>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3"/>
          <w:rFonts w:hint="eastAsia" w:ascii="仿宋" w:hAnsi="仿宋" w:eastAsia="仿宋"/>
          <w:sz w:val="28"/>
          <w:szCs w:val="28"/>
        </w:rPr>
        <w:t>财政拨款收入支出决算总表</w:t>
      </w:r>
      <w:r>
        <w:rPr>
          <w:rFonts w:ascii="仿宋" w:hAnsi="仿宋" w:eastAsia="仿宋"/>
          <w:sz w:val="28"/>
          <w:szCs w:val="28"/>
        </w:rPr>
        <w:tab/>
      </w:r>
      <w:r>
        <w:rPr>
          <w:rFonts w:hint="eastAsia" w:ascii="仿宋" w:hAnsi="仿宋" w:eastAsia="仿宋"/>
          <w:sz w:val="28"/>
          <w:szCs w:val="28"/>
        </w:rPr>
        <w:t>3</w:t>
      </w:r>
      <w:r>
        <w:rPr>
          <w:rFonts w:hint="eastAsia" w:ascii="仿宋" w:hAnsi="仿宋" w:eastAsia="仿宋"/>
          <w:sz w:val="28"/>
          <w:szCs w:val="28"/>
        </w:rPr>
        <w:fldChar w:fldCharType="end"/>
      </w:r>
      <w:r>
        <w:rPr>
          <w:rFonts w:hint="eastAsia" w:ascii="仿宋" w:hAnsi="仿宋" w:eastAsia="仿宋"/>
          <w:sz w:val="28"/>
          <w:szCs w:val="28"/>
        </w:rPr>
        <w:t>3</w:t>
      </w:r>
    </w:p>
    <w:p>
      <w:pPr>
        <w:pStyle w:val="9"/>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hint="eastAsia" w:ascii="仿宋" w:hAnsi="仿宋" w:eastAsia="仿宋"/>
          <w:sz w:val="28"/>
          <w:szCs w:val="28"/>
        </w:rPr>
        <w:t>3</w:t>
      </w:r>
      <w:r>
        <w:rPr>
          <w:rFonts w:hint="eastAsia" w:ascii="仿宋" w:hAnsi="仿宋" w:eastAsia="仿宋"/>
          <w:sz w:val="28"/>
          <w:szCs w:val="28"/>
        </w:rPr>
        <w:fldChar w:fldCharType="end"/>
      </w:r>
      <w:r>
        <w:rPr>
          <w:rFonts w:hint="eastAsia" w:ascii="仿宋" w:hAnsi="仿宋" w:eastAsia="仿宋"/>
          <w:sz w:val="28"/>
          <w:szCs w:val="28"/>
        </w:rPr>
        <w:t>3</w:t>
      </w:r>
    </w:p>
    <w:p>
      <w:pPr>
        <w:pStyle w:val="9"/>
        <w:rPr>
          <w:rFonts w:ascii="仿宋" w:hAnsi="仿宋" w:eastAsia="仿宋" w:cstheme="minorBidi"/>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3"/>
          <w:rFonts w:hint="eastAsia" w:ascii="仿宋" w:hAnsi="仿宋" w:eastAsia="仿宋"/>
          <w:sz w:val="28"/>
          <w:szCs w:val="28"/>
        </w:rPr>
        <w:t>一般公共预算财政拨款支出决算表</w:t>
      </w:r>
      <w:r>
        <w:rPr>
          <w:rFonts w:ascii="仿宋" w:hAnsi="仿宋" w:eastAsia="仿宋"/>
          <w:sz w:val="28"/>
          <w:szCs w:val="28"/>
        </w:rPr>
        <w:tab/>
      </w:r>
      <w:r>
        <w:rPr>
          <w:rFonts w:hint="eastAsia" w:ascii="仿宋" w:hAnsi="仿宋" w:eastAsia="仿宋"/>
          <w:sz w:val="28"/>
          <w:szCs w:val="28"/>
        </w:rPr>
        <w:t>3</w:t>
      </w:r>
      <w:r>
        <w:rPr>
          <w:rFonts w:hint="eastAsia" w:ascii="仿宋" w:hAnsi="仿宋" w:eastAsia="仿宋"/>
          <w:sz w:val="28"/>
          <w:szCs w:val="28"/>
        </w:rPr>
        <w:fldChar w:fldCharType="end"/>
      </w:r>
      <w:r>
        <w:rPr>
          <w:rFonts w:hint="eastAsia" w:ascii="仿宋" w:hAnsi="仿宋" w:eastAsia="仿宋"/>
          <w:sz w:val="28"/>
          <w:szCs w:val="28"/>
        </w:rPr>
        <w:t>3</w:t>
      </w:r>
    </w:p>
    <w:p>
      <w:pPr>
        <w:pStyle w:val="9"/>
        <w:rPr>
          <w:rFonts w:ascii="仿宋" w:hAnsi="仿宋" w:eastAsia="仿宋" w:cstheme="minorBidi"/>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3"/>
          <w:rFonts w:hint="eastAsia" w:ascii="仿宋" w:hAnsi="仿宋" w:eastAsia="仿宋"/>
          <w:sz w:val="28"/>
          <w:szCs w:val="28"/>
        </w:rPr>
        <w:t>一般公共预算财政拨款支出决算明细表</w:t>
      </w:r>
      <w:r>
        <w:rPr>
          <w:rFonts w:ascii="仿宋" w:hAnsi="仿宋" w:eastAsia="仿宋"/>
          <w:sz w:val="28"/>
          <w:szCs w:val="28"/>
        </w:rPr>
        <w:tab/>
      </w:r>
      <w:r>
        <w:rPr>
          <w:rFonts w:hint="eastAsia" w:ascii="仿宋" w:hAnsi="仿宋" w:eastAsia="仿宋"/>
          <w:sz w:val="28"/>
          <w:szCs w:val="28"/>
        </w:rPr>
        <w:t>3</w:t>
      </w:r>
      <w:r>
        <w:rPr>
          <w:rFonts w:hint="eastAsia" w:ascii="仿宋" w:hAnsi="仿宋" w:eastAsia="仿宋"/>
          <w:sz w:val="28"/>
          <w:szCs w:val="28"/>
        </w:rPr>
        <w:fldChar w:fldCharType="end"/>
      </w:r>
      <w:r>
        <w:rPr>
          <w:rFonts w:hint="eastAsia" w:ascii="仿宋" w:hAnsi="仿宋" w:eastAsia="仿宋"/>
          <w:sz w:val="28"/>
          <w:szCs w:val="28"/>
        </w:rPr>
        <w:t>3</w:t>
      </w:r>
    </w:p>
    <w:p>
      <w:pPr>
        <w:pStyle w:val="9"/>
        <w:rPr>
          <w:rFonts w:ascii="仿宋" w:hAnsi="仿宋" w:eastAsia="仿宋" w:cstheme="minorBidi"/>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3"/>
          <w:rFonts w:hint="eastAsia" w:ascii="仿宋" w:hAnsi="仿宋" w:eastAsia="仿宋"/>
          <w:sz w:val="28"/>
          <w:szCs w:val="28"/>
        </w:rPr>
        <w:t>一般公共预算财政拨款基本支出决算表</w:t>
      </w:r>
      <w:r>
        <w:rPr>
          <w:rFonts w:ascii="仿宋" w:hAnsi="仿宋" w:eastAsia="仿宋"/>
          <w:sz w:val="28"/>
          <w:szCs w:val="28"/>
        </w:rPr>
        <w:tab/>
      </w:r>
      <w:r>
        <w:rPr>
          <w:rFonts w:hint="eastAsia" w:ascii="仿宋" w:hAnsi="仿宋" w:eastAsia="仿宋"/>
          <w:sz w:val="28"/>
          <w:szCs w:val="28"/>
        </w:rPr>
        <w:t>3</w:t>
      </w:r>
      <w:r>
        <w:rPr>
          <w:rFonts w:hint="eastAsia" w:ascii="仿宋" w:hAnsi="仿宋" w:eastAsia="仿宋"/>
          <w:sz w:val="28"/>
          <w:szCs w:val="28"/>
        </w:rPr>
        <w:fldChar w:fldCharType="end"/>
      </w:r>
      <w:r>
        <w:rPr>
          <w:rFonts w:hint="eastAsia" w:ascii="仿宋" w:hAnsi="仿宋" w:eastAsia="仿宋"/>
          <w:sz w:val="28"/>
          <w:szCs w:val="28"/>
        </w:rPr>
        <w:t>3</w:t>
      </w:r>
    </w:p>
    <w:p>
      <w:pPr>
        <w:pStyle w:val="9"/>
        <w:rPr>
          <w:rFonts w:ascii="仿宋" w:hAnsi="仿宋" w:eastAsia="仿宋" w:cstheme="minorBidi"/>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3"/>
          <w:rFonts w:hint="eastAsia" w:ascii="仿宋" w:hAnsi="仿宋" w:eastAsia="仿宋"/>
          <w:sz w:val="28"/>
          <w:szCs w:val="28"/>
        </w:rPr>
        <w:t>一般公共预算财政拨款项目支出决算表</w:t>
      </w:r>
      <w:r>
        <w:rPr>
          <w:rFonts w:ascii="仿宋" w:hAnsi="仿宋" w:eastAsia="仿宋"/>
          <w:sz w:val="28"/>
          <w:szCs w:val="28"/>
        </w:rPr>
        <w:tab/>
      </w:r>
      <w:r>
        <w:rPr>
          <w:rFonts w:hint="eastAsia" w:ascii="仿宋" w:hAnsi="仿宋" w:eastAsia="仿宋"/>
          <w:sz w:val="28"/>
          <w:szCs w:val="28"/>
        </w:rPr>
        <w:t>3</w:t>
      </w:r>
      <w:r>
        <w:rPr>
          <w:rFonts w:hint="eastAsia" w:ascii="仿宋" w:hAnsi="仿宋" w:eastAsia="仿宋"/>
          <w:sz w:val="28"/>
          <w:szCs w:val="28"/>
        </w:rPr>
        <w:fldChar w:fldCharType="end"/>
      </w:r>
      <w:r>
        <w:rPr>
          <w:rFonts w:hint="eastAsia" w:ascii="仿宋" w:hAnsi="仿宋" w:eastAsia="仿宋"/>
          <w:sz w:val="28"/>
          <w:szCs w:val="28"/>
        </w:rPr>
        <w:t>3</w:t>
      </w:r>
    </w:p>
    <w:p>
      <w:pPr>
        <w:pStyle w:val="9"/>
        <w:rPr>
          <w:rFonts w:ascii="仿宋" w:hAnsi="仿宋" w:eastAsia="仿宋" w:cstheme="minorBidi"/>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3"/>
          <w:rFonts w:hint="eastAsia" w:ascii="仿宋" w:hAnsi="仿宋" w:eastAsia="仿宋"/>
          <w:sz w:val="28"/>
          <w:szCs w:val="28"/>
        </w:rPr>
        <w:t>一般公共预算财政拨款“三公”经费支出决算表</w:t>
      </w:r>
      <w:r>
        <w:rPr>
          <w:rFonts w:ascii="仿宋" w:hAnsi="仿宋" w:eastAsia="仿宋"/>
          <w:sz w:val="28"/>
          <w:szCs w:val="28"/>
        </w:rPr>
        <w:tab/>
      </w:r>
      <w:r>
        <w:rPr>
          <w:rFonts w:hint="eastAsia" w:ascii="仿宋" w:hAnsi="仿宋" w:eastAsia="仿宋"/>
          <w:sz w:val="28"/>
          <w:szCs w:val="28"/>
        </w:rPr>
        <w:t>3</w:t>
      </w:r>
      <w:r>
        <w:rPr>
          <w:rFonts w:hint="eastAsia" w:ascii="仿宋" w:hAnsi="仿宋" w:eastAsia="仿宋"/>
          <w:sz w:val="28"/>
          <w:szCs w:val="28"/>
        </w:rPr>
        <w:fldChar w:fldCharType="end"/>
      </w:r>
      <w:r>
        <w:rPr>
          <w:rFonts w:hint="eastAsia" w:ascii="仿宋" w:hAnsi="仿宋" w:eastAsia="仿宋"/>
          <w:sz w:val="28"/>
          <w:szCs w:val="28"/>
        </w:rPr>
        <w:t>4</w:t>
      </w:r>
    </w:p>
    <w:p>
      <w:pPr>
        <w:pStyle w:val="9"/>
        <w:rPr>
          <w:rFonts w:ascii="仿宋" w:hAnsi="仿宋" w:eastAsia="仿宋" w:cstheme="minorBidi"/>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3"/>
          <w:rFonts w:hint="eastAsia" w:ascii="仿宋" w:hAnsi="仿宋" w:eastAsia="仿宋"/>
          <w:sz w:val="28"/>
          <w:szCs w:val="28"/>
        </w:rPr>
        <w:t>政府性基金预算财政拨款收入支出决算表</w:t>
      </w:r>
      <w:r>
        <w:rPr>
          <w:rFonts w:ascii="仿宋" w:hAnsi="仿宋" w:eastAsia="仿宋"/>
          <w:sz w:val="28"/>
          <w:szCs w:val="28"/>
        </w:rPr>
        <w:tab/>
      </w:r>
      <w:r>
        <w:rPr>
          <w:rFonts w:hint="eastAsia" w:ascii="仿宋" w:hAnsi="仿宋" w:eastAsia="仿宋"/>
          <w:sz w:val="28"/>
          <w:szCs w:val="28"/>
        </w:rPr>
        <w:t>3</w:t>
      </w:r>
      <w:r>
        <w:rPr>
          <w:rFonts w:hint="eastAsia" w:ascii="仿宋" w:hAnsi="仿宋" w:eastAsia="仿宋"/>
          <w:sz w:val="28"/>
          <w:szCs w:val="28"/>
        </w:rPr>
        <w:fldChar w:fldCharType="end"/>
      </w:r>
      <w:r>
        <w:rPr>
          <w:rFonts w:hint="eastAsia" w:ascii="仿宋" w:hAnsi="仿宋" w:eastAsia="仿宋"/>
          <w:sz w:val="28"/>
          <w:szCs w:val="28"/>
        </w:rPr>
        <w:t>4</w:t>
      </w:r>
    </w:p>
    <w:p>
      <w:pPr>
        <w:pStyle w:val="9"/>
        <w:rPr>
          <w:rFonts w:ascii="仿宋" w:hAnsi="仿宋" w:eastAsia="仿宋" w:cstheme="minorBidi"/>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3"/>
          <w:rFonts w:hint="eastAsia" w:ascii="仿宋" w:hAnsi="仿宋" w:eastAsia="仿宋"/>
          <w:sz w:val="28"/>
          <w:szCs w:val="28"/>
        </w:rPr>
        <w:t>政府性基金预算财政拨款“三公”经费支出决算表</w:t>
      </w:r>
      <w:r>
        <w:rPr>
          <w:rFonts w:ascii="仿宋" w:hAnsi="仿宋" w:eastAsia="仿宋"/>
          <w:sz w:val="28"/>
          <w:szCs w:val="28"/>
        </w:rPr>
        <w:tab/>
      </w:r>
      <w:r>
        <w:rPr>
          <w:rFonts w:hint="eastAsia" w:ascii="仿宋" w:hAnsi="仿宋" w:eastAsia="仿宋"/>
          <w:sz w:val="28"/>
          <w:szCs w:val="28"/>
        </w:rPr>
        <w:t>3</w:t>
      </w:r>
      <w:r>
        <w:rPr>
          <w:rFonts w:hint="eastAsia" w:ascii="仿宋" w:hAnsi="仿宋" w:eastAsia="仿宋"/>
          <w:sz w:val="28"/>
          <w:szCs w:val="28"/>
        </w:rPr>
        <w:fldChar w:fldCharType="end"/>
      </w:r>
      <w:r>
        <w:rPr>
          <w:rFonts w:hint="eastAsia" w:ascii="仿宋" w:hAnsi="仿宋" w:eastAsia="仿宋"/>
          <w:sz w:val="28"/>
          <w:szCs w:val="28"/>
        </w:rPr>
        <w:t>4</w:t>
      </w:r>
    </w:p>
    <w:p>
      <w:pPr>
        <w:pStyle w:val="9"/>
        <w:rPr>
          <w:rFonts w:ascii="仿宋" w:hAnsi="仿宋" w:eastAsia="仿宋" w:cstheme="minorBidi"/>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3"/>
          <w:rFonts w:hint="eastAsia" w:ascii="仿宋" w:hAnsi="仿宋" w:eastAsia="仿宋"/>
          <w:sz w:val="28"/>
          <w:szCs w:val="28"/>
        </w:rPr>
        <w:t>国有资本经营预算支出决算表</w:t>
      </w:r>
      <w:r>
        <w:rPr>
          <w:rFonts w:ascii="仿宋" w:hAnsi="仿宋" w:eastAsia="仿宋"/>
          <w:sz w:val="28"/>
          <w:szCs w:val="28"/>
        </w:rPr>
        <w:tab/>
      </w:r>
      <w:r>
        <w:rPr>
          <w:rFonts w:hint="eastAsia" w:ascii="仿宋" w:hAnsi="仿宋" w:eastAsia="仿宋"/>
          <w:sz w:val="28"/>
          <w:szCs w:val="28"/>
        </w:rPr>
        <w:t>3</w:t>
      </w:r>
      <w:r>
        <w:rPr>
          <w:rFonts w:hint="eastAsia" w:ascii="仿宋" w:hAnsi="仿宋" w:eastAsia="仿宋"/>
          <w:sz w:val="28"/>
          <w:szCs w:val="28"/>
        </w:rPr>
        <w:fldChar w:fldCharType="end"/>
      </w:r>
      <w:r>
        <w:rPr>
          <w:rFonts w:hint="eastAsia" w:ascii="仿宋" w:hAnsi="仿宋" w:eastAsia="仿宋"/>
          <w:sz w:val="28"/>
          <w:szCs w:val="28"/>
        </w:rPr>
        <w:t>4</w:t>
      </w:r>
    </w:p>
    <w:p>
      <w:pPr>
        <w:widowControl/>
        <w:jc w:val="left"/>
        <w:rPr>
          <w:rFonts w:ascii="仿宋" w:hAnsi="仿宋" w:eastAsia="仿宋"/>
          <w:color w:val="000000"/>
          <w:sz w:val="24"/>
        </w:rPr>
      </w:pPr>
      <w:r>
        <w:rPr>
          <w:rFonts w:ascii="仿宋" w:hAnsi="仿宋" w:eastAsia="仿宋"/>
          <w:color w:val="000000"/>
          <w:sz w:val="24"/>
        </w:rPr>
        <w:fldChar w:fldCharType="end"/>
      </w:r>
    </w:p>
    <w:p>
      <w:pPr>
        <w:widowControl/>
        <w:jc w:val="left"/>
        <w:rPr>
          <w:rFonts w:ascii="黑体" w:hAnsi="黑体" w:eastAsia="黑体"/>
          <w:bCs/>
          <w:kern w:val="44"/>
          <w:sz w:val="44"/>
          <w:szCs w:val="44"/>
        </w:rPr>
      </w:pPr>
      <w:bookmarkStart w:id="12" w:name="_Toc15377196"/>
      <w:bookmarkStart w:id="13" w:name="_Toc15396599"/>
      <w:r>
        <w:rPr>
          <w:rFonts w:ascii="黑体" w:hAnsi="黑体" w:eastAsia="黑体"/>
          <w:b/>
        </w:rPr>
        <w:br w:type="page"/>
      </w:r>
    </w:p>
    <w:p>
      <w:pPr>
        <w:pStyle w:val="2"/>
        <w:jc w:val="center"/>
        <w:rPr>
          <w:rStyle w:val="14"/>
          <w:rFonts w:ascii="黑体" w:hAnsi="黑体" w:eastAsia="黑体"/>
          <w:b/>
          <w:bCs w:val="0"/>
        </w:rPr>
      </w:pPr>
      <w:r>
        <w:rPr>
          <w:rFonts w:hint="eastAsia" w:ascii="黑体" w:hAnsi="黑体" w:eastAsia="黑体"/>
          <w:b w:val="0"/>
        </w:rPr>
        <w:t xml:space="preserve">第一部分 </w:t>
      </w:r>
      <w:r>
        <w:rPr>
          <w:rStyle w:val="14"/>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3"/>
        <w:rPr>
          <w:rStyle w:val="15"/>
          <w:rFonts w:ascii="仿宋" w:hAnsi="仿宋" w:eastAsia="仿宋"/>
          <w:b w:val="0"/>
          <w:bCs w:val="0"/>
        </w:rPr>
      </w:pPr>
      <w:bookmarkStart w:id="14" w:name="_Toc15377197"/>
      <w:bookmarkStart w:id="15" w:name="_Toc15396600"/>
      <w:r>
        <w:rPr>
          <w:rFonts w:hint="eastAsia" w:ascii="黑体" w:hAnsi="黑体" w:eastAsia="黑体"/>
          <w:b w:val="0"/>
          <w:color w:val="000000"/>
        </w:rPr>
        <w:t>一、基</w:t>
      </w:r>
      <w:r>
        <w:rPr>
          <w:rStyle w:val="15"/>
          <w:rFonts w:hint="eastAsia" w:ascii="黑体" w:hAnsi="黑体" w:eastAsia="黑体"/>
          <w:b w:val="0"/>
          <w:bCs w:val="0"/>
        </w:rPr>
        <w:t>本职能及主要工作</w:t>
      </w:r>
      <w:bookmarkEnd w:id="14"/>
      <w:bookmarkEnd w:id="15"/>
    </w:p>
    <w:p>
      <w:pPr>
        <w:widowControl/>
        <w:jc w:val="left"/>
        <w:rPr>
          <w:rFonts w:ascii="仿宋_GB2312" w:hAnsi="仿宋_GB2312" w:eastAsia="仿宋_GB2312" w:cs="仿宋_GB2312"/>
          <w:b/>
          <w:color w:val="000000"/>
          <w:kern w:val="0"/>
          <w:sz w:val="31"/>
          <w:szCs w:val="31"/>
        </w:rPr>
      </w:pPr>
      <w:r>
        <w:rPr>
          <w:rFonts w:ascii="仿宋_GB2312" w:hAnsi="仿宋_GB2312" w:eastAsia="仿宋_GB2312" w:cs="仿宋_GB2312"/>
          <w:b/>
          <w:color w:val="000000"/>
          <w:kern w:val="0"/>
          <w:sz w:val="31"/>
          <w:szCs w:val="31"/>
        </w:rPr>
        <w:t>（一）</w:t>
      </w:r>
      <w:r>
        <w:rPr>
          <w:rFonts w:hint="eastAsia" w:ascii="仿宋_GB2312" w:hAnsi="仿宋_GB2312" w:eastAsia="仿宋_GB2312" w:cs="仿宋_GB2312"/>
          <w:b/>
          <w:color w:val="000000"/>
          <w:kern w:val="0"/>
          <w:sz w:val="31"/>
          <w:szCs w:val="31"/>
        </w:rPr>
        <w:t>主要职能</w:t>
      </w:r>
    </w:p>
    <w:p>
      <w:pPr>
        <w:widowControl/>
        <w:ind w:firstLine="610" w:firstLineChars="196"/>
        <w:jc w:val="left"/>
      </w:pPr>
      <w:r>
        <w:rPr>
          <w:rFonts w:hint="eastAsia" w:ascii="仿宋_GB2312" w:hAnsi="仿宋_GB2312" w:eastAsia="仿宋_GB2312" w:cs="仿宋_GB2312"/>
          <w:b/>
          <w:color w:val="000000"/>
          <w:kern w:val="0"/>
          <w:sz w:val="31"/>
          <w:szCs w:val="31"/>
        </w:rPr>
        <w:t>1.</w:t>
      </w:r>
      <w:r>
        <w:rPr>
          <w:rFonts w:ascii="仿宋_GB2312" w:hAnsi="仿宋_GB2312" w:eastAsia="仿宋_GB2312" w:cs="仿宋_GB2312"/>
          <w:b/>
          <w:color w:val="000000"/>
          <w:kern w:val="0"/>
          <w:sz w:val="31"/>
          <w:szCs w:val="31"/>
        </w:rPr>
        <w:t>乡党委的主要职责。</w:t>
      </w:r>
      <w:r>
        <w:rPr>
          <w:rFonts w:ascii="仿宋_GB2312" w:hAnsi="仿宋_GB2312" w:eastAsia="仿宋_GB2312" w:cs="仿宋_GB2312"/>
          <w:color w:val="000000"/>
          <w:kern w:val="0"/>
          <w:sz w:val="31"/>
          <w:szCs w:val="31"/>
        </w:rPr>
        <w:t>一是贯彻执行党的路线方针政策和上级党组织及本乡党员代表大会的决议。二是讨论决定本乡经济建设和社会发展中的重大问题。需由乡政权机关或集体经济组织决定的问题，由乡政权机关或集体经济组织依照法律和有关规定作出决定。三是领导乡政权机关和群众组织，支持和保证这些机关的组织依照国家法律法规及各自章程充分行使职权。四是加强乡党委自身建设和以党支部为核心的村级组织建设。五是按照干部管理权限，负责对干部的教育、培养、选拔和监督工作。协助管理上级有关部门驻乡单位的干部。六是领导本乡的社会主义民主</w:t>
      </w:r>
      <w:r>
        <w:rPr>
          <w:rFonts w:hint="eastAsia" w:ascii="仿宋_GB2312" w:hAnsi="仿宋_GB2312" w:eastAsia="仿宋_GB2312" w:cs="仿宋_GB2312"/>
          <w:color w:val="000000"/>
          <w:kern w:val="0"/>
          <w:sz w:val="31"/>
          <w:szCs w:val="31"/>
          <w:lang w:eastAsia="zh-CN"/>
        </w:rPr>
        <w:t>法治</w:t>
      </w:r>
      <w:r>
        <w:rPr>
          <w:rFonts w:ascii="仿宋_GB2312" w:hAnsi="仿宋_GB2312" w:eastAsia="仿宋_GB2312" w:cs="仿宋_GB2312"/>
          <w:color w:val="000000"/>
          <w:kern w:val="0"/>
          <w:sz w:val="31"/>
          <w:szCs w:val="31"/>
        </w:rPr>
        <w:t xml:space="preserve">建设和精神文明建设，做好社会治安综合治理及计划生育工作。七是完成县委交办的工作任务。 </w:t>
      </w:r>
    </w:p>
    <w:p>
      <w:pPr>
        <w:widowControl/>
        <w:ind w:firstLine="610" w:firstLineChars="196"/>
        <w:jc w:val="left"/>
      </w:pPr>
      <w:r>
        <w:rPr>
          <w:rFonts w:hint="eastAsia" w:ascii="仿宋_GB2312" w:hAnsi="仿宋_GB2312" w:eastAsia="仿宋_GB2312" w:cs="仿宋_GB2312"/>
          <w:b/>
          <w:color w:val="000000"/>
          <w:kern w:val="0"/>
          <w:sz w:val="31"/>
          <w:szCs w:val="31"/>
        </w:rPr>
        <w:t>2.</w:t>
      </w:r>
      <w:r>
        <w:rPr>
          <w:rFonts w:ascii="仿宋_GB2312" w:hAnsi="仿宋_GB2312" w:eastAsia="仿宋_GB2312" w:cs="仿宋_GB2312"/>
          <w:b/>
          <w:color w:val="000000"/>
          <w:kern w:val="0"/>
          <w:sz w:val="31"/>
          <w:szCs w:val="31"/>
        </w:rPr>
        <w:t>乡政府的主要职能。</w:t>
      </w:r>
      <w:r>
        <w:rPr>
          <w:rFonts w:ascii="仿宋_GB2312" w:hAnsi="仿宋_GB2312" w:eastAsia="仿宋_GB2312" w:cs="仿宋_GB2312"/>
          <w:color w:val="000000"/>
          <w:kern w:val="0"/>
          <w:sz w:val="31"/>
          <w:szCs w:val="31"/>
        </w:rPr>
        <w:t>一是落实政策。宣传、落实党的路线、方针、政策和国家的法律、法规，稳定农村基本经济制度，坚持依法行政，推进政务公开，加强对村民委员会的指导，提高、培育村民委员会自治能力。二是促进发展。 科学制订发展规划，营造农村经济发展环境，加强农村市场 监督，培育、提升市场功能，搞活市场流通，推广农业技术， 完善农业社会化服务体系，引导农民发展现代农业，调整产业结构，加强农村劳动力技能培训，引导农村劳动力转移和就业，不断提高社会主义新农村建设水平。三是维护稳定</w:t>
      </w:r>
      <w:r>
        <w:rPr>
          <w:rFonts w:hint="eastAsia" w:ascii="仿宋_GB2312" w:hAnsi="仿宋_GB2312" w:eastAsia="仿宋_GB2312" w:cs="仿宋_GB2312"/>
          <w:color w:val="000000"/>
          <w:kern w:val="0"/>
          <w:sz w:val="31"/>
          <w:szCs w:val="31"/>
        </w:rPr>
        <w:t>。</w:t>
      </w:r>
      <w:r>
        <w:rPr>
          <w:rFonts w:ascii="仿宋_GB2312" w:hAnsi="仿宋_GB2312" w:eastAsia="仿宋_GB2312" w:cs="仿宋_GB2312"/>
          <w:color w:val="000000"/>
          <w:kern w:val="0"/>
          <w:sz w:val="31"/>
          <w:szCs w:val="31"/>
        </w:rPr>
        <w:t>坚持“立党为公，执政为民”，紧紧围绕实现和维护群众利益开展工作，突出解决人民群众最关心、最直接、最现实的利益问题。加强和巩固农村基层政权建设和民主</w:t>
      </w:r>
      <w:r>
        <w:rPr>
          <w:rFonts w:hint="eastAsia" w:ascii="仿宋_GB2312" w:hAnsi="仿宋_GB2312" w:eastAsia="仿宋_GB2312" w:cs="仿宋_GB2312"/>
          <w:color w:val="000000"/>
          <w:kern w:val="0"/>
          <w:sz w:val="31"/>
          <w:szCs w:val="31"/>
          <w:lang w:eastAsia="zh-CN"/>
        </w:rPr>
        <w:t>法治</w:t>
      </w:r>
      <w:r>
        <w:rPr>
          <w:rFonts w:ascii="仿宋_GB2312" w:hAnsi="仿宋_GB2312" w:eastAsia="仿宋_GB2312" w:cs="仿宋_GB2312"/>
          <w:color w:val="000000"/>
          <w:kern w:val="0"/>
          <w:sz w:val="31"/>
          <w:szCs w:val="31"/>
        </w:rPr>
        <w:t>建设</w:t>
      </w:r>
      <w:r>
        <w:rPr>
          <w:rFonts w:hint="eastAsia" w:ascii="仿宋_GB2312" w:hAnsi="仿宋_GB2312" w:eastAsia="仿宋_GB2312" w:cs="仿宋_GB2312"/>
          <w:color w:val="000000"/>
          <w:kern w:val="0"/>
          <w:sz w:val="31"/>
          <w:szCs w:val="31"/>
        </w:rPr>
        <w:t>，</w:t>
      </w:r>
      <w:r>
        <w:rPr>
          <w:rFonts w:ascii="仿宋_GB2312" w:hAnsi="仿宋_GB2312" w:eastAsia="仿宋_GB2312" w:cs="仿宋_GB2312"/>
          <w:color w:val="000000"/>
          <w:kern w:val="0"/>
          <w:sz w:val="31"/>
          <w:szCs w:val="31"/>
        </w:rPr>
        <w:t>加强社会治安综合治理，加强对突发事件的预警和管理，建立、健全各种应急机制，加强民事纠纷调解，化解农村社会矛盾，开展农村扶贫和社会救助，切实保障农民合法权益，维护农村社会稳定。四是加强管理。加强民政、教育、科技、文化、卫生、计划生育、安全生产、劳动保障和乡村规划等社会管理，加强社会主义精神文明建设，做好防火减灾工作</w:t>
      </w:r>
      <w:r>
        <w:rPr>
          <w:rFonts w:hint="eastAsia" w:ascii="仿宋_GB2312" w:hAnsi="仿宋_GB2312" w:eastAsia="仿宋_GB2312" w:cs="仿宋_GB2312"/>
          <w:color w:val="000000"/>
          <w:kern w:val="0"/>
          <w:sz w:val="31"/>
          <w:szCs w:val="31"/>
        </w:rPr>
        <w:t>，</w:t>
      </w:r>
      <w:r>
        <w:rPr>
          <w:rFonts w:ascii="仿宋_GB2312" w:hAnsi="仿宋_GB2312" w:eastAsia="仿宋_GB2312" w:cs="仿宋_GB2312"/>
          <w:color w:val="000000"/>
          <w:kern w:val="0"/>
          <w:sz w:val="31"/>
          <w:szCs w:val="31"/>
        </w:rPr>
        <w:t>搞好环境保护，努力改善农村人居环境，不断提高农村人口素质和农民生活质量。五是提供服务。进一步发展和完善农业社会化服务体系，引导各类协会和农村专业合作经济组织发展并充分发挥其作</w:t>
      </w:r>
      <w:bookmarkStart w:id="71" w:name="_GoBack"/>
      <w:bookmarkEnd w:id="71"/>
      <w:r>
        <w:rPr>
          <w:rFonts w:ascii="仿宋_GB2312" w:hAnsi="仿宋_GB2312" w:eastAsia="仿宋_GB2312" w:cs="仿宋_GB2312"/>
          <w:color w:val="000000"/>
          <w:kern w:val="0"/>
          <w:sz w:val="31"/>
          <w:szCs w:val="31"/>
        </w:rPr>
        <w:t xml:space="preserve">用，发展农村社会公益事业和集体公益事业，加强农村基础设施建设，增加公共产品，提供政策、科技、市场信息和社会救济、救助服务，及时向党委、政府反映社情民意，进一步密切党和政府与人民群众的关系。六 是完成县政府交办的工作任务。 </w:t>
      </w:r>
    </w:p>
    <w:p>
      <w:pPr>
        <w:widowControl/>
        <w:ind w:firstLine="610" w:firstLineChars="196"/>
        <w:jc w:val="left"/>
      </w:pPr>
      <w:r>
        <w:rPr>
          <w:rFonts w:hint="eastAsia" w:ascii="仿宋_GB2312" w:hAnsi="仿宋_GB2312" w:eastAsia="仿宋_GB2312" w:cs="仿宋_GB2312"/>
          <w:b/>
          <w:color w:val="000000"/>
          <w:kern w:val="0"/>
          <w:sz w:val="31"/>
          <w:szCs w:val="31"/>
        </w:rPr>
        <w:t>3.</w:t>
      </w:r>
      <w:r>
        <w:rPr>
          <w:rFonts w:ascii="仿宋_GB2312" w:hAnsi="仿宋_GB2312" w:eastAsia="仿宋_GB2312" w:cs="仿宋_GB2312"/>
          <w:b/>
          <w:color w:val="000000"/>
          <w:kern w:val="0"/>
          <w:sz w:val="31"/>
          <w:szCs w:val="31"/>
        </w:rPr>
        <w:t>乡事业单位承担的公益性职能。</w:t>
      </w:r>
      <w:r>
        <w:rPr>
          <w:rFonts w:ascii="仿宋_GB2312" w:hAnsi="仿宋_GB2312" w:eastAsia="仿宋_GB2312" w:cs="仿宋_GB2312"/>
          <w:color w:val="000000"/>
          <w:kern w:val="0"/>
          <w:sz w:val="31"/>
          <w:szCs w:val="31"/>
        </w:rPr>
        <w:t xml:space="preserve">计划生育技术服务、宣传咨询、人员培训和药具发放；农林牧业生产中关键技术和新产品、新农具的引进、试验、示范；农作物的林木病虫害、动物疫病及农业灾害的监测、预报防治和处置；农作物苗情监测和农牧产品生产过程中的质量安全检测、监测和强制性检验；农业公共信息和培训教育服务；小型水利工程及病害水库的整治；水资源管理和防汛抗旱技术服务；水土保持的预防及水土流失的治理；农机安全检查和事故的预防、报告及处理；乡村机耕道的规划、建设；组织农机进行抗灾抢险和跨区域农机作业；城乡登记失业人员和农村劳动力转移就业人员的职业培训、劳务输出和就业管理服务；企事业单位退休人员的社会化管理服务；广播电视“村村通”工程的建设、运行、维护和节目的安全播出；制定年度农村公益性文化项目实施计划；开展多种形式的文娱体育活动和宣传教育活动；完成党委政府交办的其他工作任务。 </w:t>
      </w:r>
    </w:p>
    <w:p>
      <w:pPr>
        <w:pStyle w:val="4"/>
        <w:adjustRightInd w:val="0"/>
        <w:snapToGrid w:val="0"/>
        <w:spacing w:before="93" w:line="600" w:lineRule="exact"/>
        <w:ind w:firstLine="762" w:firstLineChars="245"/>
        <w:outlineLvl w:val="2"/>
        <w:rPr>
          <w:rFonts w:hAnsi="仿宋_GB2312" w:cs="仿宋_GB2312"/>
          <w:b/>
          <w:bCs/>
          <w:color w:val="000000"/>
          <w:sz w:val="31"/>
          <w:szCs w:val="31"/>
        </w:rPr>
      </w:pPr>
      <w:r>
        <w:rPr>
          <w:rFonts w:hAnsi="仿宋_GB2312" w:cs="仿宋_GB2312"/>
          <w:b/>
          <w:bCs/>
          <w:color w:val="000000"/>
          <w:sz w:val="31"/>
          <w:szCs w:val="31"/>
        </w:rPr>
        <w:t>（二）201</w:t>
      </w:r>
      <w:r>
        <w:rPr>
          <w:rFonts w:hint="eastAsia" w:hAnsi="仿宋_GB2312" w:cs="仿宋_GB2312"/>
          <w:b/>
          <w:bCs/>
          <w:color w:val="000000"/>
          <w:sz w:val="31"/>
          <w:szCs w:val="31"/>
        </w:rPr>
        <w:t>8</w:t>
      </w:r>
      <w:r>
        <w:rPr>
          <w:rFonts w:hAnsi="仿宋_GB2312" w:cs="仿宋_GB2312"/>
          <w:b/>
          <w:bCs/>
          <w:color w:val="000000"/>
          <w:sz w:val="31"/>
          <w:szCs w:val="31"/>
        </w:rPr>
        <w:t xml:space="preserve"> 年政府主要工作</w:t>
      </w:r>
      <w:r>
        <w:rPr>
          <w:rFonts w:hint="eastAsia" w:hAnsi="仿宋_GB2312" w:cs="仿宋_GB2312"/>
          <w:b/>
          <w:bCs/>
          <w:color w:val="000000"/>
          <w:sz w:val="31"/>
          <w:szCs w:val="31"/>
        </w:rPr>
        <w:t>完成情况</w:t>
      </w:r>
    </w:p>
    <w:p>
      <w:pPr>
        <w:pStyle w:val="4"/>
        <w:adjustRightInd w:val="0"/>
        <w:snapToGrid w:val="0"/>
        <w:spacing w:before="93" w:line="600" w:lineRule="exact"/>
        <w:ind w:firstLine="620" w:firstLineChars="200"/>
        <w:outlineLvl w:val="2"/>
        <w:rPr>
          <w:rFonts w:hAnsi="仿宋_GB2312" w:cs="仿宋_GB2312"/>
          <w:color w:val="000000"/>
          <w:sz w:val="31"/>
          <w:szCs w:val="31"/>
        </w:rPr>
      </w:pPr>
      <w:r>
        <w:rPr>
          <w:rFonts w:hint="eastAsia" w:hAnsi="仿宋_GB2312" w:cs="仿宋_GB2312"/>
          <w:color w:val="000000"/>
          <w:sz w:val="31"/>
          <w:szCs w:val="31"/>
        </w:rPr>
        <w:t>一是狠抓基层党建，建设服务型党组织；二是狠抓党风廉政，推进反腐倡廉建设；三是聚力精准扶贫，如期完成脱贫攻坚；四是坚持项目引领，不断夯实基层基础；五是突出乡村振兴优势，打造生态循环产业；六是加强环境保护，持续改善乡村环境；七是统筹协调发展，着力保障改善民生；八是强化综合治理，构建和谐稳定社会；九是提升群众素质，加强乡风文明建设。</w:t>
      </w:r>
    </w:p>
    <w:p>
      <w:pPr>
        <w:widowControl/>
        <w:jc w:val="left"/>
        <w:rPr>
          <w:rFonts w:ascii="仿宋" w:hAnsi="仿宋" w:eastAsia="仿宋"/>
          <w:bCs/>
          <w:color w:val="000000"/>
          <w:sz w:val="32"/>
          <w:szCs w:val="32"/>
        </w:rPr>
      </w:pPr>
    </w:p>
    <w:p>
      <w:pPr>
        <w:pStyle w:val="3"/>
        <w:numPr>
          <w:ilvl w:val="0"/>
          <w:numId w:val="1"/>
        </w:numPr>
        <w:rPr>
          <w:rStyle w:val="15"/>
          <w:rFonts w:ascii="黑体" w:hAnsi="黑体" w:eastAsia="黑体"/>
          <w:b w:val="0"/>
          <w:bCs w:val="0"/>
        </w:rPr>
      </w:pPr>
      <w:bookmarkStart w:id="16" w:name="_Toc15396601"/>
      <w:bookmarkStart w:id="17" w:name="_Toc15377200"/>
      <w:r>
        <w:rPr>
          <w:rFonts w:hint="eastAsia" w:ascii="黑体" w:hAnsi="黑体" w:eastAsia="黑体"/>
          <w:b w:val="0"/>
          <w:color w:val="000000"/>
        </w:rPr>
        <w:t>机</w:t>
      </w:r>
      <w:r>
        <w:rPr>
          <w:rStyle w:val="15"/>
          <w:rFonts w:hint="eastAsia" w:ascii="黑体" w:hAnsi="黑体" w:eastAsia="黑体"/>
          <w:b w:val="0"/>
          <w:bCs w:val="0"/>
        </w:rPr>
        <w:t>构设置</w:t>
      </w:r>
      <w:bookmarkEnd w:id="16"/>
      <w:bookmarkEnd w:id="17"/>
      <w:bookmarkStart w:id="18" w:name="_Toc15396602"/>
      <w:bookmarkStart w:id="19" w:name="_Toc15377204"/>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门坎乡人民政府是一个一级预算单位，无下属二级单位。</w:t>
      </w:r>
      <w:r>
        <w:rPr>
          <w:rFonts w:hint="eastAsia" w:ascii="仿宋_GB2312" w:eastAsia="仿宋_GB2312"/>
          <w:color w:val="000000"/>
          <w:sz w:val="32"/>
          <w:szCs w:val="32"/>
        </w:rPr>
        <w:t>设直属事业单位4个：农业技术服务中心、社会事业服务中心、水库、兽医站。</w:t>
      </w:r>
      <w:r>
        <w:rPr>
          <w:rFonts w:hint="eastAsia" w:ascii="仿宋_GB2312" w:hAnsi="仿宋_GB2312" w:eastAsia="仿宋_GB2312" w:cs="仿宋_GB2312"/>
          <w:color w:val="000000"/>
          <w:sz w:val="32"/>
          <w:szCs w:val="32"/>
        </w:rPr>
        <w:t>门坎乡人民政府总编制 40 个，其中行政编制 17 个，工勤编制 2 个，事业编制 21 个。现有在职人员总数 32 人，其中行政 13 人，工勤1 人，事业 18人。</w:t>
      </w:r>
    </w:p>
    <w:p>
      <w:pPr>
        <w:spacing w:line="600" w:lineRule="exact"/>
        <w:ind w:firstLine="640" w:firstLineChars="200"/>
        <w:rPr>
          <w:rFonts w:ascii="仿宋_GB2312" w:hAnsi="仿宋_GB2312" w:eastAsia="仿宋_GB2312" w:cs="仿宋_GB2312"/>
          <w:color w:val="000000"/>
          <w:sz w:val="32"/>
          <w:szCs w:val="32"/>
        </w:rPr>
      </w:pPr>
    </w:p>
    <w:p>
      <w:pPr>
        <w:spacing w:line="600" w:lineRule="exact"/>
        <w:ind w:firstLine="640" w:firstLineChars="200"/>
        <w:rPr>
          <w:rFonts w:ascii="仿宋_GB2312" w:hAnsi="仿宋_GB2312" w:eastAsia="仿宋_GB2312" w:cs="仿宋_GB2312"/>
          <w:color w:val="000000"/>
          <w:sz w:val="32"/>
          <w:szCs w:val="32"/>
        </w:rPr>
      </w:pPr>
    </w:p>
    <w:p>
      <w:pPr>
        <w:spacing w:line="600" w:lineRule="exact"/>
        <w:ind w:firstLine="640" w:firstLineChars="200"/>
        <w:rPr>
          <w:rFonts w:ascii="仿宋_GB2312" w:hAnsi="仿宋_GB2312" w:eastAsia="仿宋_GB2312" w:cs="仿宋_GB2312"/>
          <w:color w:val="000000"/>
          <w:sz w:val="32"/>
          <w:szCs w:val="32"/>
        </w:rPr>
      </w:pPr>
    </w:p>
    <w:p>
      <w:pPr>
        <w:spacing w:line="600" w:lineRule="exact"/>
        <w:ind w:firstLine="640" w:firstLineChars="200"/>
        <w:rPr>
          <w:rFonts w:ascii="仿宋_GB2312" w:hAnsi="仿宋_GB2312" w:eastAsia="仿宋_GB2312" w:cs="仿宋_GB2312"/>
          <w:color w:val="000000"/>
          <w:sz w:val="32"/>
          <w:szCs w:val="32"/>
        </w:rPr>
      </w:pPr>
    </w:p>
    <w:p>
      <w:pPr>
        <w:spacing w:line="600" w:lineRule="exact"/>
        <w:ind w:firstLine="640" w:firstLineChars="200"/>
        <w:rPr>
          <w:rFonts w:ascii="仿宋_GB2312" w:hAnsi="仿宋_GB2312" w:eastAsia="仿宋_GB2312" w:cs="仿宋_GB2312"/>
          <w:color w:val="000000"/>
          <w:sz w:val="32"/>
          <w:szCs w:val="32"/>
        </w:rPr>
      </w:pPr>
    </w:p>
    <w:p>
      <w:pPr>
        <w:spacing w:line="600" w:lineRule="exact"/>
        <w:ind w:firstLine="640" w:firstLineChars="200"/>
        <w:rPr>
          <w:rFonts w:ascii="仿宋_GB2312" w:hAnsi="仿宋_GB2312" w:eastAsia="仿宋_GB2312" w:cs="仿宋_GB2312"/>
          <w:color w:val="000000"/>
          <w:sz w:val="32"/>
          <w:szCs w:val="32"/>
        </w:rPr>
      </w:pPr>
    </w:p>
    <w:p>
      <w:pPr>
        <w:spacing w:line="600" w:lineRule="exact"/>
        <w:ind w:firstLine="640" w:firstLineChars="200"/>
        <w:rPr>
          <w:rFonts w:ascii="仿宋_GB2312" w:hAnsi="仿宋_GB2312" w:eastAsia="仿宋_GB2312" w:cs="仿宋_GB2312"/>
          <w:color w:val="000000"/>
          <w:sz w:val="32"/>
          <w:szCs w:val="32"/>
        </w:rPr>
      </w:pPr>
    </w:p>
    <w:p>
      <w:pPr>
        <w:spacing w:line="600" w:lineRule="exact"/>
        <w:ind w:firstLine="640" w:firstLineChars="200"/>
        <w:rPr>
          <w:rFonts w:ascii="仿宋_GB2312" w:hAnsi="仿宋_GB2312" w:eastAsia="仿宋_GB2312" w:cs="仿宋_GB2312"/>
          <w:color w:val="000000"/>
          <w:sz w:val="32"/>
          <w:szCs w:val="32"/>
        </w:rPr>
      </w:pPr>
    </w:p>
    <w:p>
      <w:pPr>
        <w:spacing w:line="600" w:lineRule="exact"/>
        <w:ind w:firstLine="640" w:firstLineChars="200"/>
        <w:rPr>
          <w:rFonts w:ascii="仿宋_GB2312" w:hAnsi="仿宋_GB2312" w:eastAsia="仿宋_GB2312" w:cs="仿宋_GB2312"/>
          <w:color w:val="000000"/>
          <w:sz w:val="32"/>
          <w:szCs w:val="32"/>
        </w:rPr>
      </w:pPr>
    </w:p>
    <w:p>
      <w:pPr>
        <w:spacing w:line="600" w:lineRule="exact"/>
        <w:ind w:firstLine="640" w:firstLineChars="200"/>
        <w:rPr>
          <w:rFonts w:ascii="仿宋_GB2312" w:hAnsi="仿宋_GB2312" w:eastAsia="仿宋_GB2312" w:cs="仿宋_GB2312"/>
          <w:color w:val="000000"/>
          <w:sz w:val="32"/>
          <w:szCs w:val="32"/>
        </w:rPr>
      </w:pPr>
    </w:p>
    <w:p>
      <w:pPr>
        <w:spacing w:line="600" w:lineRule="exact"/>
        <w:ind w:firstLine="640" w:firstLineChars="200"/>
        <w:rPr>
          <w:rFonts w:ascii="仿宋_GB2312" w:hAnsi="仿宋_GB2312" w:eastAsia="仿宋_GB2312" w:cs="仿宋_GB2312"/>
          <w:color w:val="000000"/>
          <w:sz w:val="32"/>
          <w:szCs w:val="32"/>
        </w:rPr>
      </w:pPr>
    </w:p>
    <w:p>
      <w:pPr>
        <w:spacing w:line="600" w:lineRule="exact"/>
        <w:ind w:firstLine="640" w:firstLineChars="200"/>
        <w:rPr>
          <w:rFonts w:ascii="仿宋_GB2312" w:hAnsi="仿宋_GB2312" w:eastAsia="仿宋_GB2312" w:cs="仿宋_GB2312"/>
          <w:color w:val="000000"/>
          <w:sz w:val="32"/>
          <w:szCs w:val="32"/>
        </w:rPr>
      </w:pPr>
    </w:p>
    <w:p>
      <w:pPr>
        <w:spacing w:line="600" w:lineRule="exact"/>
        <w:ind w:firstLine="640" w:firstLineChars="200"/>
        <w:rPr>
          <w:rFonts w:ascii="仿宋_GB2312" w:hAnsi="仿宋_GB2312" w:eastAsia="仿宋_GB2312" w:cs="仿宋_GB2312"/>
          <w:color w:val="000000"/>
          <w:sz w:val="32"/>
          <w:szCs w:val="32"/>
        </w:rPr>
      </w:pPr>
    </w:p>
    <w:p>
      <w:pPr>
        <w:spacing w:line="600" w:lineRule="exact"/>
        <w:ind w:firstLine="640" w:firstLineChars="200"/>
        <w:rPr>
          <w:rFonts w:ascii="仿宋_GB2312" w:hAnsi="仿宋_GB2312" w:eastAsia="仿宋_GB2312" w:cs="仿宋_GB2312"/>
          <w:color w:val="000000"/>
          <w:sz w:val="32"/>
          <w:szCs w:val="32"/>
        </w:rPr>
      </w:pPr>
    </w:p>
    <w:p>
      <w:pPr>
        <w:pStyle w:val="2"/>
        <w:ind w:right="440"/>
        <w:jc w:val="right"/>
      </w:pPr>
      <w:r>
        <w:rPr>
          <w:rFonts w:hint="eastAsia" w:ascii="黑体" w:hAnsi="黑体" w:eastAsia="黑体"/>
          <w:b w:val="0"/>
          <w:color w:val="000000"/>
        </w:rPr>
        <w:t>第二部分</w:t>
      </w:r>
      <w:r>
        <w:rPr>
          <w:rStyle w:val="14"/>
          <w:rFonts w:hint="eastAsia" w:ascii="黑体" w:hAnsi="黑体" w:eastAsia="黑体"/>
          <w:b w:val="0"/>
          <w:bCs w:val="0"/>
        </w:rPr>
        <w:t>2018年度部门决算情况说明</w:t>
      </w:r>
      <w:bookmarkEnd w:id="18"/>
      <w:bookmarkEnd w:id="19"/>
    </w:p>
    <w:p>
      <w:pPr>
        <w:pStyle w:val="16"/>
        <w:numPr>
          <w:ilvl w:val="0"/>
          <w:numId w:val="2"/>
        </w:numPr>
        <w:spacing w:line="600" w:lineRule="exact"/>
        <w:ind w:firstLineChars="0"/>
        <w:outlineLvl w:val="1"/>
        <w:rPr>
          <w:rStyle w:val="15"/>
          <w:rFonts w:ascii="黑体" w:hAnsi="黑体" w:eastAsia="黑体"/>
          <w:b w:val="0"/>
        </w:rPr>
      </w:pPr>
      <w:bookmarkStart w:id="20" w:name="_Toc15377205"/>
      <w:bookmarkStart w:id="21" w:name="_Toc15396603"/>
      <w:r>
        <w:rPr>
          <w:rFonts w:hint="eastAsia" w:ascii="黑体" w:hAnsi="黑体" w:eastAsia="黑体"/>
          <w:color w:val="000000"/>
          <w:sz w:val="32"/>
          <w:szCs w:val="32"/>
        </w:rPr>
        <w:t>收</w:t>
      </w:r>
      <w:r>
        <w:rPr>
          <w:rStyle w:val="15"/>
          <w:rFonts w:hint="eastAsia" w:ascii="黑体" w:hAnsi="黑体" w:eastAsia="黑体"/>
          <w:b w:val="0"/>
        </w:rPr>
        <w:t>入支出决算总体情况说明</w:t>
      </w:r>
      <w:bookmarkEnd w:id="20"/>
      <w:bookmarkEnd w:id="21"/>
    </w:p>
    <w:p>
      <w:pPr>
        <w:widowControl/>
        <w:ind w:firstLine="620" w:firstLineChars="200"/>
        <w:jc w:val="left"/>
        <w:rPr>
          <w:rFonts w:ascii="仿宋_GB2312" w:hAnsi="仿宋_GB2312" w:eastAsia="仿宋_GB2312" w:cs="仿宋_GB2312"/>
          <w:color w:val="000000"/>
          <w:kern w:val="0"/>
          <w:sz w:val="31"/>
          <w:szCs w:val="31"/>
        </w:rPr>
      </w:pPr>
      <w:r>
        <w:rPr>
          <w:rFonts w:ascii="仿宋_GB2312" w:hAnsi="仿宋_GB2312" w:eastAsia="仿宋_GB2312" w:cs="仿宋_GB2312"/>
          <w:color w:val="000000"/>
          <w:kern w:val="0"/>
          <w:sz w:val="31"/>
          <w:szCs w:val="31"/>
        </w:rPr>
        <w:t>201</w:t>
      </w:r>
      <w:r>
        <w:rPr>
          <w:rFonts w:hint="eastAsia" w:ascii="仿宋_GB2312" w:hAnsi="仿宋_GB2312" w:eastAsia="仿宋_GB2312" w:cs="仿宋_GB2312"/>
          <w:color w:val="000000"/>
          <w:kern w:val="0"/>
          <w:sz w:val="31"/>
          <w:szCs w:val="31"/>
        </w:rPr>
        <w:t>8</w:t>
      </w:r>
      <w:r>
        <w:rPr>
          <w:rFonts w:ascii="仿宋_GB2312" w:hAnsi="仿宋_GB2312" w:eastAsia="仿宋_GB2312" w:cs="仿宋_GB2312"/>
          <w:color w:val="000000"/>
          <w:kern w:val="0"/>
          <w:sz w:val="31"/>
          <w:szCs w:val="31"/>
        </w:rPr>
        <w:t xml:space="preserve"> 年度收支总计</w:t>
      </w:r>
      <w:r>
        <w:rPr>
          <w:rFonts w:hint="eastAsia" w:ascii="仿宋_GB2312" w:hAnsi="仿宋_GB2312" w:eastAsia="仿宋_GB2312" w:cs="仿宋_GB2312"/>
          <w:color w:val="000000"/>
          <w:kern w:val="0"/>
          <w:sz w:val="31"/>
          <w:szCs w:val="31"/>
        </w:rPr>
        <w:t>975.11</w:t>
      </w:r>
      <w:r>
        <w:rPr>
          <w:rFonts w:ascii="仿宋_GB2312" w:hAnsi="仿宋_GB2312" w:eastAsia="仿宋_GB2312" w:cs="仿宋_GB2312"/>
          <w:color w:val="000000"/>
          <w:kern w:val="0"/>
          <w:sz w:val="31"/>
          <w:szCs w:val="31"/>
        </w:rPr>
        <w:t>万元。与201</w:t>
      </w:r>
      <w:r>
        <w:rPr>
          <w:rFonts w:hint="eastAsia" w:ascii="仿宋_GB2312" w:hAnsi="仿宋_GB2312" w:eastAsia="仿宋_GB2312" w:cs="仿宋_GB2312"/>
          <w:color w:val="000000"/>
          <w:kern w:val="0"/>
          <w:sz w:val="31"/>
          <w:szCs w:val="31"/>
        </w:rPr>
        <w:t>7</w:t>
      </w:r>
      <w:r>
        <w:rPr>
          <w:rFonts w:ascii="仿宋_GB2312" w:hAnsi="仿宋_GB2312" w:eastAsia="仿宋_GB2312" w:cs="仿宋_GB2312"/>
          <w:color w:val="000000"/>
          <w:kern w:val="0"/>
          <w:sz w:val="31"/>
          <w:szCs w:val="31"/>
        </w:rPr>
        <w:t>年相比，</w:t>
      </w:r>
      <w:r>
        <w:rPr>
          <w:rFonts w:hint="eastAsia" w:ascii="仿宋_GB2312" w:hAnsi="仿宋_GB2312" w:eastAsia="仿宋_GB2312" w:cs="仿宋_GB2312"/>
          <w:color w:val="000000"/>
          <w:kern w:val="0"/>
          <w:sz w:val="31"/>
          <w:szCs w:val="31"/>
        </w:rPr>
        <w:t>收支总计各</w:t>
      </w:r>
      <w:r>
        <w:rPr>
          <w:rFonts w:ascii="仿宋_GB2312" w:hAnsi="仿宋_GB2312" w:eastAsia="仿宋_GB2312" w:cs="仿宋_GB2312"/>
          <w:color w:val="000000"/>
          <w:kern w:val="0"/>
          <w:sz w:val="31"/>
          <w:szCs w:val="31"/>
        </w:rPr>
        <w:t>增加</w:t>
      </w:r>
      <w:r>
        <w:rPr>
          <w:rFonts w:hint="eastAsia" w:ascii="仿宋_GB2312" w:hAnsi="仿宋_GB2312" w:eastAsia="仿宋_GB2312" w:cs="仿宋_GB2312"/>
          <w:color w:val="000000"/>
          <w:kern w:val="0"/>
          <w:sz w:val="31"/>
          <w:szCs w:val="31"/>
        </w:rPr>
        <w:t>175.62</w:t>
      </w:r>
      <w:r>
        <w:rPr>
          <w:rFonts w:ascii="仿宋_GB2312" w:hAnsi="仿宋_GB2312" w:eastAsia="仿宋_GB2312" w:cs="仿宋_GB2312"/>
          <w:color w:val="000000"/>
          <w:kern w:val="0"/>
          <w:sz w:val="31"/>
          <w:szCs w:val="31"/>
        </w:rPr>
        <w:t>万元，同比增长</w:t>
      </w:r>
      <w:r>
        <w:rPr>
          <w:rFonts w:hint="eastAsia" w:ascii="仿宋_GB2312" w:hAnsi="仿宋_GB2312" w:eastAsia="仿宋_GB2312" w:cs="仿宋_GB2312"/>
          <w:color w:val="000000"/>
          <w:kern w:val="0"/>
          <w:sz w:val="31"/>
          <w:szCs w:val="31"/>
        </w:rPr>
        <w:t>21.97</w:t>
      </w:r>
      <w:r>
        <w:rPr>
          <w:rFonts w:ascii="仿宋_GB2312" w:hAnsi="仿宋_GB2312" w:eastAsia="仿宋_GB2312" w:cs="仿宋_GB2312"/>
          <w:color w:val="000000"/>
          <w:kern w:val="0"/>
          <w:sz w:val="31"/>
          <w:szCs w:val="31"/>
        </w:rPr>
        <w:t>%,</w:t>
      </w:r>
      <w:r>
        <w:rPr>
          <w:rFonts w:hint="eastAsia" w:ascii="仿宋_GB2312" w:hAnsi="仿宋_GB2312" w:eastAsia="仿宋_GB2312" w:cs="仿宋_GB2312"/>
          <w:color w:val="000000"/>
          <w:kern w:val="0"/>
          <w:sz w:val="31"/>
          <w:szCs w:val="31"/>
        </w:rPr>
        <w:t>主要</w:t>
      </w:r>
      <w:r>
        <w:rPr>
          <w:rFonts w:ascii="仿宋_GB2312" w:hAnsi="仿宋_GB2312" w:eastAsia="仿宋_GB2312" w:cs="仿宋_GB2312"/>
          <w:color w:val="000000"/>
          <w:kern w:val="0"/>
          <w:sz w:val="31"/>
          <w:szCs w:val="31"/>
        </w:rPr>
        <w:t>原因是</w:t>
      </w:r>
      <w:r>
        <w:rPr>
          <w:rFonts w:hint="eastAsia" w:ascii="仿宋_GB2312" w:eastAsia="仿宋_GB2312"/>
          <w:color w:val="000000"/>
          <w:sz w:val="32"/>
          <w:szCs w:val="32"/>
        </w:rPr>
        <w:t>财政拨款项目资金增加、</w:t>
      </w:r>
      <w:r>
        <w:rPr>
          <w:rFonts w:ascii="仿宋_GB2312" w:hAnsi="仿宋_GB2312" w:eastAsia="仿宋_GB2312" w:cs="仿宋_GB2312"/>
          <w:color w:val="000000"/>
          <w:kern w:val="0"/>
          <w:sz w:val="31"/>
          <w:szCs w:val="31"/>
        </w:rPr>
        <w:t>人员增加。</w:t>
      </w:r>
    </w:p>
    <w:p>
      <w:pPr>
        <w:widowControl/>
        <w:jc w:val="left"/>
        <w:rPr>
          <w:rFonts w:ascii="仿宋_GB2312" w:eastAsia="仿宋_GB2312"/>
          <w:color w:val="000000"/>
          <w:sz w:val="32"/>
          <w:szCs w:val="32"/>
        </w:rPr>
      </w:pPr>
      <w:r>
        <w:rPr>
          <w:rFonts w:hint="eastAsia" w:ascii="仿宋_GB2312" w:eastAsia="仿宋_GB2312"/>
          <w:color w:val="000000"/>
          <w:sz w:val="32"/>
          <w:szCs w:val="32"/>
        </w:rPr>
        <w:t>图1：</w:t>
      </w:r>
    </w:p>
    <w:p>
      <w:pPr>
        <w:widowControl/>
        <w:jc w:val="left"/>
        <w:rPr>
          <w:rFonts w:ascii="仿宋_GB2312" w:eastAsia="仿宋_GB2312"/>
          <w:color w:val="000000"/>
          <w:sz w:val="32"/>
          <w:szCs w:val="32"/>
        </w:rPr>
      </w:pPr>
      <w:r>
        <w:rPr>
          <w:rFonts w:hint="eastAsia" w:ascii="仿宋_GB2312" w:eastAsia="仿宋_GB2312"/>
          <w:color w:val="000000"/>
          <w:sz w:val="32"/>
          <w:szCs w:val="32"/>
        </w:rPr>
        <w:drawing>
          <wp:inline distT="0" distB="0" distL="114300" distR="114300">
            <wp:extent cx="4975225" cy="2810510"/>
            <wp:effectExtent l="4445" t="4445" r="11430" b="2349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16"/>
        <w:numPr>
          <w:ilvl w:val="0"/>
          <w:numId w:val="2"/>
        </w:numPr>
        <w:spacing w:line="600" w:lineRule="exact"/>
        <w:ind w:firstLineChars="0"/>
        <w:outlineLvl w:val="1"/>
        <w:rPr>
          <w:rStyle w:val="15"/>
          <w:rFonts w:ascii="黑体" w:hAnsi="黑体" w:eastAsia="黑体"/>
          <w:b w:val="0"/>
        </w:rPr>
      </w:pPr>
      <w:bookmarkStart w:id="22" w:name="_Toc15396604"/>
      <w:bookmarkStart w:id="23" w:name="_Toc15377206"/>
      <w:r>
        <w:rPr>
          <w:rFonts w:hint="eastAsia" w:ascii="黑体" w:hAnsi="黑体" w:eastAsia="黑体"/>
          <w:color w:val="000000"/>
          <w:sz w:val="32"/>
          <w:szCs w:val="32"/>
        </w:rPr>
        <w:t>收</w:t>
      </w:r>
      <w:r>
        <w:rPr>
          <w:rStyle w:val="15"/>
          <w:rFonts w:hint="eastAsia" w:ascii="黑体" w:hAnsi="黑体" w:eastAsia="黑体"/>
          <w:b w:val="0"/>
        </w:rPr>
        <w:t>入决算情况说明</w:t>
      </w:r>
      <w:bookmarkEnd w:id="22"/>
      <w:bookmarkEnd w:id="23"/>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2018年门坎乡本年收入合计 911.06万元，其中：一般</w:t>
      </w:r>
    </w:p>
    <w:p>
      <w:pPr>
        <w:spacing w:line="600" w:lineRule="exact"/>
        <w:rPr>
          <w:rFonts w:ascii="仿宋_GB2312" w:eastAsia="仿宋_GB2312"/>
          <w:color w:val="000000"/>
          <w:sz w:val="32"/>
          <w:szCs w:val="32"/>
        </w:rPr>
      </w:pPr>
      <w:r>
        <w:rPr>
          <w:rFonts w:hint="eastAsia" w:ascii="仿宋_GB2312" w:eastAsia="仿宋_GB2312"/>
          <w:color w:val="000000"/>
          <w:sz w:val="32"/>
          <w:szCs w:val="32"/>
        </w:rPr>
        <w:t>公共预算财政拨款收入872.41万元，占95.76%；政府性基金预算财政拨款收入37.6万元，占4.13%；国有资本经营预算财政拨款收入 0 万元，占 0%；事业收入 0 万元，占 0%；经营收入 0 万元，占 0%；附属单位上缴收入 0 万元，占 0%；其他收入1.05 万元（利息收入），占0.11%。</w:t>
      </w:r>
    </w:p>
    <w:p>
      <w:pPr>
        <w:spacing w:line="600" w:lineRule="exact"/>
        <w:rPr>
          <w:rFonts w:ascii="仿宋_GB2312" w:eastAsia="仿宋_GB2312"/>
          <w:color w:val="000000"/>
          <w:sz w:val="32"/>
          <w:szCs w:val="32"/>
        </w:rPr>
      </w:pPr>
      <w:r>
        <w:rPr>
          <w:rFonts w:hint="eastAsia" w:ascii="仿宋_GB2312" w:eastAsia="仿宋_GB2312"/>
          <w:color w:val="000000"/>
          <w:sz w:val="32"/>
          <w:szCs w:val="32"/>
        </w:rPr>
        <w:t>图2：</w:t>
      </w:r>
    </w:p>
    <w:p>
      <w:pPr>
        <w:spacing w:line="600" w:lineRule="exact"/>
        <w:rPr>
          <w:rFonts w:ascii="仿宋_GB2312" w:eastAsia="仿宋_GB2312"/>
          <w:color w:val="000000"/>
          <w:sz w:val="32"/>
          <w:szCs w:val="32"/>
        </w:rPr>
      </w:pPr>
    </w:p>
    <w:p>
      <w:pPr>
        <w:spacing w:line="600" w:lineRule="exact"/>
        <w:rPr>
          <w:rFonts w:ascii="仿宋_GB2312" w:eastAsia="仿宋_GB2312"/>
          <w:color w:val="000000"/>
          <w:sz w:val="32"/>
          <w:szCs w:val="32"/>
        </w:rPr>
      </w:pPr>
      <w:r>
        <w:rPr>
          <w:rFonts w:hint="eastAsia" w:ascii="仿宋_GB2312" w:eastAsia="仿宋_GB2312"/>
          <w:color w:val="000000"/>
          <w:sz w:val="32"/>
          <w:szCs w:val="32"/>
        </w:rPr>
        <w:drawing>
          <wp:anchor distT="0" distB="0" distL="114300" distR="114300" simplePos="0" relativeHeight="251659264" behindDoc="0" locked="0" layoutInCell="1" allowOverlap="1">
            <wp:simplePos x="0" y="0"/>
            <wp:positionH relativeFrom="column">
              <wp:posOffset>13970</wp:posOffset>
            </wp:positionH>
            <wp:positionV relativeFrom="paragraph">
              <wp:posOffset>180975</wp:posOffset>
            </wp:positionV>
            <wp:extent cx="5127625" cy="2649220"/>
            <wp:effectExtent l="4445" t="4445" r="11430" b="13335"/>
            <wp:wrapNone/>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pacing w:line="600" w:lineRule="exact"/>
        <w:rPr>
          <w:rFonts w:ascii="仿宋_GB2312" w:eastAsia="仿宋_GB2312"/>
          <w:color w:val="000000"/>
          <w:sz w:val="32"/>
          <w:szCs w:val="32"/>
        </w:rPr>
      </w:pPr>
    </w:p>
    <w:p>
      <w:pPr>
        <w:rPr>
          <w:rFonts w:ascii="仿宋_GB2312" w:eastAsia="仿宋_GB2312"/>
          <w:color w:val="000000"/>
          <w:sz w:val="32"/>
          <w:szCs w:val="32"/>
        </w:rPr>
      </w:pPr>
    </w:p>
    <w:p>
      <w:pPr>
        <w:spacing w:line="600" w:lineRule="exact"/>
        <w:rPr>
          <w:rFonts w:ascii="仿宋_GB2312" w:eastAsia="仿宋_GB2312"/>
          <w:color w:val="000000"/>
          <w:sz w:val="32"/>
          <w:szCs w:val="32"/>
        </w:rPr>
      </w:pPr>
    </w:p>
    <w:p>
      <w:pPr>
        <w:rPr>
          <w:rFonts w:ascii="仿宋_GB2312" w:eastAsia="仿宋_GB2312"/>
          <w:color w:val="000000"/>
          <w:sz w:val="32"/>
          <w:szCs w:val="32"/>
        </w:rPr>
      </w:pPr>
    </w:p>
    <w:p>
      <w:pPr>
        <w:spacing w:line="600" w:lineRule="exact"/>
        <w:rPr>
          <w:rFonts w:ascii="宋体" w:hAnsi="宋体" w:cs="宋体"/>
          <w:color w:val="000000"/>
          <w:kern w:val="0"/>
          <w:sz w:val="29"/>
          <w:szCs w:val="29"/>
        </w:rPr>
      </w:pPr>
    </w:p>
    <w:p>
      <w:pPr>
        <w:spacing w:line="600" w:lineRule="exact"/>
        <w:rPr>
          <w:rFonts w:ascii="宋体" w:hAnsi="宋体" w:cs="宋体"/>
          <w:color w:val="000000"/>
          <w:kern w:val="0"/>
          <w:sz w:val="18"/>
          <w:szCs w:val="18"/>
        </w:rPr>
      </w:pPr>
    </w:p>
    <w:p>
      <w:pPr>
        <w:spacing w:line="600" w:lineRule="exact"/>
        <w:ind w:firstLine="422" w:firstLineChars="200"/>
        <w:jc w:val="center"/>
        <w:rPr>
          <w:rFonts w:ascii="宋体" w:hAnsi="宋体" w:cs="宋体"/>
          <w:b/>
          <w:bCs/>
          <w:color w:val="000000"/>
          <w:kern w:val="0"/>
          <w:szCs w:val="21"/>
        </w:rPr>
      </w:pPr>
      <w:r>
        <w:rPr>
          <w:rFonts w:hint="eastAsia" w:ascii="宋体" w:hAnsi="宋体" w:cs="宋体"/>
          <w:b/>
          <w:bCs/>
          <w:color w:val="000000"/>
          <w:kern w:val="0"/>
          <w:szCs w:val="21"/>
        </w:rPr>
        <w:t>2018年门坎乡本年收入合计911.06万元</w:t>
      </w:r>
    </w:p>
    <w:p>
      <w:pPr>
        <w:pStyle w:val="16"/>
        <w:numPr>
          <w:ilvl w:val="0"/>
          <w:numId w:val="2"/>
        </w:numPr>
        <w:spacing w:line="600" w:lineRule="exact"/>
        <w:ind w:firstLineChars="0"/>
        <w:outlineLvl w:val="1"/>
        <w:rPr>
          <w:rStyle w:val="15"/>
          <w:rFonts w:ascii="黑体" w:hAnsi="黑体" w:eastAsia="黑体"/>
          <w:b w:val="0"/>
        </w:rPr>
      </w:pPr>
      <w:bookmarkStart w:id="24" w:name="_Toc15396605"/>
      <w:bookmarkStart w:id="25" w:name="_Toc15377207"/>
      <w:r>
        <w:rPr>
          <w:rFonts w:hint="eastAsia" w:ascii="黑体" w:hAnsi="黑体" w:eastAsia="黑体"/>
          <w:color w:val="000000"/>
          <w:sz w:val="32"/>
          <w:szCs w:val="32"/>
        </w:rPr>
        <w:t>支</w:t>
      </w:r>
      <w:r>
        <w:rPr>
          <w:rStyle w:val="15"/>
          <w:rFonts w:hint="eastAsia" w:ascii="黑体" w:hAnsi="黑体" w:eastAsia="黑体"/>
          <w:b w:val="0"/>
        </w:rPr>
        <w:t>出决算情况说明</w:t>
      </w:r>
      <w:bookmarkEnd w:id="24"/>
      <w:bookmarkEnd w:id="25"/>
    </w:p>
    <w:p>
      <w:pPr>
        <w:spacing w:line="600" w:lineRule="exact"/>
        <w:ind w:firstLine="620" w:firstLineChars="200"/>
      </w:pPr>
      <w:r>
        <w:rPr>
          <w:rFonts w:ascii="仿宋_GB2312" w:hAnsi="仿宋_GB2312" w:eastAsia="仿宋_GB2312" w:cs="仿宋_GB2312"/>
          <w:color w:val="000000"/>
          <w:kern w:val="0"/>
          <w:sz w:val="31"/>
          <w:szCs w:val="31"/>
        </w:rPr>
        <w:t>201</w:t>
      </w:r>
      <w:r>
        <w:rPr>
          <w:rFonts w:hint="eastAsia" w:ascii="仿宋_GB2312" w:hAnsi="仿宋_GB2312" w:eastAsia="仿宋_GB2312" w:cs="仿宋_GB2312"/>
          <w:color w:val="000000"/>
          <w:kern w:val="0"/>
          <w:sz w:val="31"/>
          <w:szCs w:val="31"/>
        </w:rPr>
        <w:t>8</w:t>
      </w:r>
      <w:r>
        <w:rPr>
          <w:rFonts w:ascii="仿宋_GB2312" w:hAnsi="仿宋_GB2312" w:eastAsia="仿宋_GB2312" w:cs="仿宋_GB2312"/>
          <w:color w:val="000000"/>
          <w:kern w:val="0"/>
          <w:sz w:val="31"/>
          <w:szCs w:val="31"/>
        </w:rPr>
        <w:t xml:space="preserve"> 年门坎乡本年支出合计 </w:t>
      </w:r>
      <w:r>
        <w:rPr>
          <w:rFonts w:hint="eastAsia" w:ascii="仿宋_GB2312" w:hAnsi="仿宋_GB2312" w:eastAsia="仿宋_GB2312" w:cs="仿宋_GB2312"/>
          <w:color w:val="000000"/>
          <w:kern w:val="0"/>
          <w:sz w:val="31"/>
          <w:szCs w:val="31"/>
        </w:rPr>
        <w:t>876.09</w:t>
      </w:r>
      <w:r>
        <w:rPr>
          <w:rFonts w:ascii="仿宋_GB2312" w:hAnsi="仿宋_GB2312" w:eastAsia="仿宋_GB2312" w:cs="仿宋_GB2312"/>
          <w:color w:val="000000"/>
          <w:kern w:val="0"/>
          <w:sz w:val="31"/>
          <w:szCs w:val="31"/>
        </w:rPr>
        <w:t xml:space="preserve"> 万元，其中：基本 </w:t>
      </w:r>
    </w:p>
    <w:p>
      <w:pPr>
        <w:widowControl/>
        <w:jc w:val="left"/>
        <w:rPr>
          <w:rFonts w:ascii="仿宋_GB2312" w:hAnsi="仿宋_GB2312" w:eastAsia="仿宋_GB2312" w:cs="仿宋_GB2312"/>
          <w:color w:val="000000"/>
          <w:kern w:val="0"/>
          <w:sz w:val="31"/>
          <w:szCs w:val="31"/>
        </w:rPr>
      </w:pPr>
      <w:r>
        <w:rPr>
          <w:rFonts w:ascii="仿宋_GB2312" w:hAnsi="仿宋_GB2312" w:eastAsia="仿宋_GB2312" w:cs="仿宋_GB2312"/>
          <w:color w:val="000000"/>
          <w:kern w:val="0"/>
          <w:sz w:val="31"/>
          <w:szCs w:val="31"/>
        </w:rPr>
        <w:t xml:space="preserve">支出 </w:t>
      </w:r>
      <w:r>
        <w:rPr>
          <w:rFonts w:hint="eastAsia" w:ascii="仿宋_GB2312" w:hAnsi="仿宋_GB2312" w:eastAsia="仿宋_GB2312" w:cs="仿宋_GB2312"/>
          <w:color w:val="000000"/>
          <w:kern w:val="0"/>
          <w:sz w:val="31"/>
          <w:szCs w:val="31"/>
        </w:rPr>
        <w:t>466.83</w:t>
      </w:r>
      <w:r>
        <w:rPr>
          <w:rFonts w:ascii="仿宋_GB2312" w:hAnsi="仿宋_GB2312" w:eastAsia="仿宋_GB2312" w:cs="仿宋_GB2312"/>
          <w:color w:val="000000"/>
          <w:kern w:val="0"/>
          <w:sz w:val="31"/>
          <w:szCs w:val="31"/>
        </w:rPr>
        <w:t xml:space="preserve">万元，占 </w:t>
      </w:r>
      <w:r>
        <w:rPr>
          <w:rFonts w:hint="eastAsia" w:ascii="仿宋_GB2312" w:hAnsi="仿宋_GB2312" w:eastAsia="仿宋_GB2312" w:cs="仿宋_GB2312"/>
          <w:color w:val="000000"/>
          <w:kern w:val="0"/>
          <w:sz w:val="31"/>
          <w:szCs w:val="31"/>
        </w:rPr>
        <w:t>53.29</w:t>
      </w:r>
      <w:r>
        <w:rPr>
          <w:rFonts w:ascii="仿宋_GB2312" w:hAnsi="仿宋_GB2312" w:eastAsia="仿宋_GB2312" w:cs="仿宋_GB2312"/>
          <w:color w:val="000000"/>
          <w:kern w:val="0"/>
          <w:sz w:val="31"/>
          <w:szCs w:val="31"/>
        </w:rPr>
        <w:t xml:space="preserve">%；项目支出 </w:t>
      </w:r>
      <w:r>
        <w:rPr>
          <w:rFonts w:hint="eastAsia" w:ascii="仿宋_GB2312" w:hAnsi="仿宋_GB2312" w:eastAsia="仿宋_GB2312" w:cs="仿宋_GB2312"/>
          <w:color w:val="000000"/>
          <w:kern w:val="0"/>
          <w:sz w:val="31"/>
          <w:szCs w:val="31"/>
        </w:rPr>
        <w:t>409.26</w:t>
      </w:r>
      <w:r>
        <w:rPr>
          <w:rFonts w:ascii="仿宋_GB2312" w:hAnsi="仿宋_GB2312" w:eastAsia="仿宋_GB2312" w:cs="仿宋_GB2312"/>
          <w:color w:val="000000"/>
          <w:kern w:val="0"/>
          <w:sz w:val="31"/>
          <w:szCs w:val="31"/>
        </w:rPr>
        <w:t xml:space="preserve"> 万元，占</w:t>
      </w:r>
      <w:r>
        <w:rPr>
          <w:rFonts w:hint="eastAsia" w:ascii="仿宋_GB2312" w:hAnsi="仿宋_GB2312" w:eastAsia="仿宋_GB2312" w:cs="仿宋_GB2312"/>
          <w:color w:val="000000"/>
          <w:kern w:val="0"/>
          <w:sz w:val="31"/>
          <w:szCs w:val="31"/>
        </w:rPr>
        <w:t>46.71</w:t>
      </w:r>
      <w:r>
        <w:rPr>
          <w:rFonts w:ascii="仿宋_GB2312" w:hAnsi="仿宋_GB2312" w:eastAsia="仿宋_GB2312" w:cs="仿宋_GB2312"/>
          <w:color w:val="000000"/>
          <w:kern w:val="0"/>
          <w:sz w:val="31"/>
          <w:szCs w:val="31"/>
        </w:rPr>
        <w:t xml:space="preserve">%。 上缴上级支出 0 万元，占 </w:t>
      </w:r>
      <w:r>
        <w:rPr>
          <w:rFonts w:hint="eastAsia" w:ascii="仿宋_GB2312" w:hAnsi="仿宋_GB2312" w:eastAsia="仿宋_GB2312" w:cs="仿宋_GB2312"/>
          <w:color w:val="000000"/>
          <w:kern w:val="0"/>
          <w:sz w:val="31"/>
          <w:szCs w:val="31"/>
        </w:rPr>
        <w:t>46.71</w:t>
      </w:r>
      <w:r>
        <w:rPr>
          <w:rFonts w:ascii="仿宋_GB2312" w:hAnsi="仿宋_GB2312" w:eastAsia="仿宋_GB2312" w:cs="仿宋_GB2312"/>
          <w:color w:val="000000"/>
          <w:kern w:val="0"/>
          <w:sz w:val="31"/>
          <w:szCs w:val="31"/>
        </w:rPr>
        <w:t>%；经营支出 0 万元，占 0%；对 附属单位补助支出 0 万元，占 0%。</w:t>
      </w:r>
    </w:p>
    <w:p>
      <w:pPr>
        <w:widowControl/>
        <w:jc w:val="left"/>
        <w:rPr>
          <w:rFonts w:ascii="仿宋_GB2312" w:hAnsi="仿宋_GB2312" w:eastAsia="仿宋_GB2312" w:cs="仿宋_GB2312"/>
          <w:color w:val="000000"/>
          <w:kern w:val="0"/>
          <w:sz w:val="31"/>
          <w:szCs w:val="31"/>
        </w:rPr>
      </w:pPr>
      <w:r>
        <w:rPr>
          <w:rFonts w:hint="eastAsia" w:ascii="仿宋_GB2312" w:hAnsi="仿宋_GB2312" w:eastAsia="仿宋_GB2312" w:cs="仿宋_GB2312"/>
          <w:color w:val="000000"/>
          <w:kern w:val="0"/>
          <w:sz w:val="31"/>
          <w:szCs w:val="31"/>
        </w:rPr>
        <w:t>图3：</w:t>
      </w:r>
    </w:p>
    <w:p>
      <w:pPr>
        <w:spacing w:line="600" w:lineRule="exact"/>
        <w:rPr>
          <w:rFonts w:ascii="仿宋_GB2312" w:eastAsia="仿宋_GB2312"/>
          <w:color w:val="000000"/>
          <w:sz w:val="32"/>
          <w:szCs w:val="32"/>
        </w:rPr>
      </w:pPr>
      <w:r>
        <w:rPr>
          <w:rFonts w:hint="eastAsia" w:ascii="仿宋_GB2312" w:hAnsi="仿宋_GB2312" w:eastAsia="仿宋_GB2312" w:cs="仿宋_GB2312"/>
          <w:color w:val="000000"/>
          <w:kern w:val="0"/>
          <w:sz w:val="31"/>
          <w:szCs w:val="31"/>
        </w:rPr>
        <w:drawing>
          <wp:anchor distT="0" distB="0" distL="114300" distR="114300" simplePos="0" relativeHeight="251660288" behindDoc="0" locked="0" layoutInCell="1" allowOverlap="1">
            <wp:simplePos x="0" y="0"/>
            <wp:positionH relativeFrom="column">
              <wp:posOffset>-27305</wp:posOffset>
            </wp:positionH>
            <wp:positionV relativeFrom="paragraph">
              <wp:posOffset>92710</wp:posOffset>
            </wp:positionV>
            <wp:extent cx="5062855" cy="2115185"/>
            <wp:effectExtent l="5080" t="4445" r="18415" b="13970"/>
            <wp:wrapNone/>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ind w:firstLine="422" w:firstLineChars="200"/>
        <w:jc w:val="center"/>
        <w:rPr>
          <w:rFonts w:ascii="黑体" w:hAnsi="黑体" w:eastAsia="黑体"/>
          <w:sz w:val="32"/>
          <w:szCs w:val="32"/>
        </w:rPr>
      </w:pPr>
      <w:r>
        <w:rPr>
          <w:rFonts w:hint="eastAsia" w:ascii="宋体" w:hAnsi="宋体" w:cs="宋体"/>
          <w:b/>
          <w:bCs/>
          <w:color w:val="000000"/>
          <w:kern w:val="0"/>
          <w:szCs w:val="21"/>
        </w:rPr>
        <w:t>2018年门坎乡本年支出合计876.09万元</w:t>
      </w:r>
      <w:bookmarkStart w:id="26" w:name="_Toc15377208"/>
      <w:bookmarkStart w:id="27" w:name="_Toc15396606"/>
    </w:p>
    <w:p>
      <w:pPr>
        <w:spacing w:line="600" w:lineRule="exact"/>
        <w:ind w:firstLine="640" w:firstLineChars="200"/>
        <w:outlineLvl w:val="1"/>
        <w:rPr>
          <w:rStyle w:val="15"/>
          <w:rFonts w:ascii="黑体" w:hAnsi="黑体" w:eastAsia="黑体"/>
          <w:b w:val="0"/>
        </w:rPr>
      </w:pPr>
      <w:r>
        <w:rPr>
          <w:rFonts w:hint="eastAsia" w:ascii="黑体" w:hAnsi="黑体" w:eastAsia="黑体"/>
          <w:sz w:val="32"/>
          <w:szCs w:val="32"/>
        </w:rPr>
        <w:t>四、财</w:t>
      </w:r>
      <w:r>
        <w:rPr>
          <w:rStyle w:val="15"/>
          <w:rFonts w:hint="eastAsia" w:ascii="黑体" w:hAnsi="黑体" w:eastAsia="黑体"/>
          <w:b w:val="0"/>
        </w:rPr>
        <w:t>政拨款收入支出决算总体情况说明</w:t>
      </w:r>
      <w:bookmarkEnd w:id="26"/>
      <w:bookmarkEnd w:id="27"/>
    </w:p>
    <w:p>
      <w:pPr>
        <w:widowControl/>
        <w:ind w:firstLine="465" w:firstLineChars="150"/>
        <w:jc w:val="left"/>
        <w:rPr>
          <w:rFonts w:ascii="仿宋_GB2312" w:hAnsi="仿宋_GB2312" w:eastAsia="仿宋_GB2312" w:cs="仿宋_GB2312"/>
          <w:color w:val="000000"/>
          <w:kern w:val="0"/>
          <w:sz w:val="31"/>
          <w:szCs w:val="31"/>
        </w:rPr>
      </w:pPr>
      <w:r>
        <w:rPr>
          <w:rFonts w:ascii="仿宋_GB2312" w:hAnsi="仿宋_GB2312" w:eastAsia="仿宋_GB2312" w:cs="仿宋_GB2312"/>
          <w:color w:val="000000"/>
          <w:kern w:val="0"/>
          <w:sz w:val="31"/>
          <w:szCs w:val="31"/>
        </w:rPr>
        <w:t>201</w:t>
      </w:r>
      <w:r>
        <w:rPr>
          <w:rFonts w:hint="eastAsia" w:ascii="仿宋_GB2312" w:hAnsi="仿宋_GB2312" w:eastAsia="仿宋_GB2312" w:cs="仿宋_GB2312"/>
          <w:color w:val="000000"/>
          <w:kern w:val="0"/>
          <w:sz w:val="31"/>
          <w:szCs w:val="31"/>
        </w:rPr>
        <w:t>8</w:t>
      </w:r>
      <w:r>
        <w:rPr>
          <w:rFonts w:ascii="仿宋_GB2312" w:hAnsi="仿宋_GB2312" w:eastAsia="仿宋_GB2312" w:cs="仿宋_GB2312"/>
          <w:color w:val="000000"/>
          <w:kern w:val="0"/>
          <w:sz w:val="31"/>
          <w:szCs w:val="31"/>
        </w:rPr>
        <w:t xml:space="preserve"> 年度财政拨款收</w:t>
      </w:r>
      <w:r>
        <w:rPr>
          <w:rFonts w:hint="eastAsia" w:ascii="仿宋_GB2312" w:hAnsi="仿宋_GB2312" w:eastAsia="仿宋_GB2312" w:cs="仿宋_GB2312"/>
          <w:color w:val="000000"/>
          <w:kern w:val="0"/>
          <w:sz w:val="31"/>
          <w:szCs w:val="31"/>
        </w:rPr>
        <w:t>、支</w:t>
      </w:r>
      <w:r>
        <w:rPr>
          <w:rFonts w:ascii="仿宋_GB2312" w:hAnsi="仿宋_GB2312" w:eastAsia="仿宋_GB2312" w:cs="仿宋_GB2312"/>
          <w:color w:val="000000"/>
          <w:kern w:val="0"/>
          <w:sz w:val="31"/>
          <w:szCs w:val="31"/>
        </w:rPr>
        <w:t>总计</w:t>
      </w:r>
      <w:r>
        <w:rPr>
          <w:rFonts w:hint="eastAsia" w:ascii="仿宋_GB2312" w:hAnsi="仿宋_GB2312" w:eastAsia="仿宋_GB2312" w:cs="仿宋_GB2312"/>
          <w:color w:val="000000"/>
          <w:kern w:val="0"/>
          <w:sz w:val="31"/>
          <w:szCs w:val="31"/>
        </w:rPr>
        <w:t>974.06</w:t>
      </w:r>
      <w:r>
        <w:rPr>
          <w:rFonts w:ascii="仿宋_GB2312" w:hAnsi="仿宋_GB2312" w:eastAsia="仿宋_GB2312" w:cs="仿宋_GB2312"/>
          <w:color w:val="000000"/>
          <w:kern w:val="0"/>
          <w:sz w:val="31"/>
          <w:szCs w:val="31"/>
        </w:rPr>
        <w:t>万元。与201</w:t>
      </w:r>
      <w:r>
        <w:rPr>
          <w:rFonts w:hint="eastAsia" w:ascii="仿宋_GB2312" w:hAnsi="仿宋_GB2312" w:eastAsia="仿宋_GB2312" w:cs="仿宋_GB2312"/>
          <w:color w:val="000000"/>
          <w:kern w:val="0"/>
          <w:sz w:val="31"/>
          <w:szCs w:val="31"/>
        </w:rPr>
        <w:t>7</w:t>
      </w:r>
      <w:r>
        <w:rPr>
          <w:rFonts w:ascii="仿宋_GB2312" w:hAnsi="仿宋_GB2312" w:eastAsia="仿宋_GB2312" w:cs="仿宋_GB2312"/>
          <w:color w:val="000000"/>
          <w:kern w:val="0"/>
          <w:sz w:val="31"/>
          <w:szCs w:val="31"/>
        </w:rPr>
        <w:t>年相比，</w:t>
      </w:r>
      <w:r>
        <w:rPr>
          <w:rFonts w:hint="eastAsia" w:ascii="仿宋_GB2312" w:hAnsi="仿宋_GB2312" w:eastAsia="仿宋_GB2312" w:cs="仿宋_GB2312"/>
          <w:color w:val="000000"/>
          <w:kern w:val="0"/>
          <w:sz w:val="31"/>
          <w:szCs w:val="31"/>
        </w:rPr>
        <w:t>收支总计各</w:t>
      </w:r>
      <w:r>
        <w:rPr>
          <w:rFonts w:ascii="仿宋_GB2312" w:hAnsi="仿宋_GB2312" w:eastAsia="仿宋_GB2312" w:cs="仿宋_GB2312"/>
          <w:color w:val="000000"/>
          <w:kern w:val="0"/>
          <w:sz w:val="31"/>
          <w:szCs w:val="31"/>
        </w:rPr>
        <w:t>增加</w:t>
      </w:r>
      <w:r>
        <w:rPr>
          <w:rFonts w:hint="eastAsia" w:ascii="仿宋_GB2312" w:hAnsi="仿宋_GB2312" w:eastAsia="仿宋_GB2312" w:cs="仿宋_GB2312"/>
          <w:color w:val="000000"/>
          <w:kern w:val="0"/>
          <w:sz w:val="31"/>
          <w:szCs w:val="31"/>
        </w:rPr>
        <w:t>174.57</w:t>
      </w:r>
      <w:r>
        <w:rPr>
          <w:rFonts w:ascii="仿宋_GB2312" w:hAnsi="仿宋_GB2312" w:eastAsia="仿宋_GB2312" w:cs="仿宋_GB2312"/>
          <w:color w:val="000000"/>
          <w:kern w:val="0"/>
          <w:sz w:val="31"/>
          <w:szCs w:val="31"/>
        </w:rPr>
        <w:t>万元，同比增长</w:t>
      </w:r>
      <w:r>
        <w:rPr>
          <w:rFonts w:hint="eastAsia" w:ascii="仿宋_GB2312" w:hAnsi="仿宋_GB2312" w:eastAsia="仿宋_GB2312" w:cs="仿宋_GB2312"/>
          <w:color w:val="000000"/>
          <w:kern w:val="0"/>
          <w:sz w:val="31"/>
          <w:szCs w:val="31"/>
        </w:rPr>
        <w:t>21.83</w:t>
      </w:r>
      <w:r>
        <w:rPr>
          <w:rFonts w:ascii="仿宋_GB2312" w:hAnsi="仿宋_GB2312" w:eastAsia="仿宋_GB2312" w:cs="仿宋_GB2312"/>
          <w:color w:val="000000"/>
          <w:kern w:val="0"/>
          <w:sz w:val="31"/>
          <w:szCs w:val="31"/>
        </w:rPr>
        <w:t>%,</w:t>
      </w:r>
      <w:r>
        <w:rPr>
          <w:rFonts w:hint="eastAsia" w:ascii="仿宋_GB2312" w:hAnsi="仿宋_GB2312" w:eastAsia="仿宋_GB2312" w:cs="仿宋_GB2312"/>
          <w:color w:val="000000"/>
          <w:kern w:val="0"/>
          <w:sz w:val="31"/>
          <w:szCs w:val="31"/>
        </w:rPr>
        <w:t>主要</w:t>
      </w:r>
      <w:r>
        <w:rPr>
          <w:rFonts w:ascii="仿宋_GB2312" w:hAnsi="仿宋_GB2312" w:eastAsia="仿宋_GB2312" w:cs="仿宋_GB2312"/>
          <w:color w:val="000000"/>
          <w:kern w:val="0"/>
          <w:sz w:val="31"/>
          <w:szCs w:val="31"/>
        </w:rPr>
        <w:t>原因是</w:t>
      </w:r>
      <w:r>
        <w:rPr>
          <w:rFonts w:hint="eastAsia" w:ascii="仿宋_GB2312" w:eastAsia="仿宋_GB2312"/>
          <w:color w:val="000000"/>
          <w:sz w:val="32"/>
          <w:szCs w:val="32"/>
        </w:rPr>
        <w:t>财政拨款项目资金增加、</w:t>
      </w:r>
      <w:r>
        <w:rPr>
          <w:rFonts w:ascii="仿宋_GB2312" w:hAnsi="仿宋_GB2312" w:eastAsia="仿宋_GB2312" w:cs="仿宋_GB2312"/>
          <w:color w:val="000000"/>
          <w:kern w:val="0"/>
          <w:sz w:val="31"/>
          <w:szCs w:val="31"/>
        </w:rPr>
        <w:t>人员增加。</w:t>
      </w:r>
    </w:p>
    <w:p>
      <w:pPr>
        <w:widowControl/>
        <w:jc w:val="left"/>
        <w:rPr>
          <w:rFonts w:ascii="仿宋" w:hAnsi="仿宋" w:eastAsia="仿宋"/>
          <w:b/>
          <w:color w:val="FF0000"/>
          <w:sz w:val="32"/>
          <w:szCs w:val="32"/>
        </w:rPr>
      </w:pPr>
      <w:r>
        <w:rPr>
          <w:rFonts w:hint="eastAsia" w:ascii="仿宋_GB2312" w:hAnsi="仿宋_GB2312" w:eastAsia="仿宋_GB2312" w:cs="仿宋_GB2312"/>
          <w:color w:val="000000"/>
          <w:kern w:val="0"/>
          <w:sz w:val="31"/>
          <w:szCs w:val="31"/>
        </w:rPr>
        <w:t>图4：</w:t>
      </w:r>
      <w:r>
        <w:rPr>
          <w:rFonts w:hint="eastAsia" w:ascii="仿宋_GB2312" w:eastAsia="仿宋_GB2312"/>
          <w:color w:val="000000"/>
          <w:sz w:val="32"/>
          <w:szCs w:val="32"/>
        </w:rPr>
        <w:drawing>
          <wp:inline distT="0" distB="0" distL="114300" distR="114300">
            <wp:extent cx="4975225" cy="2810510"/>
            <wp:effectExtent l="19050" t="0" r="15875" b="889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outlineLvl w:val="1"/>
        <w:rPr>
          <w:rStyle w:val="15"/>
          <w:rFonts w:ascii="黑体" w:hAnsi="黑体" w:eastAsia="黑体"/>
          <w:b w:val="0"/>
        </w:rPr>
      </w:pPr>
      <w:bookmarkStart w:id="28" w:name="_Toc15396607"/>
      <w:bookmarkStart w:id="29" w:name="_Toc15377209"/>
      <w:r>
        <w:rPr>
          <w:rFonts w:hint="eastAsia" w:ascii="黑体" w:hAnsi="黑体" w:eastAsia="黑体"/>
          <w:sz w:val="32"/>
          <w:szCs w:val="32"/>
        </w:rPr>
        <w:t>五、</w:t>
      </w:r>
      <w:r>
        <w:rPr>
          <w:rFonts w:hint="eastAsia" w:ascii="黑体" w:hAnsi="黑体" w:eastAsia="黑体"/>
          <w:b/>
          <w:sz w:val="32"/>
          <w:szCs w:val="32"/>
        </w:rPr>
        <w:t>一</w:t>
      </w:r>
      <w:r>
        <w:rPr>
          <w:rStyle w:val="15"/>
          <w:rFonts w:hint="eastAsia" w:ascii="黑体" w:hAnsi="黑体" w:eastAsia="黑体"/>
          <w:b w:val="0"/>
        </w:rPr>
        <w:t>般公共预算财政拨款支出决算情况说明</w:t>
      </w:r>
      <w:bookmarkEnd w:id="28"/>
      <w:bookmarkEnd w:id="29"/>
    </w:p>
    <w:p>
      <w:pPr>
        <w:spacing w:line="600" w:lineRule="exact"/>
        <w:ind w:firstLine="622" w:firstLineChars="200"/>
        <w:outlineLvl w:val="2"/>
        <w:rPr>
          <w:rFonts w:ascii="仿宋" w:hAnsi="仿宋" w:eastAsia="仿宋"/>
          <w:bCs/>
          <w:sz w:val="32"/>
          <w:szCs w:val="32"/>
        </w:rPr>
      </w:pPr>
      <w:bookmarkStart w:id="30" w:name="_Toc15377210"/>
      <w:r>
        <w:rPr>
          <w:rFonts w:hint="eastAsia" w:ascii="仿宋_GB2312" w:hAnsi="仿宋_GB2312" w:eastAsia="仿宋_GB2312" w:cs="仿宋_GB2312"/>
          <w:b/>
          <w:color w:val="000000"/>
          <w:kern w:val="0"/>
          <w:sz w:val="31"/>
          <w:szCs w:val="31"/>
        </w:rPr>
        <w:t>（一）一般公共预算财政拨款支出决算总体情况</w:t>
      </w:r>
      <w:bookmarkEnd w:id="30"/>
    </w:p>
    <w:p>
      <w:pPr>
        <w:widowControl/>
        <w:jc w:val="left"/>
        <w:rPr>
          <w:rFonts w:ascii="仿宋_GB2312" w:hAnsi="仿宋_GB2312" w:eastAsia="仿宋_GB2312" w:cs="仿宋_GB2312"/>
          <w:color w:val="000000"/>
          <w:kern w:val="0"/>
          <w:sz w:val="31"/>
          <w:szCs w:val="31"/>
        </w:rPr>
      </w:pPr>
      <w:r>
        <w:rPr>
          <w:rFonts w:hint="eastAsia" w:ascii="仿宋_GB2312" w:hAnsi="仿宋_GB2312" w:eastAsia="仿宋_GB2312" w:cs="仿宋_GB2312"/>
          <w:color w:val="000000"/>
          <w:kern w:val="0"/>
          <w:sz w:val="31"/>
          <w:szCs w:val="31"/>
        </w:rPr>
        <w:t xml:space="preserve">    </w:t>
      </w:r>
      <w:r>
        <w:rPr>
          <w:rFonts w:ascii="仿宋_GB2312" w:hAnsi="仿宋_GB2312" w:eastAsia="仿宋_GB2312" w:cs="仿宋_GB2312"/>
          <w:color w:val="000000"/>
          <w:kern w:val="0"/>
          <w:sz w:val="31"/>
          <w:szCs w:val="31"/>
        </w:rPr>
        <w:t>201</w:t>
      </w:r>
      <w:r>
        <w:rPr>
          <w:rFonts w:hint="eastAsia" w:ascii="仿宋_GB2312" w:hAnsi="仿宋_GB2312" w:eastAsia="仿宋_GB2312" w:cs="仿宋_GB2312"/>
          <w:color w:val="000000"/>
          <w:kern w:val="0"/>
          <w:sz w:val="31"/>
          <w:szCs w:val="31"/>
        </w:rPr>
        <w:t>8年一般公共预算财政拨款支出821.27万元，占本年支出合计的93.74</w:t>
      </w:r>
      <w:r>
        <w:rPr>
          <w:rFonts w:ascii="仿宋_GB2312" w:hAnsi="仿宋_GB2312" w:eastAsia="仿宋_GB2312" w:cs="仿宋_GB2312"/>
          <w:color w:val="000000"/>
          <w:kern w:val="0"/>
          <w:sz w:val="31"/>
          <w:szCs w:val="31"/>
        </w:rPr>
        <w:t>%</w:t>
      </w:r>
      <w:r>
        <w:rPr>
          <w:rFonts w:hint="eastAsia" w:ascii="仿宋_GB2312" w:hAnsi="仿宋_GB2312" w:eastAsia="仿宋_GB2312" w:cs="仿宋_GB2312"/>
          <w:color w:val="000000"/>
          <w:kern w:val="0"/>
          <w:sz w:val="31"/>
          <w:szCs w:val="31"/>
        </w:rPr>
        <w:t>。与</w:t>
      </w:r>
      <w:r>
        <w:rPr>
          <w:rFonts w:ascii="仿宋_GB2312" w:hAnsi="仿宋_GB2312" w:eastAsia="仿宋_GB2312" w:cs="仿宋_GB2312"/>
          <w:color w:val="000000"/>
          <w:kern w:val="0"/>
          <w:sz w:val="31"/>
          <w:szCs w:val="31"/>
        </w:rPr>
        <w:t>201</w:t>
      </w:r>
      <w:r>
        <w:rPr>
          <w:rFonts w:hint="eastAsia" w:ascii="仿宋_GB2312" w:hAnsi="仿宋_GB2312" w:eastAsia="仿宋_GB2312" w:cs="仿宋_GB2312"/>
          <w:color w:val="000000"/>
          <w:kern w:val="0"/>
          <w:sz w:val="31"/>
          <w:szCs w:val="31"/>
        </w:rPr>
        <w:t>7年相比，一般公共预算财政拨款增加115.2万元，增长16.32</w:t>
      </w:r>
      <w:r>
        <w:rPr>
          <w:rFonts w:ascii="仿宋_GB2312" w:hAnsi="仿宋_GB2312" w:eastAsia="仿宋_GB2312" w:cs="仿宋_GB2312"/>
          <w:color w:val="000000"/>
          <w:kern w:val="0"/>
          <w:sz w:val="31"/>
          <w:szCs w:val="31"/>
        </w:rPr>
        <w:t>%</w:t>
      </w:r>
      <w:r>
        <w:rPr>
          <w:rFonts w:hint="eastAsia" w:ascii="仿宋_GB2312" w:hAnsi="仿宋_GB2312" w:eastAsia="仿宋_GB2312" w:cs="仿宋_GB2312"/>
          <w:color w:val="000000"/>
          <w:kern w:val="0"/>
          <w:sz w:val="31"/>
          <w:szCs w:val="31"/>
        </w:rPr>
        <w:t>。主要变动原因是财政预算拨款资金增加。</w:t>
      </w:r>
    </w:p>
    <w:p>
      <w:pPr>
        <w:widowControl/>
        <w:jc w:val="left"/>
        <w:rPr>
          <w:rFonts w:ascii="仿宋" w:hAnsi="仿宋" w:eastAsia="仿宋"/>
          <w:color w:val="FF0000"/>
          <w:sz w:val="32"/>
          <w:szCs w:val="32"/>
        </w:rPr>
      </w:pPr>
      <w:r>
        <w:rPr>
          <w:rFonts w:hint="eastAsia" w:ascii="仿宋" w:hAnsi="仿宋" w:eastAsia="仿宋"/>
          <w:color w:val="FF0000"/>
          <w:sz w:val="32"/>
          <w:szCs w:val="32"/>
        </w:rPr>
        <w:drawing>
          <wp:anchor distT="0" distB="0" distL="114300" distR="114300" simplePos="0" relativeHeight="251661312" behindDoc="0" locked="0" layoutInCell="1" allowOverlap="1">
            <wp:simplePos x="0" y="0"/>
            <wp:positionH relativeFrom="column">
              <wp:posOffset>549910</wp:posOffset>
            </wp:positionH>
            <wp:positionV relativeFrom="paragraph">
              <wp:posOffset>97790</wp:posOffset>
            </wp:positionV>
            <wp:extent cx="4541520" cy="2051685"/>
            <wp:effectExtent l="4445" t="4445" r="6985" b="20320"/>
            <wp:wrapNone/>
            <wp:docPr id="16"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eastAsia" w:ascii="仿宋_GB2312" w:hAnsi="仿宋_GB2312" w:eastAsia="仿宋_GB2312" w:cs="仿宋_GB2312"/>
          <w:color w:val="000000"/>
          <w:kern w:val="0"/>
          <w:sz w:val="31"/>
          <w:szCs w:val="31"/>
        </w:rPr>
        <w:t>图5：</w:t>
      </w:r>
    </w:p>
    <w:p>
      <w:pPr>
        <w:spacing w:line="600" w:lineRule="exact"/>
        <w:ind w:firstLine="640" w:firstLineChars="200"/>
        <w:rPr>
          <w:rFonts w:ascii="仿宋" w:hAnsi="仿宋" w:eastAsia="仿宋"/>
          <w:color w:val="FF0000"/>
          <w:sz w:val="32"/>
          <w:szCs w:val="32"/>
        </w:rPr>
      </w:pPr>
    </w:p>
    <w:p>
      <w:pPr>
        <w:spacing w:line="600" w:lineRule="exact"/>
        <w:rPr>
          <w:rFonts w:ascii="仿宋" w:hAnsi="仿宋" w:eastAsia="仿宋"/>
          <w:color w:val="FF0000"/>
          <w:sz w:val="32"/>
          <w:szCs w:val="32"/>
        </w:rPr>
      </w:pPr>
    </w:p>
    <w:p>
      <w:pPr>
        <w:spacing w:line="600" w:lineRule="exact"/>
        <w:ind w:firstLine="622" w:firstLineChars="200"/>
        <w:outlineLvl w:val="2"/>
        <w:rPr>
          <w:rFonts w:ascii="仿宋_GB2312" w:hAnsi="仿宋_GB2312" w:eastAsia="仿宋_GB2312" w:cs="仿宋_GB2312"/>
          <w:color w:val="000000"/>
          <w:kern w:val="0"/>
          <w:sz w:val="31"/>
          <w:szCs w:val="31"/>
        </w:rPr>
      </w:pPr>
      <w:bookmarkStart w:id="31" w:name="_Toc15377211"/>
      <w:r>
        <w:rPr>
          <w:rFonts w:hint="eastAsia" w:ascii="仿宋_GB2312" w:hAnsi="仿宋_GB2312" w:eastAsia="仿宋_GB2312" w:cs="仿宋_GB2312"/>
          <w:b/>
          <w:color w:val="000000"/>
          <w:kern w:val="0"/>
          <w:sz w:val="31"/>
          <w:szCs w:val="31"/>
        </w:rPr>
        <w:t>（二）一般公共预算财政拨款支出决算结构情况</w:t>
      </w:r>
      <w:bookmarkEnd w:id="31"/>
    </w:p>
    <w:p>
      <w:pPr>
        <w:widowControl/>
        <w:jc w:val="left"/>
        <w:rPr>
          <w:rFonts w:ascii="仿宋_GB2312" w:hAnsi="仿宋_GB2312" w:eastAsia="仿宋_GB2312" w:cs="仿宋_GB2312"/>
          <w:color w:val="000000"/>
          <w:kern w:val="0"/>
          <w:sz w:val="31"/>
          <w:szCs w:val="31"/>
        </w:rPr>
      </w:pPr>
      <w:r>
        <w:rPr>
          <w:rFonts w:hint="eastAsia" w:ascii="仿宋_GB2312" w:hAnsi="仿宋_GB2312" w:eastAsia="仿宋_GB2312" w:cs="仿宋_GB2312"/>
          <w:color w:val="000000"/>
          <w:kern w:val="0"/>
          <w:sz w:val="31"/>
          <w:szCs w:val="31"/>
        </w:rPr>
        <w:t xml:space="preserve">   </w:t>
      </w:r>
      <w:r>
        <w:rPr>
          <w:rFonts w:ascii="仿宋_GB2312" w:hAnsi="仿宋_GB2312" w:eastAsia="仿宋_GB2312" w:cs="仿宋_GB2312"/>
          <w:color w:val="000000"/>
          <w:kern w:val="0"/>
          <w:sz w:val="31"/>
          <w:szCs w:val="31"/>
        </w:rPr>
        <w:t>201</w:t>
      </w:r>
      <w:r>
        <w:rPr>
          <w:rFonts w:hint="eastAsia" w:ascii="仿宋_GB2312" w:hAnsi="仿宋_GB2312" w:eastAsia="仿宋_GB2312" w:cs="仿宋_GB2312"/>
          <w:color w:val="000000"/>
          <w:kern w:val="0"/>
          <w:sz w:val="31"/>
          <w:szCs w:val="31"/>
        </w:rPr>
        <w:t>8年一般公共预算财政拨款支出821.27万元，主要用于以下方面</w:t>
      </w:r>
      <w:r>
        <w:rPr>
          <w:rFonts w:ascii="仿宋_GB2312" w:hAnsi="仿宋_GB2312" w:eastAsia="仿宋_GB2312" w:cs="仿宋_GB2312"/>
          <w:color w:val="000000"/>
          <w:kern w:val="0"/>
          <w:sz w:val="31"/>
          <w:szCs w:val="31"/>
        </w:rPr>
        <w:t>:</w:t>
      </w:r>
      <w:r>
        <w:rPr>
          <w:rFonts w:hint="eastAsia" w:ascii="仿宋_GB2312" w:hAnsi="仿宋_GB2312" w:eastAsia="仿宋_GB2312" w:cs="仿宋_GB2312"/>
          <w:color w:val="000000"/>
          <w:kern w:val="0"/>
          <w:sz w:val="31"/>
          <w:szCs w:val="31"/>
        </w:rPr>
        <w:t>一般公共服务支出（类）支出244.17万元，占29.73</w:t>
      </w:r>
      <w:r>
        <w:rPr>
          <w:rFonts w:ascii="仿宋_GB2312" w:hAnsi="仿宋_GB2312" w:eastAsia="仿宋_GB2312" w:cs="仿宋_GB2312"/>
          <w:color w:val="000000"/>
          <w:kern w:val="0"/>
          <w:sz w:val="31"/>
          <w:szCs w:val="31"/>
        </w:rPr>
        <w:t>%</w:t>
      </w:r>
      <w:r>
        <w:rPr>
          <w:rFonts w:hint="eastAsia" w:ascii="仿宋_GB2312" w:hAnsi="仿宋_GB2312" w:eastAsia="仿宋_GB2312" w:cs="仿宋_GB2312"/>
          <w:color w:val="000000"/>
          <w:kern w:val="0"/>
          <w:sz w:val="31"/>
          <w:szCs w:val="31"/>
        </w:rPr>
        <w:t>；社会保障和就业支出（类）支出80.81万元，占9.83</w:t>
      </w:r>
      <w:r>
        <w:rPr>
          <w:rFonts w:ascii="仿宋_GB2312" w:hAnsi="仿宋_GB2312" w:eastAsia="仿宋_GB2312" w:cs="仿宋_GB2312"/>
          <w:color w:val="000000"/>
          <w:kern w:val="0"/>
          <w:sz w:val="31"/>
          <w:szCs w:val="31"/>
        </w:rPr>
        <w:t>%</w:t>
      </w:r>
      <w:r>
        <w:rPr>
          <w:rFonts w:hint="eastAsia" w:ascii="仿宋_GB2312" w:hAnsi="仿宋_GB2312" w:eastAsia="仿宋_GB2312" w:cs="仿宋_GB2312"/>
          <w:color w:val="000000"/>
          <w:kern w:val="0"/>
          <w:sz w:val="31"/>
          <w:szCs w:val="31"/>
        </w:rPr>
        <w:t>；医疗卫生与计划生育支出9.74万元，占1.19</w:t>
      </w:r>
      <w:r>
        <w:rPr>
          <w:rFonts w:ascii="仿宋_GB2312" w:hAnsi="仿宋_GB2312" w:eastAsia="仿宋_GB2312" w:cs="仿宋_GB2312"/>
          <w:color w:val="000000"/>
          <w:kern w:val="0"/>
          <w:sz w:val="31"/>
          <w:szCs w:val="31"/>
        </w:rPr>
        <w:t>%</w:t>
      </w:r>
      <w:r>
        <w:rPr>
          <w:rFonts w:hint="eastAsia" w:ascii="仿宋_GB2312" w:hAnsi="仿宋_GB2312" w:eastAsia="仿宋_GB2312" w:cs="仿宋_GB2312"/>
          <w:color w:val="000000"/>
          <w:kern w:val="0"/>
          <w:sz w:val="31"/>
          <w:szCs w:val="31"/>
        </w:rPr>
        <w:t>；节能环保支出（类）支出1.09万元，占0.13</w:t>
      </w:r>
      <w:r>
        <w:rPr>
          <w:rFonts w:ascii="仿宋_GB2312" w:hAnsi="仿宋_GB2312" w:eastAsia="仿宋_GB2312" w:cs="仿宋_GB2312"/>
          <w:color w:val="000000"/>
          <w:kern w:val="0"/>
          <w:sz w:val="31"/>
          <w:szCs w:val="31"/>
        </w:rPr>
        <w:t>%</w:t>
      </w:r>
      <w:r>
        <w:rPr>
          <w:rFonts w:hint="eastAsia" w:ascii="仿宋_GB2312" w:hAnsi="仿宋_GB2312" w:eastAsia="仿宋_GB2312" w:cs="仿宋_GB2312"/>
          <w:color w:val="000000"/>
          <w:kern w:val="0"/>
          <w:sz w:val="31"/>
          <w:szCs w:val="31"/>
        </w:rPr>
        <w:t>；城乡社区支出（类）支出8.52万元，占1.04</w:t>
      </w:r>
      <w:r>
        <w:rPr>
          <w:rFonts w:ascii="仿宋_GB2312" w:hAnsi="仿宋_GB2312" w:eastAsia="仿宋_GB2312" w:cs="仿宋_GB2312"/>
          <w:color w:val="000000"/>
          <w:kern w:val="0"/>
          <w:sz w:val="31"/>
          <w:szCs w:val="31"/>
        </w:rPr>
        <w:t>%</w:t>
      </w:r>
      <w:r>
        <w:rPr>
          <w:rFonts w:hint="eastAsia" w:ascii="仿宋_GB2312" w:hAnsi="仿宋_GB2312" w:eastAsia="仿宋_GB2312" w:cs="仿宋_GB2312"/>
          <w:color w:val="000000"/>
          <w:kern w:val="0"/>
          <w:sz w:val="31"/>
          <w:szCs w:val="31"/>
        </w:rPr>
        <w:t>；农林水支出（类）支出439.77万元，占53.55</w:t>
      </w:r>
      <w:r>
        <w:rPr>
          <w:rFonts w:ascii="仿宋_GB2312" w:hAnsi="仿宋_GB2312" w:eastAsia="仿宋_GB2312" w:cs="仿宋_GB2312"/>
          <w:color w:val="000000"/>
          <w:kern w:val="0"/>
          <w:sz w:val="31"/>
          <w:szCs w:val="31"/>
        </w:rPr>
        <w:t>%</w:t>
      </w:r>
      <w:r>
        <w:rPr>
          <w:rFonts w:hint="eastAsia" w:ascii="仿宋_GB2312" w:hAnsi="仿宋_GB2312" w:eastAsia="仿宋_GB2312" w:cs="仿宋_GB2312"/>
          <w:color w:val="000000"/>
          <w:kern w:val="0"/>
          <w:sz w:val="31"/>
          <w:szCs w:val="31"/>
        </w:rPr>
        <w:t>；住房保障支出37.17万元，占4.53</w:t>
      </w:r>
      <w:r>
        <w:rPr>
          <w:rFonts w:ascii="仿宋_GB2312" w:hAnsi="仿宋_GB2312" w:eastAsia="仿宋_GB2312" w:cs="仿宋_GB2312"/>
          <w:color w:val="000000"/>
          <w:kern w:val="0"/>
          <w:sz w:val="31"/>
          <w:szCs w:val="31"/>
        </w:rPr>
        <w:t>%</w:t>
      </w:r>
      <w:r>
        <w:rPr>
          <w:rFonts w:hint="eastAsia" w:ascii="仿宋_GB2312" w:hAnsi="仿宋_GB2312" w:eastAsia="仿宋_GB2312" w:cs="仿宋_GB2312"/>
          <w:color w:val="000000"/>
          <w:kern w:val="0"/>
          <w:sz w:val="31"/>
          <w:szCs w:val="31"/>
        </w:rPr>
        <w:t>。</w:t>
      </w:r>
    </w:p>
    <w:p>
      <w:pPr>
        <w:widowControl/>
        <w:jc w:val="left"/>
        <w:rPr>
          <w:rFonts w:ascii="仿宋_GB2312" w:hAnsi="仿宋_GB2312" w:eastAsia="仿宋_GB2312" w:cs="仿宋_GB2312"/>
          <w:color w:val="000000"/>
          <w:kern w:val="0"/>
          <w:sz w:val="31"/>
          <w:szCs w:val="31"/>
        </w:rPr>
      </w:pPr>
      <w:r>
        <w:rPr>
          <w:rFonts w:hint="eastAsia"/>
          <w:color w:val="FF0000"/>
        </w:rPr>
        <w:drawing>
          <wp:anchor distT="0" distB="0" distL="114300" distR="114300" simplePos="0" relativeHeight="251662336" behindDoc="0" locked="0" layoutInCell="1" allowOverlap="1">
            <wp:simplePos x="0" y="0"/>
            <wp:positionH relativeFrom="column">
              <wp:posOffset>325755</wp:posOffset>
            </wp:positionH>
            <wp:positionV relativeFrom="paragraph">
              <wp:posOffset>396240</wp:posOffset>
            </wp:positionV>
            <wp:extent cx="4630420" cy="2840355"/>
            <wp:effectExtent l="4445" t="5080" r="13335" b="12065"/>
            <wp:wrapNone/>
            <wp:docPr id="17"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hint="eastAsia" w:ascii="仿宋_GB2312" w:hAnsi="仿宋_GB2312" w:eastAsia="仿宋_GB2312" w:cs="仿宋_GB2312"/>
          <w:color w:val="000000"/>
          <w:kern w:val="0"/>
          <w:sz w:val="31"/>
          <w:szCs w:val="31"/>
        </w:rPr>
        <w:t xml:space="preserve">图6： </w:t>
      </w:r>
    </w:p>
    <w:p>
      <w:pPr>
        <w:widowControl/>
        <w:jc w:val="left"/>
        <w:rPr>
          <w:rFonts w:ascii="仿宋" w:hAnsi="仿宋" w:eastAsia="仿宋"/>
          <w:sz w:val="32"/>
          <w:szCs w:val="32"/>
        </w:rPr>
      </w:pPr>
    </w:p>
    <w:p>
      <w:pPr>
        <w:spacing w:line="600" w:lineRule="exact"/>
        <w:ind w:firstLine="640"/>
        <w:rPr>
          <w:rFonts w:ascii="仿宋" w:hAnsi="仿宋" w:eastAsia="仿宋"/>
          <w:sz w:val="32"/>
          <w:szCs w:val="32"/>
        </w:rPr>
      </w:pPr>
    </w:p>
    <w:p>
      <w:pPr>
        <w:spacing w:line="600" w:lineRule="exact"/>
        <w:ind w:firstLine="640"/>
        <w:rPr>
          <w:rFonts w:ascii="仿宋" w:hAnsi="仿宋" w:eastAsia="仿宋"/>
          <w:sz w:val="32"/>
          <w:szCs w:val="32"/>
        </w:rPr>
      </w:pPr>
    </w:p>
    <w:p>
      <w:pPr>
        <w:spacing w:line="600" w:lineRule="exact"/>
        <w:ind w:firstLine="640"/>
        <w:rPr>
          <w:rFonts w:ascii="仿宋" w:hAnsi="仿宋" w:eastAsia="仿宋"/>
          <w:sz w:val="32"/>
          <w:szCs w:val="32"/>
        </w:rPr>
      </w:pPr>
    </w:p>
    <w:p>
      <w:pPr>
        <w:spacing w:line="600" w:lineRule="exact"/>
        <w:outlineLvl w:val="2"/>
        <w:rPr>
          <w:rFonts w:ascii="仿宋_GB2312" w:hAnsi="仿宋_GB2312" w:eastAsia="仿宋_GB2312" w:cs="仿宋_GB2312"/>
          <w:b/>
          <w:color w:val="000000"/>
          <w:kern w:val="0"/>
          <w:sz w:val="31"/>
          <w:szCs w:val="31"/>
        </w:rPr>
      </w:pPr>
      <w:bookmarkStart w:id="32" w:name="_Toc15377212"/>
    </w:p>
    <w:p>
      <w:pPr>
        <w:spacing w:line="600" w:lineRule="exact"/>
        <w:outlineLvl w:val="2"/>
        <w:rPr>
          <w:rFonts w:ascii="仿宋_GB2312" w:hAnsi="仿宋_GB2312" w:eastAsia="仿宋_GB2312" w:cs="仿宋_GB2312"/>
          <w:b/>
          <w:color w:val="000000"/>
          <w:kern w:val="0"/>
          <w:sz w:val="31"/>
          <w:szCs w:val="31"/>
        </w:rPr>
      </w:pPr>
    </w:p>
    <w:p>
      <w:pPr>
        <w:spacing w:line="600" w:lineRule="exact"/>
        <w:outlineLvl w:val="2"/>
        <w:rPr>
          <w:rFonts w:ascii="仿宋_GB2312" w:hAnsi="仿宋_GB2312" w:eastAsia="仿宋_GB2312" w:cs="仿宋_GB2312"/>
          <w:b/>
          <w:color w:val="000000"/>
          <w:kern w:val="0"/>
          <w:sz w:val="31"/>
          <w:szCs w:val="31"/>
        </w:rPr>
      </w:pPr>
    </w:p>
    <w:p>
      <w:pPr>
        <w:spacing w:line="600" w:lineRule="exact"/>
        <w:ind w:firstLine="622" w:firstLineChars="200"/>
        <w:outlineLvl w:val="2"/>
        <w:rPr>
          <w:rFonts w:ascii="仿宋_GB2312" w:hAnsi="仿宋_GB2312" w:eastAsia="仿宋_GB2312" w:cs="仿宋_GB2312"/>
          <w:b/>
          <w:color w:val="000000"/>
          <w:kern w:val="0"/>
          <w:sz w:val="31"/>
          <w:szCs w:val="31"/>
        </w:rPr>
      </w:pPr>
    </w:p>
    <w:p>
      <w:pPr>
        <w:spacing w:line="600" w:lineRule="exact"/>
        <w:ind w:firstLine="622" w:firstLineChars="200"/>
        <w:outlineLvl w:val="2"/>
        <w:rPr>
          <w:rFonts w:ascii="仿宋_GB2312" w:hAnsi="仿宋_GB2312" w:eastAsia="仿宋_GB2312" w:cs="仿宋_GB2312"/>
          <w:b/>
          <w:color w:val="000000"/>
          <w:kern w:val="0"/>
          <w:sz w:val="31"/>
          <w:szCs w:val="31"/>
        </w:rPr>
      </w:pPr>
      <w:r>
        <w:rPr>
          <w:rFonts w:hint="eastAsia" w:ascii="仿宋_GB2312" w:hAnsi="仿宋_GB2312" w:eastAsia="仿宋_GB2312" w:cs="仿宋_GB2312"/>
          <w:b/>
          <w:color w:val="000000"/>
          <w:kern w:val="0"/>
          <w:sz w:val="31"/>
          <w:szCs w:val="31"/>
        </w:rPr>
        <w:t>（三）一般公共预算财政拨款支出决算具体情况</w:t>
      </w:r>
      <w:bookmarkEnd w:id="32"/>
    </w:p>
    <w:p>
      <w:pPr>
        <w:widowControl/>
        <w:jc w:val="left"/>
        <w:rPr>
          <w:rFonts w:ascii="仿宋_GB2312" w:hAnsi="仿宋_GB2312" w:eastAsia="仿宋_GB2312" w:cs="仿宋_GB2312"/>
          <w:color w:val="000000"/>
          <w:kern w:val="0"/>
          <w:sz w:val="31"/>
          <w:szCs w:val="31"/>
        </w:rPr>
      </w:pPr>
      <w:bookmarkStart w:id="33" w:name="_Toc15377213"/>
      <w:bookmarkStart w:id="34" w:name="_Toc15377444"/>
      <w:bookmarkStart w:id="35" w:name="_Toc15378460"/>
      <w:r>
        <w:rPr>
          <w:rFonts w:hint="eastAsia" w:ascii="仿宋_GB2312" w:hAnsi="仿宋_GB2312" w:eastAsia="仿宋_GB2312" w:cs="仿宋_GB2312"/>
          <w:color w:val="000000"/>
          <w:kern w:val="0"/>
          <w:sz w:val="31"/>
          <w:szCs w:val="31"/>
        </w:rPr>
        <w:t xml:space="preserve">     2018年一般公共预算支出决算数为821.27，完成预算100%。其中：</w:t>
      </w:r>
      <w:bookmarkEnd w:id="33"/>
      <w:bookmarkEnd w:id="34"/>
      <w:bookmarkEnd w:id="35"/>
    </w:p>
    <w:p>
      <w:pPr>
        <w:spacing w:line="600" w:lineRule="exact"/>
        <w:outlineLvl w:val="2"/>
        <w:rPr>
          <w:rFonts w:ascii="仿宋_GB2312" w:hAnsi="仿宋_GB2312" w:eastAsia="仿宋_GB2312" w:cs="仿宋_GB2312"/>
          <w:color w:val="000000"/>
          <w:kern w:val="0"/>
          <w:sz w:val="31"/>
          <w:szCs w:val="31"/>
        </w:rPr>
      </w:pPr>
      <w:r>
        <w:rPr>
          <w:rFonts w:hint="eastAsia" w:ascii="仿宋_GB2312" w:hAnsi="仿宋_GB2312" w:eastAsia="仿宋_GB2312" w:cs="仿宋_GB2312"/>
          <w:b/>
          <w:bCs/>
          <w:color w:val="000000"/>
          <w:kern w:val="0"/>
          <w:sz w:val="31"/>
          <w:szCs w:val="31"/>
        </w:rPr>
        <w:t xml:space="preserve">   1.一般公共服务（类）人大事务（款）行政运行（项）:</w:t>
      </w:r>
      <w:r>
        <w:rPr>
          <w:rFonts w:hint="eastAsia" w:ascii="仿宋_GB2312" w:hAnsi="仿宋_GB2312" w:eastAsia="仿宋_GB2312" w:cs="仿宋_GB2312"/>
          <w:color w:val="000000"/>
          <w:kern w:val="0"/>
          <w:sz w:val="31"/>
          <w:szCs w:val="31"/>
        </w:rPr>
        <w:t xml:space="preserve"> 支出决算为15.36万元，完成预算100%，决算数与预算数持平。</w:t>
      </w:r>
    </w:p>
    <w:p>
      <w:pPr>
        <w:spacing w:line="600" w:lineRule="exact"/>
        <w:ind w:left="420" w:leftChars="200"/>
        <w:outlineLvl w:val="2"/>
        <w:rPr>
          <w:rStyle w:val="12"/>
          <w:rFonts w:ascii="仿宋_GB2312" w:eastAsia="仿宋_GB2312"/>
          <w:b w:val="0"/>
          <w:sz w:val="32"/>
          <w:szCs w:val="32"/>
        </w:rPr>
      </w:pPr>
      <w:r>
        <w:rPr>
          <w:rStyle w:val="12"/>
          <w:rFonts w:hint="eastAsia" w:ascii="仿宋" w:hAnsi="仿宋" w:eastAsia="仿宋"/>
          <w:bCs/>
          <w:sz w:val="32"/>
          <w:szCs w:val="32"/>
        </w:rPr>
        <w:t>2.一般公共服务（类）</w:t>
      </w:r>
      <w:r>
        <w:rPr>
          <w:rStyle w:val="12"/>
          <w:rFonts w:hint="eastAsia" w:ascii="仿宋_GB2312" w:eastAsia="仿宋_GB2312"/>
          <w:sz w:val="32"/>
          <w:szCs w:val="32"/>
        </w:rPr>
        <w:t>政府办公厅（室）及相关机构事务（款）行政运行（项）</w:t>
      </w:r>
      <w:r>
        <w:rPr>
          <w:rStyle w:val="12"/>
          <w:rFonts w:ascii="仿宋" w:hAnsi="仿宋" w:eastAsia="仿宋"/>
          <w:bCs/>
          <w:sz w:val="32"/>
          <w:szCs w:val="32"/>
        </w:rPr>
        <w:t>:</w:t>
      </w:r>
      <w:r>
        <w:rPr>
          <w:rFonts w:hint="eastAsia" w:ascii="仿宋_GB2312" w:hAnsi="仿宋_GB2312" w:eastAsia="仿宋_GB2312" w:cs="仿宋_GB2312"/>
          <w:color w:val="000000"/>
          <w:kern w:val="0"/>
          <w:sz w:val="31"/>
          <w:szCs w:val="31"/>
        </w:rPr>
        <w:t>支出决算为180.52万元，完成预算100%，决算数与预算数持平。</w:t>
      </w:r>
    </w:p>
    <w:p>
      <w:pPr>
        <w:spacing w:line="600" w:lineRule="exact"/>
        <w:ind w:left="420" w:leftChars="200"/>
        <w:outlineLvl w:val="2"/>
        <w:rPr>
          <w:rFonts w:ascii="仿宋_GB2312" w:hAnsi="仿宋_GB2312" w:eastAsia="仿宋_GB2312" w:cs="仿宋_GB2312"/>
          <w:color w:val="000000"/>
          <w:kern w:val="0"/>
          <w:sz w:val="31"/>
          <w:szCs w:val="31"/>
        </w:rPr>
      </w:pPr>
      <w:r>
        <w:rPr>
          <w:rStyle w:val="12"/>
          <w:rFonts w:hint="eastAsia" w:ascii="仿宋" w:hAnsi="仿宋" w:eastAsia="仿宋"/>
          <w:bCs/>
          <w:sz w:val="32"/>
          <w:szCs w:val="32"/>
        </w:rPr>
        <w:t>3.一般公共服务（类）</w:t>
      </w:r>
      <w:r>
        <w:rPr>
          <w:rStyle w:val="12"/>
          <w:rFonts w:hint="eastAsia" w:ascii="仿宋_GB2312" w:eastAsia="仿宋_GB2312"/>
          <w:sz w:val="32"/>
          <w:szCs w:val="32"/>
        </w:rPr>
        <w:t>政府办公厅（室）及相关机构事务（款）一般行政管理事务（项）</w:t>
      </w:r>
      <w:r>
        <w:rPr>
          <w:rStyle w:val="12"/>
          <w:rFonts w:ascii="仿宋" w:hAnsi="仿宋" w:eastAsia="仿宋"/>
          <w:bCs/>
          <w:sz w:val="32"/>
          <w:szCs w:val="32"/>
        </w:rPr>
        <w:t>:</w:t>
      </w:r>
      <w:r>
        <w:rPr>
          <w:rFonts w:hint="eastAsia" w:ascii="仿宋_GB2312" w:hAnsi="仿宋_GB2312" w:eastAsia="仿宋_GB2312" w:cs="仿宋_GB2312"/>
          <w:color w:val="000000"/>
          <w:kern w:val="0"/>
          <w:sz w:val="31"/>
          <w:szCs w:val="31"/>
        </w:rPr>
        <w:t>支出决算为8万元，完成预算100%，决算数与预算数持平。</w:t>
      </w:r>
    </w:p>
    <w:p>
      <w:pPr>
        <w:spacing w:line="600" w:lineRule="exact"/>
        <w:ind w:left="420" w:leftChars="200"/>
        <w:outlineLvl w:val="2"/>
        <w:rPr>
          <w:rStyle w:val="12"/>
          <w:rFonts w:ascii="仿宋_GB2312" w:eastAsia="仿宋_GB2312"/>
          <w:b w:val="0"/>
          <w:sz w:val="32"/>
          <w:szCs w:val="32"/>
        </w:rPr>
      </w:pPr>
      <w:r>
        <w:rPr>
          <w:rStyle w:val="12"/>
          <w:rFonts w:hint="eastAsia" w:ascii="仿宋_GB2312" w:eastAsia="仿宋_GB2312"/>
          <w:sz w:val="32"/>
          <w:szCs w:val="32"/>
        </w:rPr>
        <w:t>4.一般公共服务（类）财政事务（款）行政运行（项）:</w:t>
      </w:r>
      <w:r>
        <w:rPr>
          <w:rStyle w:val="12"/>
          <w:rFonts w:hint="eastAsia" w:ascii="仿宋_GB2312" w:eastAsia="仿宋_GB2312"/>
          <w:b w:val="0"/>
          <w:sz w:val="32"/>
          <w:szCs w:val="32"/>
        </w:rPr>
        <w:t>支出决算为13.33万元，完成预算100%，决算数与预算数持平。</w:t>
      </w:r>
    </w:p>
    <w:p>
      <w:pPr>
        <w:spacing w:line="600" w:lineRule="exact"/>
        <w:ind w:left="420" w:leftChars="200"/>
        <w:outlineLvl w:val="2"/>
        <w:rPr>
          <w:rStyle w:val="12"/>
          <w:rFonts w:ascii="仿宋_GB2312" w:eastAsia="仿宋_GB2312"/>
          <w:b w:val="0"/>
          <w:sz w:val="32"/>
          <w:szCs w:val="32"/>
        </w:rPr>
      </w:pPr>
      <w:r>
        <w:rPr>
          <w:rStyle w:val="12"/>
          <w:rFonts w:hint="eastAsia" w:ascii="仿宋_GB2312" w:eastAsia="仿宋_GB2312"/>
          <w:sz w:val="32"/>
          <w:szCs w:val="32"/>
        </w:rPr>
        <w:t>5.一般公共服务（类）党政办公厅（室）及相关机构事务（款）行政运行（项）:</w:t>
      </w:r>
      <w:r>
        <w:rPr>
          <w:rStyle w:val="12"/>
          <w:rFonts w:hint="eastAsia" w:ascii="仿宋_GB2312" w:eastAsia="仿宋_GB2312"/>
          <w:b w:val="0"/>
          <w:sz w:val="32"/>
          <w:szCs w:val="32"/>
        </w:rPr>
        <w:t>支出决算为26.96万元，完成预算100%，决算数与预算数持平。</w:t>
      </w:r>
    </w:p>
    <w:p>
      <w:pPr>
        <w:spacing w:line="600" w:lineRule="exact"/>
        <w:ind w:left="420" w:leftChars="200"/>
        <w:outlineLvl w:val="2"/>
        <w:rPr>
          <w:rStyle w:val="12"/>
          <w:rFonts w:ascii="仿宋_GB2312" w:eastAsia="仿宋_GB2312"/>
          <w:b w:val="0"/>
          <w:sz w:val="32"/>
          <w:szCs w:val="32"/>
        </w:rPr>
      </w:pPr>
      <w:r>
        <w:rPr>
          <w:rStyle w:val="12"/>
          <w:rFonts w:hint="eastAsia" w:ascii="仿宋_GB2312" w:eastAsia="仿宋_GB2312"/>
          <w:sz w:val="32"/>
          <w:szCs w:val="32"/>
        </w:rPr>
        <w:t>6.社会保障和就业支出（类）民政管理事务（款）老龄事务（项）:</w:t>
      </w:r>
      <w:r>
        <w:rPr>
          <w:rStyle w:val="12"/>
          <w:rFonts w:hint="eastAsia" w:ascii="仿宋_GB2312" w:eastAsia="仿宋_GB2312"/>
          <w:b w:val="0"/>
          <w:sz w:val="32"/>
          <w:szCs w:val="32"/>
        </w:rPr>
        <w:t xml:space="preserve"> 支出决算为12.29万元，完成预算100%，决算数与预算数持平。</w:t>
      </w:r>
    </w:p>
    <w:p>
      <w:pPr>
        <w:spacing w:line="600" w:lineRule="exact"/>
        <w:ind w:left="420" w:leftChars="200"/>
        <w:outlineLvl w:val="2"/>
        <w:rPr>
          <w:rFonts w:ascii="仿宋" w:hAnsi="仿宋" w:eastAsia="仿宋"/>
          <w:b/>
          <w:sz w:val="32"/>
          <w:szCs w:val="32"/>
        </w:rPr>
      </w:pPr>
      <w:r>
        <w:rPr>
          <w:rStyle w:val="12"/>
          <w:rFonts w:hint="eastAsia" w:ascii="仿宋_GB2312" w:eastAsia="仿宋_GB2312"/>
          <w:sz w:val="32"/>
          <w:szCs w:val="32"/>
        </w:rPr>
        <w:t>7.社会保障和就业支出（类）行政事业单位离退休（款）机关事业单位基本养老保险缴费支出（项）:</w:t>
      </w:r>
      <w:r>
        <w:rPr>
          <w:rStyle w:val="12"/>
          <w:rFonts w:hint="eastAsia" w:ascii="仿宋_GB2312" w:eastAsia="仿宋_GB2312"/>
          <w:b w:val="0"/>
          <w:sz w:val="32"/>
          <w:szCs w:val="32"/>
        </w:rPr>
        <w:t xml:space="preserve"> 支出决算为34.91万元，完成预算100%，决算数与预算数持平。</w:t>
      </w:r>
    </w:p>
    <w:p>
      <w:pPr>
        <w:spacing w:line="600" w:lineRule="exact"/>
        <w:ind w:left="420" w:leftChars="200"/>
        <w:outlineLvl w:val="2"/>
        <w:rPr>
          <w:rFonts w:ascii="仿宋" w:hAnsi="仿宋" w:eastAsia="仿宋"/>
          <w:b/>
          <w:sz w:val="32"/>
          <w:szCs w:val="32"/>
        </w:rPr>
      </w:pPr>
      <w:r>
        <w:rPr>
          <w:rStyle w:val="12"/>
          <w:rFonts w:hint="eastAsia" w:ascii="仿宋_GB2312" w:eastAsia="仿宋_GB2312"/>
          <w:sz w:val="32"/>
          <w:szCs w:val="32"/>
        </w:rPr>
        <w:t>8.社会保障和就业支出（类）抚恤（款）义务兵优待（项）:</w:t>
      </w:r>
      <w:r>
        <w:rPr>
          <w:rStyle w:val="12"/>
          <w:rFonts w:hint="eastAsia" w:ascii="仿宋_GB2312" w:eastAsia="仿宋_GB2312"/>
          <w:b w:val="0"/>
          <w:sz w:val="32"/>
          <w:szCs w:val="32"/>
        </w:rPr>
        <w:t xml:space="preserve"> 支出决算为7.38万元，完成预算100%，决算数与预算数持平。</w:t>
      </w:r>
    </w:p>
    <w:p>
      <w:pPr>
        <w:spacing w:line="600" w:lineRule="exact"/>
        <w:ind w:left="420" w:leftChars="200"/>
        <w:outlineLvl w:val="2"/>
        <w:rPr>
          <w:rFonts w:ascii="仿宋" w:hAnsi="仿宋" w:eastAsia="仿宋"/>
          <w:b/>
          <w:sz w:val="32"/>
          <w:szCs w:val="32"/>
        </w:rPr>
      </w:pPr>
      <w:r>
        <w:rPr>
          <w:rStyle w:val="12"/>
          <w:rFonts w:hint="eastAsia" w:ascii="仿宋_GB2312" w:eastAsia="仿宋_GB2312"/>
          <w:sz w:val="32"/>
          <w:szCs w:val="32"/>
        </w:rPr>
        <w:t xml:space="preserve">9.社会保障和就业支出（类）特困人员救助供养（款）农村特困人员救助供养支出（项）: </w:t>
      </w:r>
      <w:r>
        <w:rPr>
          <w:rStyle w:val="12"/>
          <w:rFonts w:hint="eastAsia" w:ascii="仿宋_GB2312" w:eastAsia="仿宋_GB2312"/>
          <w:b w:val="0"/>
          <w:sz w:val="32"/>
          <w:szCs w:val="32"/>
        </w:rPr>
        <w:t>支出决算为12.07万元，完成预算100%，决算数与预算数持平。</w:t>
      </w:r>
    </w:p>
    <w:p>
      <w:pPr>
        <w:spacing w:line="600" w:lineRule="exact"/>
        <w:ind w:left="420" w:leftChars="200"/>
        <w:outlineLvl w:val="2"/>
        <w:rPr>
          <w:rFonts w:ascii="仿宋" w:hAnsi="仿宋" w:eastAsia="仿宋"/>
          <w:b/>
          <w:sz w:val="32"/>
          <w:szCs w:val="32"/>
        </w:rPr>
      </w:pPr>
      <w:r>
        <w:rPr>
          <w:rStyle w:val="12"/>
          <w:rFonts w:hint="eastAsia" w:ascii="仿宋_GB2312" w:eastAsia="仿宋_GB2312"/>
          <w:sz w:val="32"/>
          <w:szCs w:val="32"/>
        </w:rPr>
        <w:t>10.社会保障和就业支出（类）其他生活救助（款）其他农村生活救助（项）:</w:t>
      </w:r>
      <w:r>
        <w:rPr>
          <w:rStyle w:val="12"/>
          <w:rFonts w:hint="eastAsia" w:ascii="仿宋_GB2312" w:eastAsia="仿宋_GB2312"/>
          <w:b w:val="0"/>
          <w:sz w:val="32"/>
          <w:szCs w:val="32"/>
        </w:rPr>
        <w:t xml:space="preserve"> 支出决算为14.16万元，完成预算100%，决算数与预算数持平。</w:t>
      </w:r>
    </w:p>
    <w:p>
      <w:pPr>
        <w:spacing w:line="600" w:lineRule="exact"/>
        <w:ind w:left="420" w:leftChars="200"/>
        <w:outlineLvl w:val="2"/>
        <w:rPr>
          <w:rStyle w:val="12"/>
          <w:rFonts w:ascii="仿宋_GB2312" w:eastAsia="仿宋_GB2312"/>
          <w:b w:val="0"/>
          <w:sz w:val="32"/>
          <w:szCs w:val="32"/>
        </w:rPr>
      </w:pPr>
      <w:r>
        <w:rPr>
          <w:rStyle w:val="12"/>
          <w:rFonts w:hint="eastAsia" w:ascii="仿宋_GB2312" w:eastAsia="仿宋_GB2312"/>
          <w:sz w:val="32"/>
          <w:szCs w:val="32"/>
        </w:rPr>
        <w:t>11.医疗卫生与计划生育支出（类）行政事业单位医疗（款）行政单位医疗（项）:</w:t>
      </w:r>
      <w:r>
        <w:rPr>
          <w:rStyle w:val="12"/>
          <w:rFonts w:hint="eastAsia" w:ascii="仿宋_GB2312" w:eastAsia="仿宋_GB2312"/>
          <w:b w:val="0"/>
          <w:sz w:val="32"/>
          <w:szCs w:val="32"/>
        </w:rPr>
        <w:t xml:space="preserve"> 支出决算为9.74万元，完成预算100%，决算数与预算数持平。</w:t>
      </w:r>
    </w:p>
    <w:p>
      <w:pPr>
        <w:spacing w:line="600" w:lineRule="exact"/>
        <w:ind w:left="420" w:leftChars="200"/>
        <w:outlineLvl w:val="2"/>
        <w:rPr>
          <w:rStyle w:val="12"/>
          <w:rFonts w:ascii="仿宋_GB2312" w:eastAsia="仿宋_GB2312"/>
          <w:b w:val="0"/>
          <w:sz w:val="32"/>
          <w:szCs w:val="32"/>
        </w:rPr>
      </w:pPr>
      <w:r>
        <w:rPr>
          <w:rStyle w:val="12"/>
          <w:rFonts w:hint="eastAsia" w:ascii="仿宋" w:hAnsi="仿宋" w:eastAsia="仿宋"/>
          <w:bCs/>
          <w:sz w:val="32"/>
          <w:szCs w:val="32"/>
        </w:rPr>
        <w:t>12.节能环保支出（类）污染防治（款）水体（项）</w:t>
      </w:r>
      <w:r>
        <w:rPr>
          <w:rStyle w:val="12"/>
          <w:rFonts w:ascii="仿宋" w:hAnsi="仿宋" w:eastAsia="仿宋"/>
          <w:bCs/>
          <w:sz w:val="32"/>
          <w:szCs w:val="32"/>
        </w:rPr>
        <w:t>:</w:t>
      </w:r>
      <w:r>
        <w:rPr>
          <w:rStyle w:val="12"/>
          <w:rFonts w:hint="eastAsia" w:ascii="仿宋_GB2312" w:eastAsia="仿宋_GB2312"/>
          <w:b w:val="0"/>
          <w:sz w:val="32"/>
          <w:szCs w:val="32"/>
        </w:rPr>
        <w:t>支出决算为1.09万元，完成预算100%，决算数与预算数持平。</w:t>
      </w:r>
    </w:p>
    <w:p>
      <w:pPr>
        <w:spacing w:line="600" w:lineRule="exact"/>
        <w:ind w:left="420" w:leftChars="200"/>
        <w:outlineLvl w:val="2"/>
        <w:rPr>
          <w:rStyle w:val="12"/>
          <w:rFonts w:ascii="仿宋_GB2312" w:eastAsia="仿宋_GB2312"/>
          <w:b w:val="0"/>
          <w:sz w:val="32"/>
          <w:szCs w:val="32"/>
        </w:rPr>
      </w:pPr>
      <w:r>
        <w:rPr>
          <w:rStyle w:val="12"/>
          <w:rFonts w:hint="eastAsia" w:ascii="仿宋_GB2312" w:eastAsia="仿宋_GB2312"/>
          <w:sz w:val="32"/>
          <w:szCs w:val="32"/>
        </w:rPr>
        <w:t>13.城乡社区支出（类）城乡社区管理事务（款）行政运行（项）:</w:t>
      </w:r>
      <w:r>
        <w:rPr>
          <w:rStyle w:val="12"/>
          <w:rFonts w:hint="eastAsia" w:ascii="仿宋_GB2312" w:eastAsia="仿宋_GB2312"/>
          <w:b w:val="0"/>
          <w:sz w:val="32"/>
          <w:szCs w:val="32"/>
        </w:rPr>
        <w:t xml:space="preserve"> 支出决算为8.52万元，完成预算100%，决算数与预算数持平。</w:t>
      </w:r>
    </w:p>
    <w:p>
      <w:pPr>
        <w:spacing w:line="600" w:lineRule="exact"/>
        <w:ind w:left="420" w:leftChars="200"/>
        <w:outlineLvl w:val="2"/>
        <w:rPr>
          <w:rStyle w:val="12"/>
          <w:rFonts w:ascii="仿宋_GB2312" w:eastAsia="仿宋_GB2312"/>
          <w:b w:val="0"/>
          <w:sz w:val="32"/>
          <w:szCs w:val="32"/>
        </w:rPr>
      </w:pPr>
      <w:r>
        <w:rPr>
          <w:rStyle w:val="12"/>
          <w:rFonts w:hint="eastAsia" w:ascii="仿宋_GB2312" w:eastAsia="仿宋_GB2312"/>
          <w:sz w:val="32"/>
          <w:szCs w:val="32"/>
        </w:rPr>
        <w:t>14.农林水支出（类）农业（款）行政运行（项）:</w:t>
      </w:r>
      <w:r>
        <w:rPr>
          <w:rStyle w:val="12"/>
          <w:rFonts w:hint="eastAsia" w:ascii="仿宋_GB2312" w:eastAsia="仿宋_GB2312"/>
          <w:b w:val="0"/>
          <w:sz w:val="32"/>
          <w:szCs w:val="32"/>
        </w:rPr>
        <w:t xml:space="preserve"> 支出决算为88.97万元，完成预算100%，决算数与预算数持平。</w:t>
      </w:r>
    </w:p>
    <w:p>
      <w:pPr>
        <w:spacing w:line="600" w:lineRule="exact"/>
        <w:ind w:left="420" w:leftChars="200" w:firstLine="321" w:firstLineChars="100"/>
        <w:outlineLvl w:val="2"/>
        <w:rPr>
          <w:rStyle w:val="12"/>
          <w:rFonts w:ascii="仿宋_GB2312" w:eastAsia="仿宋_GB2312"/>
          <w:b w:val="0"/>
          <w:sz w:val="32"/>
          <w:szCs w:val="32"/>
        </w:rPr>
      </w:pPr>
      <w:r>
        <w:rPr>
          <w:rStyle w:val="12"/>
          <w:rFonts w:hint="eastAsia" w:ascii="仿宋_GB2312" w:eastAsia="仿宋_GB2312"/>
          <w:sz w:val="32"/>
          <w:szCs w:val="32"/>
        </w:rPr>
        <w:t>15.农林水支出（类）农业（款）防灾救灾（项）:</w:t>
      </w:r>
      <w:r>
        <w:rPr>
          <w:rStyle w:val="12"/>
          <w:rFonts w:hint="eastAsia" w:ascii="仿宋_GB2312" w:eastAsia="仿宋_GB2312"/>
          <w:b w:val="0"/>
          <w:sz w:val="32"/>
          <w:szCs w:val="32"/>
        </w:rPr>
        <w:t xml:space="preserve"> 支出决算为11.94万元，完成预算100%，决算数与预算数持平。</w:t>
      </w:r>
    </w:p>
    <w:p>
      <w:pPr>
        <w:spacing w:line="600" w:lineRule="exact"/>
        <w:ind w:left="420" w:leftChars="200" w:firstLine="321" w:firstLineChars="100"/>
        <w:outlineLvl w:val="2"/>
        <w:rPr>
          <w:rStyle w:val="12"/>
          <w:rFonts w:ascii="仿宋_GB2312" w:eastAsia="仿宋_GB2312"/>
          <w:b w:val="0"/>
          <w:sz w:val="32"/>
          <w:szCs w:val="32"/>
        </w:rPr>
      </w:pPr>
      <w:r>
        <w:rPr>
          <w:rStyle w:val="12"/>
          <w:rFonts w:hint="eastAsia" w:ascii="仿宋_GB2312" w:eastAsia="仿宋_GB2312"/>
          <w:sz w:val="32"/>
          <w:szCs w:val="32"/>
        </w:rPr>
        <w:t xml:space="preserve">16.农林水支出（类）农业（款）农业生产支持补贴（项）: </w:t>
      </w:r>
      <w:r>
        <w:rPr>
          <w:rStyle w:val="12"/>
          <w:rFonts w:hint="eastAsia" w:ascii="仿宋_GB2312" w:eastAsia="仿宋_GB2312"/>
          <w:b w:val="0"/>
          <w:sz w:val="32"/>
          <w:szCs w:val="32"/>
        </w:rPr>
        <w:t>支出决算为113.08万元，完成预算100%，决算数与预算数持平。</w:t>
      </w:r>
    </w:p>
    <w:p>
      <w:pPr>
        <w:spacing w:line="600" w:lineRule="exact"/>
        <w:ind w:left="420" w:leftChars="200" w:firstLine="321" w:firstLineChars="100"/>
        <w:outlineLvl w:val="2"/>
        <w:rPr>
          <w:rStyle w:val="12"/>
          <w:rFonts w:ascii="仿宋_GB2312" w:eastAsia="仿宋_GB2312"/>
          <w:b w:val="0"/>
          <w:sz w:val="32"/>
          <w:szCs w:val="32"/>
        </w:rPr>
      </w:pPr>
      <w:r>
        <w:rPr>
          <w:rStyle w:val="12"/>
          <w:rFonts w:hint="eastAsia" w:ascii="仿宋_GB2312" w:eastAsia="仿宋_GB2312"/>
          <w:sz w:val="32"/>
          <w:szCs w:val="32"/>
        </w:rPr>
        <w:t xml:space="preserve">17.农林水支出（类）农业（款） 对高校毕业生到基层任职补助（项）: </w:t>
      </w:r>
      <w:r>
        <w:rPr>
          <w:rStyle w:val="12"/>
          <w:rFonts w:hint="eastAsia" w:ascii="仿宋_GB2312" w:eastAsia="仿宋_GB2312"/>
          <w:b w:val="0"/>
          <w:sz w:val="32"/>
          <w:szCs w:val="32"/>
        </w:rPr>
        <w:t>支出决算为3.3万元，完成预算100%，决算数与预算数持平。</w:t>
      </w:r>
    </w:p>
    <w:p>
      <w:pPr>
        <w:spacing w:line="600" w:lineRule="exact"/>
        <w:ind w:left="420" w:leftChars="200" w:firstLine="321" w:firstLineChars="100"/>
        <w:outlineLvl w:val="2"/>
        <w:rPr>
          <w:rStyle w:val="12"/>
          <w:rFonts w:ascii="仿宋_GB2312" w:eastAsia="仿宋_GB2312"/>
          <w:b w:val="0"/>
          <w:sz w:val="32"/>
          <w:szCs w:val="32"/>
        </w:rPr>
      </w:pPr>
      <w:r>
        <w:rPr>
          <w:rStyle w:val="12"/>
          <w:rFonts w:hint="eastAsia" w:ascii="仿宋_GB2312" w:eastAsia="仿宋_GB2312"/>
          <w:sz w:val="32"/>
          <w:szCs w:val="32"/>
        </w:rPr>
        <w:t>18.农林水支出（类）林业（款） 行政运行（项）:</w:t>
      </w:r>
      <w:r>
        <w:rPr>
          <w:rStyle w:val="12"/>
          <w:rFonts w:hint="eastAsia" w:ascii="仿宋_GB2312" w:eastAsia="仿宋_GB2312"/>
          <w:b w:val="0"/>
          <w:sz w:val="32"/>
          <w:szCs w:val="32"/>
        </w:rPr>
        <w:t xml:space="preserve"> 支出决算为2.18万元，完成预算100%，决算数与预算数持平。</w:t>
      </w:r>
    </w:p>
    <w:p>
      <w:pPr>
        <w:spacing w:line="600" w:lineRule="exact"/>
        <w:ind w:left="420" w:leftChars="200" w:firstLine="321" w:firstLineChars="100"/>
        <w:outlineLvl w:val="2"/>
        <w:rPr>
          <w:rFonts w:ascii="仿宋" w:hAnsi="仿宋" w:eastAsia="仿宋"/>
          <w:b/>
          <w:sz w:val="32"/>
          <w:szCs w:val="32"/>
        </w:rPr>
      </w:pPr>
      <w:r>
        <w:rPr>
          <w:rStyle w:val="12"/>
          <w:rFonts w:hint="eastAsia" w:ascii="仿宋_GB2312" w:eastAsia="仿宋_GB2312"/>
          <w:sz w:val="32"/>
          <w:szCs w:val="32"/>
        </w:rPr>
        <w:t>19.农林水支出（类）水利（款）行政运行（项）:</w:t>
      </w:r>
      <w:r>
        <w:rPr>
          <w:rStyle w:val="12"/>
          <w:rFonts w:hint="eastAsia" w:ascii="仿宋_GB2312" w:eastAsia="仿宋_GB2312"/>
          <w:b w:val="0"/>
          <w:sz w:val="32"/>
          <w:szCs w:val="32"/>
        </w:rPr>
        <w:t xml:space="preserve"> 支出决算为48.12万元，完成预算100%，决算数与预算数持平。</w:t>
      </w:r>
    </w:p>
    <w:p>
      <w:pPr>
        <w:spacing w:line="600" w:lineRule="exact"/>
        <w:ind w:left="420" w:leftChars="200" w:firstLine="321" w:firstLineChars="100"/>
        <w:outlineLvl w:val="2"/>
        <w:rPr>
          <w:rStyle w:val="12"/>
          <w:rFonts w:ascii="仿宋_GB2312" w:eastAsia="仿宋_GB2312"/>
          <w:b w:val="0"/>
          <w:sz w:val="32"/>
          <w:szCs w:val="32"/>
        </w:rPr>
      </w:pPr>
      <w:r>
        <w:rPr>
          <w:rStyle w:val="12"/>
          <w:rFonts w:hint="eastAsia" w:ascii="仿宋_GB2312" w:eastAsia="仿宋_GB2312"/>
          <w:sz w:val="32"/>
          <w:szCs w:val="32"/>
        </w:rPr>
        <w:t>20.农林水支出（类）农村综合改革（款）对村民委员会和村党支部的补助（项）:</w:t>
      </w:r>
      <w:r>
        <w:rPr>
          <w:rStyle w:val="12"/>
          <w:rFonts w:hint="eastAsia" w:ascii="仿宋_GB2312" w:eastAsia="仿宋_GB2312"/>
          <w:b w:val="0"/>
          <w:sz w:val="32"/>
          <w:szCs w:val="32"/>
        </w:rPr>
        <w:t xml:space="preserve"> 支出决算为172.18万元，完成预算100%，决算数与预算数持平。</w:t>
      </w:r>
    </w:p>
    <w:p>
      <w:pPr>
        <w:spacing w:line="600" w:lineRule="exact"/>
        <w:ind w:firstLine="643" w:firstLineChars="200"/>
        <w:outlineLvl w:val="2"/>
        <w:rPr>
          <w:rStyle w:val="12"/>
          <w:rFonts w:ascii="仿宋_GB2312" w:eastAsia="仿宋_GB2312"/>
          <w:b w:val="0"/>
          <w:sz w:val="32"/>
          <w:szCs w:val="32"/>
        </w:rPr>
      </w:pPr>
      <w:r>
        <w:rPr>
          <w:rStyle w:val="12"/>
          <w:rFonts w:hint="eastAsia" w:ascii="仿宋_GB2312" w:eastAsia="仿宋_GB2312"/>
          <w:sz w:val="32"/>
          <w:szCs w:val="32"/>
        </w:rPr>
        <w:t xml:space="preserve">21.住房保障支出（类）住房改革支出（款）住房公积金（项）: </w:t>
      </w:r>
      <w:r>
        <w:rPr>
          <w:rStyle w:val="12"/>
          <w:rFonts w:hint="eastAsia" w:ascii="仿宋_GB2312" w:eastAsia="仿宋_GB2312"/>
          <w:b w:val="0"/>
          <w:sz w:val="32"/>
          <w:szCs w:val="32"/>
        </w:rPr>
        <w:t>支出决算为37.17万元，完成预算100%，决算数与预算数持平。</w:t>
      </w:r>
    </w:p>
    <w:p>
      <w:pPr>
        <w:tabs>
          <w:tab w:val="right" w:pos="8306"/>
        </w:tabs>
        <w:spacing w:line="600" w:lineRule="exact"/>
        <w:ind w:firstLine="640"/>
        <w:outlineLvl w:val="1"/>
        <w:rPr>
          <w:rFonts w:ascii="黑体" w:eastAsia="黑体"/>
          <w:sz w:val="32"/>
          <w:szCs w:val="32"/>
        </w:rPr>
      </w:pPr>
      <w:bookmarkStart w:id="36" w:name="_Toc15377214"/>
      <w:bookmarkStart w:id="37" w:name="_Toc15396608"/>
    </w:p>
    <w:p>
      <w:pPr>
        <w:tabs>
          <w:tab w:val="right" w:pos="8306"/>
        </w:tabs>
        <w:spacing w:line="600" w:lineRule="exact"/>
        <w:ind w:firstLine="640"/>
        <w:outlineLvl w:val="1"/>
        <w:rPr>
          <w:rStyle w:val="15"/>
          <w:rFonts w:hint="eastAsia"/>
        </w:rPr>
      </w:pPr>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15"/>
          <w:rFonts w:hint="eastAsia" w:ascii="黑体" w:hAnsi="黑体" w:eastAsia="黑体"/>
          <w:b w:val="0"/>
        </w:rPr>
        <w:t>般公共预算财政拨款基本支出决算情况说明</w:t>
      </w:r>
      <w:bookmarkEnd w:id="36"/>
      <w:bookmarkEnd w:id="37"/>
      <w:r>
        <w:rPr>
          <w:rStyle w:val="15"/>
          <w:rFonts w:ascii="黑体" w:hAnsi="黑体" w:eastAsia="黑体"/>
          <w:b w:val="0"/>
        </w:rPr>
        <w:tab/>
      </w:r>
    </w:p>
    <w:p>
      <w:pPr>
        <w:spacing w:line="600" w:lineRule="exact"/>
        <w:ind w:firstLine="640" w:firstLineChars="200"/>
        <w:outlineLvl w:val="2"/>
        <w:rPr>
          <w:rStyle w:val="12"/>
          <w:rFonts w:ascii="仿宋_GB2312" w:eastAsia="仿宋_GB2312"/>
          <w:b w:val="0"/>
          <w:sz w:val="32"/>
          <w:szCs w:val="32"/>
        </w:rPr>
      </w:pPr>
      <w:r>
        <w:rPr>
          <w:rStyle w:val="12"/>
          <w:rFonts w:hint="eastAsia" w:ascii="仿宋_GB2312" w:eastAsia="仿宋_GB2312"/>
          <w:b w:val="0"/>
          <w:sz w:val="32"/>
          <w:szCs w:val="32"/>
        </w:rPr>
        <w:t>2018年一般公共预算财政拨款基本支出465.78万元，其中：</w:t>
      </w:r>
    </w:p>
    <w:p>
      <w:pPr>
        <w:spacing w:line="600" w:lineRule="exact"/>
        <w:ind w:firstLine="640" w:firstLineChars="200"/>
        <w:outlineLvl w:val="2"/>
        <w:rPr>
          <w:rStyle w:val="12"/>
          <w:rFonts w:ascii="仿宋_GB2312" w:eastAsia="仿宋_GB2312"/>
          <w:b w:val="0"/>
          <w:sz w:val="32"/>
          <w:szCs w:val="32"/>
        </w:rPr>
      </w:pPr>
      <w:r>
        <w:rPr>
          <w:rStyle w:val="12"/>
          <w:rFonts w:hint="eastAsia" w:ascii="仿宋_GB2312" w:eastAsia="仿宋_GB2312"/>
          <w:b w:val="0"/>
          <w:sz w:val="32"/>
          <w:szCs w:val="32"/>
        </w:rPr>
        <w:t>人员经费425.03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r>
        <w:rPr>
          <w:rStyle w:val="12"/>
          <w:rFonts w:hint="eastAsia" w:ascii="仿宋_GB2312" w:eastAsia="仿宋_GB2312"/>
          <w:b w:val="0"/>
          <w:sz w:val="32"/>
          <w:szCs w:val="32"/>
        </w:rPr>
        <w:br w:type="textWrapping"/>
      </w:r>
      <w:r>
        <w:rPr>
          <w:rStyle w:val="12"/>
          <w:rFonts w:hint="eastAsia" w:ascii="仿宋_GB2312" w:eastAsia="仿宋_GB2312"/>
          <w:b w:val="0"/>
          <w:sz w:val="32"/>
          <w:szCs w:val="32"/>
        </w:rPr>
        <w:t>　　公用经费40.75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3" w:firstLineChars="200"/>
        <w:outlineLvl w:val="2"/>
        <w:rPr>
          <w:rStyle w:val="12"/>
          <w:rFonts w:ascii="仿宋_GB2312" w:eastAsia="仿宋_GB2312"/>
          <w:sz w:val="32"/>
          <w:szCs w:val="32"/>
        </w:rPr>
      </w:pPr>
    </w:p>
    <w:p>
      <w:pPr>
        <w:spacing w:line="600" w:lineRule="exact"/>
        <w:ind w:firstLine="640"/>
        <w:outlineLvl w:val="1"/>
        <w:rPr>
          <w:rStyle w:val="15"/>
          <w:rFonts w:ascii="黑体" w:hAnsi="黑体" w:eastAsia="黑体"/>
          <w:b w:val="0"/>
        </w:rPr>
      </w:pPr>
      <w:bookmarkStart w:id="38" w:name="_Toc15377215"/>
      <w:bookmarkStart w:id="39" w:name="_Toc15396609"/>
      <w:r>
        <w:rPr>
          <w:rFonts w:hint="eastAsia" w:ascii="黑体" w:eastAsia="黑体"/>
          <w:sz w:val="32"/>
          <w:szCs w:val="32"/>
        </w:rPr>
        <w:t>七、</w:t>
      </w:r>
      <w:r>
        <w:rPr>
          <w:rStyle w:val="15"/>
          <w:rFonts w:hint="eastAsia" w:ascii="黑体" w:hAnsi="黑体" w:eastAsia="黑体"/>
        </w:rPr>
        <w:t>“</w:t>
      </w:r>
      <w:r>
        <w:rPr>
          <w:rStyle w:val="15"/>
          <w:rFonts w:hint="eastAsia" w:ascii="黑体" w:hAnsi="黑体" w:eastAsia="黑体"/>
          <w:b w:val="0"/>
        </w:rPr>
        <w:t>三公”经费财政拨款支出决算情况说明</w:t>
      </w:r>
      <w:bookmarkEnd w:id="38"/>
      <w:bookmarkEnd w:id="39"/>
    </w:p>
    <w:p>
      <w:pPr>
        <w:spacing w:line="600" w:lineRule="exact"/>
        <w:ind w:firstLine="640" w:firstLineChars="200"/>
        <w:outlineLvl w:val="2"/>
        <w:rPr>
          <w:rStyle w:val="12"/>
          <w:rFonts w:ascii="仿宋_GB2312" w:eastAsia="仿宋_GB2312"/>
          <w:b w:val="0"/>
          <w:sz w:val="32"/>
          <w:szCs w:val="32"/>
        </w:rPr>
      </w:pPr>
      <w:bookmarkStart w:id="40" w:name="_Toc15377216"/>
      <w:r>
        <w:rPr>
          <w:rStyle w:val="12"/>
          <w:rFonts w:hint="eastAsia" w:ascii="仿宋_GB2312" w:eastAsia="仿宋_GB2312"/>
          <w:b w:val="0"/>
          <w:sz w:val="32"/>
          <w:szCs w:val="32"/>
        </w:rPr>
        <w:t>（一）“三公”经费财政拨款支出决算总体情况说明</w:t>
      </w:r>
      <w:bookmarkEnd w:id="40"/>
    </w:p>
    <w:p>
      <w:pPr>
        <w:spacing w:line="600" w:lineRule="exact"/>
        <w:ind w:firstLine="640" w:firstLineChars="200"/>
        <w:outlineLvl w:val="2"/>
        <w:rPr>
          <w:rStyle w:val="12"/>
          <w:rFonts w:ascii="仿宋_GB2312" w:eastAsia="仿宋_GB2312"/>
          <w:b w:val="0"/>
          <w:sz w:val="32"/>
          <w:szCs w:val="32"/>
        </w:rPr>
      </w:pPr>
      <w:r>
        <w:rPr>
          <w:rStyle w:val="12"/>
          <w:rFonts w:hint="eastAsia" w:ascii="仿宋_GB2312" w:eastAsia="仿宋_GB2312"/>
          <w:b w:val="0"/>
          <w:sz w:val="32"/>
          <w:szCs w:val="32"/>
        </w:rPr>
        <w:t>2018年“三公”经费财政拨款支出决算为2.98万元，完成预算100%，决算数与预算数持平。</w:t>
      </w:r>
    </w:p>
    <w:p>
      <w:pPr>
        <w:spacing w:line="600" w:lineRule="exact"/>
        <w:ind w:firstLine="640" w:firstLineChars="200"/>
        <w:outlineLvl w:val="2"/>
        <w:rPr>
          <w:rStyle w:val="12"/>
          <w:rFonts w:ascii="仿宋_GB2312" w:eastAsia="仿宋_GB2312"/>
          <w:b w:val="0"/>
          <w:sz w:val="32"/>
          <w:szCs w:val="32"/>
        </w:rPr>
      </w:pPr>
      <w:bookmarkStart w:id="41" w:name="_Toc15377217"/>
      <w:r>
        <w:rPr>
          <w:rStyle w:val="12"/>
          <w:rFonts w:hint="eastAsia" w:ascii="仿宋_GB2312" w:eastAsia="仿宋_GB2312"/>
          <w:b w:val="0"/>
          <w:sz w:val="32"/>
          <w:szCs w:val="32"/>
        </w:rPr>
        <w:t>（二）“三公”经费财政拨款支出决算具体情况说明</w:t>
      </w:r>
      <w:bookmarkEnd w:id="41"/>
    </w:p>
    <w:p>
      <w:pPr>
        <w:spacing w:line="600" w:lineRule="exact"/>
        <w:ind w:firstLine="640" w:firstLineChars="200"/>
        <w:outlineLvl w:val="2"/>
        <w:rPr>
          <w:rStyle w:val="12"/>
          <w:rFonts w:ascii="仿宋_GB2312" w:eastAsia="仿宋_GB2312"/>
          <w:b w:val="0"/>
          <w:sz w:val="32"/>
          <w:szCs w:val="32"/>
        </w:rPr>
      </w:pPr>
      <w:r>
        <w:rPr>
          <w:rStyle w:val="12"/>
          <w:rFonts w:hint="eastAsia" w:ascii="仿宋_GB2312" w:eastAsia="仿宋_GB2312"/>
          <w:b w:val="0"/>
          <w:sz w:val="32"/>
          <w:szCs w:val="32"/>
        </w:rPr>
        <w:t>2018年“三公”经费财政拨款支出决算中，因公出国（境）费支出决算0万元，占0%；公务用车购置及运行维护费支出决算1.78万元，占59.73%；公务接待费支出决算1.2万元，占40.27%。具体情况如下：</w:t>
      </w:r>
    </w:p>
    <w:p>
      <w:pPr>
        <w:spacing w:line="600" w:lineRule="exact"/>
        <w:ind w:firstLine="640" w:firstLineChars="200"/>
        <w:outlineLvl w:val="2"/>
        <w:rPr>
          <w:rStyle w:val="12"/>
          <w:rFonts w:ascii="仿宋_GB2312" w:eastAsia="仿宋_GB2312"/>
          <w:b w:val="0"/>
          <w:sz w:val="32"/>
          <w:szCs w:val="32"/>
        </w:rPr>
      </w:pPr>
      <w:r>
        <w:rPr>
          <w:rStyle w:val="12"/>
          <w:rFonts w:hint="eastAsia" w:ascii="仿宋_GB2312" w:eastAsia="仿宋_GB2312"/>
          <w:b w:val="0"/>
          <w:sz w:val="32"/>
          <w:szCs w:val="32"/>
        </w:rPr>
        <w:t>图7：</w:t>
      </w:r>
    </w:p>
    <w:p>
      <w:pPr>
        <w:spacing w:line="600" w:lineRule="exact"/>
        <w:outlineLvl w:val="2"/>
        <w:rPr>
          <w:rStyle w:val="12"/>
          <w:rFonts w:ascii="仿宋_GB2312" w:eastAsia="仿宋_GB2312"/>
          <w:b w:val="0"/>
          <w:sz w:val="32"/>
          <w:szCs w:val="32"/>
        </w:rPr>
      </w:pPr>
    </w:p>
    <w:p>
      <w:pPr>
        <w:spacing w:line="600" w:lineRule="exact"/>
        <w:ind w:firstLine="640"/>
        <w:rPr>
          <w:rFonts w:ascii="仿宋" w:hAnsi="仿宋" w:eastAsia="仿宋"/>
          <w:color w:val="FF0000"/>
          <w:sz w:val="32"/>
          <w:szCs w:val="32"/>
        </w:rPr>
      </w:pPr>
      <w:r>
        <w:rPr>
          <w:rFonts w:hint="eastAsia" w:ascii="仿宋" w:hAnsi="仿宋" w:eastAsia="仿宋"/>
          <w:color w:val="FF0000"/>
          <w:sz w:val="32"/>
          <w:szCs w:val="32"/>
        </w:rPr>
        <w:drawing>
          <wp:anchor distT="0" distB="0" distL="114300" distR="114300" simplePos="0" relativeHeight="251663360" behindDoc="0" locked="0" layoutInCell="1" allowOverlap="1">
            <wp:simplePos x="0" y="0"/>
            <wp:positionH relativeFrom="column">
              <wp:posOffset>153670</wp:posOffset>
            </wp:positionH>
            <wp:positionV relativeFrom="paragraph">
              <wp:posOffset>43180</wp:posOffset>
            </wp:positionV>
            <wp:extent cx="4698365" cy="2400935"/>
            <wp:effectExtent l="4445" t="4445" r="21590" b="13970"/>
            <wp:wrapNone/>
            <wp:docPr id="18"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600" w:lineRule="exact"/>
        <w:ind w:firstLine="640"/>
        <w:rPr>
          <w:rFonts w:ascii="仿宋" w:hAnsi="仿宋" w:eastAsia="仿宋"/>
          <w:color w:val="FF0000"/>
          <w:sz w:val="32"/>
          <w:szCs w:val="32"/>
        </w:rPr>
      </w:pPr>
    </w:p>
    <w:p>
      <w:pPr>
        <w:spacing w:line="600" w:lineRule="exact"/>
        <w:ind w:firstLine="640"/>
        <w:rPr>
          <w:rFonts w:ascii="仿宋" w:hAnsi="仿宋" w:eastAsia="仿宋"/>
          <w:color w:val="FF0000"/>
          <w:sz w:val="32"/>
          <w:szCs w:val="32"/>
        </w:rPr>
      </w:pPr>
    </w:p>
    <w:p>
      <w:pPr>
        <w:spacing w:line="600" w:lineRule="exact"/>
        <w:ind w:firstLine="640"/>
        <w:rPr>
          <w:rFonts w:ascii="仿宋" w:hAnsi="仿宋" w:eastAsia="仿宋"/>
          <w:color w:val="FF0000"/>
          <w:sz w:val="32"/>
          <w:szCs w:val="32"/>
        </w:rPr>
      </w:pPr>
    </w:p>
    <w:p>
      <w:pPr>
        <w:spacing w:line="600" w:lineRule="exact"/>
        <w:ind w:firstLine="640"/>
        <w:rPr>
          <w:rFonts w:ascii="仿宋" w:hAnsi="仿宋" w:eastAsia="仿宋"/>
          <w:color w:val="FF0000"/>
          <w:sz w:val="32"/>
          <w:szCs w:val="32"/>
        </w:rPr>
      </w:pPr>
    </w:p>
    <w:p>
      <w:pPr>
        <w:spacing w:line="600" w:lineRule="exact"/>
        <w:ind w:firstLine="640"/>
        <w:rPr>
          <w:rFonts w:ascii="仿宋" w:hAnsi="仿宋" w:eastAsia="仿宋"/>
          <w:color w:val="FF0000"/>
          <w:sz w:val="32"/>
          <w:szCs w:val="32"/>
        </w:rPr>
      </w:pPr>
    </w:p>
    <w:p>
      <w:pPr>
        <w:spacing w:line="600" w:lineRule="exact"/>
        <w:rPr>
          <w:rFonts w:ascii="仿宋" w:hAnsi="仿宋" w:eastAsia="仿宋"/>
          <w:color w:val="FF0000"/>
          <w:sz w:val="32"/>
          <w:szCs w:val="32"/>
        </w:rPr>
      </w:pPr>
    </w:p>
    <w:p>
      <w:pPr>
        <w:spacing w:line="600" w:lineRule="exact"/>
        <w:ind w:firstLine="640" w:firstLineChars="200"/>
        <w:outlineLvl w:val="2"/>
        <w:rPr>
          <w:rStyle w:val="12"/>
          <w:rFonts w:ascii="仿宋_GB2312" w:eastAsia="仿宋_GB2312"/>
          <w:b w:val="0"/>
          <w:sz w:val="32"/>
          <w:szCs w:val="32"/>
        </w:rPr>
      </w:pPr>
      <w:r>
        <w:rPr>
          <w:rStyle w:val="12"/>
          <w:rFonts w:hint="eastAsia" w:ascii="仿宋_GB2312" w:eastAsia="仿宋_GB2312"/>
          <w:b w:val="0"/>
          <w:sz w:val="32"/>
          <w:szCs w:val="32"/>
        </w:rPr>
        <w:t>1.因公出国（境）经费支出0万元，全年安排因公出国（境）团组0次，出国（境）0人。因公出国（境）支出决算与2018年持平。</w:t>
      </w:r>
    </w:p>
    <w:p>
      <w:pPr>
        <w:spacing w:line="600" w:lineRule="exact"/>
        <w:ind w:firstLine="640" w:firstLineChars="200"/>
        <w:rPr>
          <w:rFonts w:ascii="仿宋_GB2312" w:eastAsia="仿宋_GB2312"/>
          <w:b/>
          <w:color w:val="FF0000"/>
          <w:sz w:val="32"/>
          <w:szCs w:val="32"/>
        </w:rPr>
      </w:pPr>
      <w:r>
        <w:rPr>
          <w:rStyle w:val="12"/>
          <w:rFonts w:hint="eastAsia" w:ascii="仿宋_GB2312" w:eastAsia="仿宋_GB2312"/>
          <w:b w:val="0"/>
          <w:sz w:val="32"/>
          <w:szCs w:val="32"/>
        </w:rPr>
        <w:t>2.公务用车购置及运行维护费支出1.78万元,完成预算100%。公务用车购置及运行维护费支出决算比2017年减少2.17万元，下降</w:t>
      </w:r>
      <w:r>
        <w:rPr>
          <w:rFonts w:hint="eastAsia" w:ascii="仿宋_GB2312" w:eastAsia="仿宋_GB2312"/>
          <w:sz w:val="32"/>
          <w:szCs w:val="32"/>
        </w:rPr>
        <w:t>55</w:t>
      </w:r>
      <w:r>
        <w:rPr>
          <w:rFonts w:ascii="仿宋_GB2312" w:eastAsia="仿宋_GB2312"/>
          <w:sz w:val="32"/>
          <w:szCs w:val="32"/>
        </w:rPr>
        <w:t>%</w:t>
      </w:r>
      <w:r>
        <w:rPr>
          <w:rFonts w:hint="eastAsia" w:ascii="仿宋_GB2312" w:eastAsia="仿宋_GB2312"/>
          <w:sz w:val="32"/>
          <w:szCs w:val="32"/>
        </w:rPr>
        <w:t>。主要原因是公务车陈旧，使用次数降低。</w:t>
      </w:r>
    </w:p>
    <w:p>
      <w:pPr>
        <w:spacing w:line="600" w:lineRule="exact"/>
        <w:ind w:firstLine="640" w:firstLineChars="200"/>
        <w:rPr>
          <w:rFonts w:ascii="仿宋_GB2312" w:eastAsia="仿宋_GB2312"/>
          <w:b/>
          <w:sz w:val="32"/>
          <w:szCs w:val="32"/>
        </w:rPr>
      </w:pPr>
      <w:r>
        <w:rPr>
          <w:rStyle w:val="12"/>
          <w:rFonts w:hint="eastAsia" w:ascii="仿宋_GB2312" w:eastAsia="仿宋_GB2312"/>
          <w:b w:val="0"/>
          <w:sz w:val="32"/>
          <w:szCs w:val="32"/>
        </w:rPr>
        <w:t>其中：公务用车购置支出0万元</w:t>
      </w:r>
      <w:r>
        <w:rPr>
          <w:rFonts w:hint="eastAsia" w:ascii="仿宋_GB2312" w:eastAsia="仿宋_GB2312"/>
          <w:sz w:val="32"/>
          <w:szCs w:val="32"/>
        </w:rPr>
        <w:t>。全年按规定更新购置公务用车0辆，其中：轿车0辆、金额0万元，越野车0辆、金额0万元，载客汽车0辆、金额0万元。截至</w:t>
      </w:r>
      <w:r>
        <w:rPr>
          <w:rFonts w:ascii="仿宋_GB2312" w:eastAsia="仿宋_GB2312"/>
          <w:sz w:val="32"/>
          <w:szCs w:val="32"/>
        </w:rPr>
        <w:t>201</w:t>
      </w:r>
      <w:r>
        <w:rPr>
          <w:rFonts w:hint="eastAsia" w:ascii="仿宋_GB2312" w:eastAsia="仿宋_GB2312"/>
          <w:sz w:val="32"/>
          <w:szCs w:val="32"/>
        </w:rPr>
        <w:t>8年</w:t>
      </w:r>
      <w:r>
        <w:rPr>
          <w:rFonts w:ascii="仿宋_GB2312" w:eastAsia="仿宋_GB2312"/>
          <w:sz w:val="32"/>
          <w:szCs w:val="32"/>
        </w:rPr>
        <w:t>12</w:t>
      </w:r>
      <w:r>
        <w:rPr>
          <w:rFonts w:hint="eastAsia" w:ascii="仿宋_GB2312" w:eastAsia="仿宋_GB2312"/>
          <w:sz w:val="32"/>
          <w:szCs w:val="32"/>
        </w:rPr>
        <w:t>月底，单位共有公务用车1辆。</w:t>
      </w:r>
    </w:p>
    <w:p>
      <w:pPr>
        <w:spacing w:line="600" w:lineRule="exact"/>
        <w:ind w:firstLine="640"/>
        <w:rPr>
          <w:rFonts w:ascii="仿宋_GB2312" w:eastAsia="仿宋_GB2312"/>
          <w:sz w:val="32"/>
          <w:szCs w:val="32"/>
        </w:rPr>
      </w:pPr>
      <w:r>
        <w:rPr>
          <w:rStyle w:val="12"/>
          <w:rFonts w:hint="eastAsia" w:ascii="仿宋_GB2312" w:eastAsia="仿宋_GB2312"/>
          <w:b w:val="0"/>
          <w:sz w:val="32"/>
          <w:szCs w:val="32"/>
        </w:rPr>
        <w:t>公务用车运行维护费支出1</w:t>
      </w:r>
      <w:r>
        <w:rPr>
          <w:rFonts w:hint="eastAsia" w:ascii="仿宋_GB2312" w:eastAsia="仿宋_GB2312"/>
          <w:sz w:val="32"/>
          <w:szCs w:val="32"/>
        </w:rPr>
        <w:t>.78万元。主要用于下村、出差、维稳等工作等所需的公务用车燃料费、维修费、过路过桥费、保险费等支出。</w:t>
      </w:r>
    </w:p>
    <w:p>
      <w:pPr>
        <w:spacing w:line="600" w:lineRule="exact"/>
        <w:ind w:firstLine="640"/>
        <w:rPr>
          <w:rFonts w:ascii="仿宋_GB2312" w:eastAsia="仿宋_GB2312"/>
          <w:sz w:val="32"/>
          <w:szCs w:val="32"/>
        </w:rPr>
      </w:pPr>
      <w:r>
        <w:rPr>
          <w:rStyle w:val="12"/>
          <w:rFonts w:hint="eastAsia" w:ascii="仿宋_GB2312" w:eastAsia="仿宋_GB2312"/>
          <w:b w:val="0"/>
          <w:sz w:val="32"/>
          <w:szCs w:val="32"/>
        </w:rPr>
        <w:t>3.公务接待费支出1.2万元，完成预算100%。</w:t>
      </w:r>
      <w:r>
        <w:rPr>
          <w:rFonts w:hint="eastAsia" w:ascii="仿宋_GB2312" w:eastAsia="仿宋_GB2312"/>
          <w:sz w:val="32"/>
          <w:szCs w:val="32"/>
        </w:rPr>
        <w:t>公务接待费支出决算比</w:t>
      </w:r>
      <w:r>
        <w:rPr>
          <w:rFonts w:ascii="仿宋_GB2312" w:eastAsia="仿宋_GB2312"/>
          <w:sz w:val="32"/>
          <w:szCs w:val="32"/>
        </w:rPr>
        <w:t>201</w:t>
      </w:r>
      <w:r>
        <w:rPr>
          <w:rFonts w:hint="eastAsia" w:ascii="仿宋_GB2312" w:eastAsia="仿宋_GB2312"/>
          <w:sz w:val="32"/>
          <w:szCs w:val="32"/>
        </w:rPr>
        <w:t>7年减少0.43万元，下降26.38</w:t>
      </w:r>
      <w:r>
        <w:rPr>
          <w:rFonts w:ascii="仿宋_GB2312" w:eastAsia="仿宋_GB2312"/>
          <w:sz w:val="32"/>
          <w:szCs w:val="32"/>
        </w:rPr>
        <w:t>%</w:t>
      </w:r>
      <w:r>
        <w:rPr>
          <w:rFonts w:hint="eastAsia" w:ascii="仿宋_GB2312" w:eastAsia="仿宋_GB2312"/>
          <w:sz w:val="32"/>
          <w:szCs w:val="32"/>
        </w:rPr>
        <w:t>。主要原因是节约开支、减少接待。</w:t>
      </w:r>
    </w:p>
    <w:p>
      <w:pPr>
        <w:spacing w:line="600" w:lineRule="exact"/>
        <w:ind w:firstLine="640" w:firstLineChars="200"/>
        <w:rPr>
          <w:rFonts w:ascii="黑体" w:eastAsia="黑体"/>
          <w:sz w:val="32"/>
          <w:szCs w:val="32"/>
        </w:rPr>
      </w:pPr>
      <w:r>
        <w:rPr>
          <w:rFonts w:hint="eastAsia" w:ascii="仿宋_GB2312" w:eastAsia="仿宋_GB2312"/>
          <w:sz w:val="32"/>
          <w:szCs w:val="32"/>
        </w:rPr>
        <w:t>主要用于执行公务、开展业务活动开支的交通费、住宿费、用餐费等。国内公务接待35批次，150人次（包括陪同人员），共计支出1.2万元，具体内容包括：主要有防洪、地质灾害、维稳、脱贫攻坚、党群服务中心建设、环境卫生综合治理、脱贫攻坚等重点项目来人接待工作餐。</w:t>
      </w:r>
      <w:bookmarkStart w:id="42" w:name="_Toc15377218"/>
      <w:bookmarkStart w:id="43" w:name="_Toc15396610"/>
    </w:p>
    <w:p>
      <w:pPr>
        <w:spacing w:line="600" w:lineRule="exact"/>
        <w:ind w:firstLine="640"/>
        <w:outlineLvl w:val="1"/>
        <w:rPr>
          <w:rStyle w:val="15"/>
          <w:rFonts w:ascii="黑体" w:hAnsi="黑体" w:eastAsia="黑体"/>
        </w:rPr>
      </w:pPr>
      <w:r>
        <w:rPr>
          <w:rFonts w:hint="eastAsia" w:ascii="黑体" w:eastAsia="黑体"/>
          <w:sz w:val="32"/>
          <w:szCs w:val="32"/>
        </w:rPr>
        <w:t>八、</w:t>
      </w:r>
      <w:r>
        <w:rPr>
          <w:rStyle w:val="15"/>
          <w:rFonts w:hint="eastAsia" w:ascii="黑体" w:hAnsi="黑体" w:eastAsia="黑体"/>
          <w:b w:val="0"/>
        </w:rPr>
        <w:t>政府性基金预算支出决算情况说明</w:t>
      </w:r>
      <w:bookmarkEnd w:id="42"/>
      <w:bookmarkEnd w:id="43"/>
    </w:p>
    <w:p>
      <w:pPr>
        <w:spacing w:line="600" w:lineRule="exact"/>
        <w:ind w:firstLine="640"/>
        <w:rPr>
          <w:rFonts w:ascii="仿宋_GB2312" w:eastAsia="仿宋_GB2312"/>
          <w:sz w:val="32"/>
          <w:szCs w:val="32"/>
        </w:rPr>
      </w:pPr>
      <w:r>
        <w:rPr>
          <w:rFonts w:ascii="仿宋_GB2312" w:eastAsia="仿宋_GB2312"/>
          <w:sz w:val="32"/>
          <w:szCs w:val="32"/>
        </w:rPr>
        <w:t>201</w:t>
      </w:r>
      <w:r>
        <w:rPr>
          <w:rFonts w:hint="eastAsia" w:ascii="仿宋_GB2312" w:eastAsia="仿宋_GB2312"/>
          <w:sz w:val="32"/>
          <w:szCs w:val="32"/>
        </w:rPr>
        <w:t>8年政府性基金预算拨款支出53.77万元。</w:t>
      </w:r>
    </w:p>
    <w:p>
      <w:pPr>
        <w:spacing w:line="600" w:lineRule="exact"/>
        <w:ind w:firstLine="640"/>
        <w:rPr>
          <w:rFonts w:ascii="仿宋_GB2312" w:eastAsia="仿宋_GB2312"/>
          <w:sz w:val="32"/>
          <w:szCs w:val="32"/>
        </w:rPr>
      </w:pPr>
    </w:p>
    <w:p>
      <w:pPr>
        <w:numPr>
          <w:ilvl w:val="0"/>
          <w:numId w:val="3"/>
        </w:numPr>
        <w:spacing w:line="600" w:lineRule="exact"/>
        <w:ind w:firstLine="640"/>
        <w:outlineLvl w:val="1"/>
        <w:rPr>
          <w:rStyle w:val="15"/>
          <w:rFonts w:ascii="黑体" w:hAnsi="黑体" w:eastAsia="黑体"/>
          <w:b w:val="0"/>
        </w:rPr>
      </w:pPr>
      <w:bookmarkStart w:id="44" w:name="_Toc15396611"/>
      <w:bookmarkStart w:id="45" w:name="_Toc15377219"/>
      <w:r>
        <w:rPr>
          <w:rStyle w:val="15"/>
          <w:rFonts w:hint="eastAsia" w:ascii="黑体" w:hAnsi="黑体" w:eastAsia="黑体"/>
          <w:b w:val="0"/>
        </w:rPr>
        <w:t>国有资本经营预算支出决算情况说明</w:t>
      </w:r>
      <w:bookmarkEnd w:id="44"/>
      <w:bookmarkEnd w:id="45"/>
    </w:p>
    <w:p>
      <w:pPr>
        <w:spacing w:line="600" w:lineRule="exact"/>
        <w:ind w:firstLine="640"/>
        <w:rPr>
          <w:rFonts w:ascii="仿宋_GB2312" w:eastAsia="仿宋_GB2312"/>
          <w:color w:val="FF0000"/>
          <w:sz w:val="32"/>
          <w:szCs w:val="32"/>
        </w:rPr>
      </w:pPr>
      <w:r>
        <w:rPr>
          <w:rFonts w:ascii="仿宋_GB2312" w:eastAsia="仿宋_GB2312"/>
          <w:sz w:val="32"/>
          <w:szCs w:val="32"/>
        </w:rPr>
        <w:t>201</w:t>
      </w:r>
      <w:r>
        <w:rPr>
          <w:rFonts w:hint="eastAsia" w:ascii="仿宋_GB2312" w:eastAsia="仿宋_GB2312"/>
          <w:sz w:val="32"/>
          <w:szCs w:val="32"/>
        </w:rPr>
        <w:t>8年国有资本经营预算拨款支出0万元。</w:t>
      </w:r>
    </w:p>
    <w:p>
      <w:pPr>
        <w:pStyle w:val="16"/>
        <w:numPr>
          <w:ilvl w:val="0"/>
          <w:numId w:val="4"/>
        </w:numPr>
        <w:spacing w:line="580" w:lineRule="exact"/>
        <w:ind w:firstLineChars="0"/>
        <w:rPr>
          <w:rStyle w:val="15"/>
          <w:rFonts w:ascii="黑体" w:hAnsi="黑体" w:eastAsia="黑体"/>
          <w:b w:val="0"/>
        </w:rPr>
      </w:pPr>
      <w:r>
        <w:rPr>
          <w:rStyle w:val="15"/>
          <w:rFonts w:hint="eastAsia" w:ascii="黑体" w:hAnsi="黑体" w:eastAsia="黑体"/>
          <w:b w:val="0"/>
        </w:rPr>
        <w:t>预算绩效情况说明</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（一）预算绩效管理工作开展情况。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2018年部门整体支出开展绩效自评，从评价情况来看我乡在上级领导和部门指导下，依法履行法定职责，完成上级安排的各项工作。对落实到我乡的重点项目，大力配合，全力支持，确保重点项目顺利实施，保障了重点项目带来的经济与社会效益。</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部门职责履行情况，认真履行法定职责，密切联系群众、服务群众情况，管好用好各项预算资金，不存在挪用、占用专项资金。重点项目绩效评价结果良好，服务对象满意。</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（二）项目绩效目标完成情况。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无。</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（三）部门开展绩效评价结果。</w:t>
      </w:r>
    </w:p>
    <w:p>
      <w:pPr>
        <w:spacing w:line="580" w:lineRule="exact"/>
        <w:ind w:firstLine="640" w:firstLineChars="200"/>
        <w:rPr>
          <w:rStyle w:val="15"/>
          <w:rFonts w:ascii="黑体" w:hAnsi="黑体" w:eastAsia="黑体"/>
          <w:b w:val="0"/>
        </w:rPr>
      </w:pPr>
      <w:r>
        <w:rPr>
          <w:rFonts w:hint="eastAsia" w:ascii="仿宋_GB2312" w:hAnsi="仿宋_GB2312" w:eastAsia="仿宋_GB2312" w:cs="仿宋_GB2312"/>
          <w:sz w:val="32"/>
          <w:szCs w:val="32"/>
        </w:rPr>
        <w:t>本部门按要求对2018年部门整体支出绩效评价情况开展自评，《井研县门坎人民政府部门2018年部门整体支出绩效评价报告》见附件。</w:t>
      </w:r>
    </w:p>
    <w:p>
      <w:pPr>
        <w:spacing w:line="600" w:lineRule="exact"/>
        <w:ind w:firstLine="640" w:firstLineChars="200"/>
        <w:rPr>
          <w:rFonts w:ascii="仿宋_GB2312" w:eastAsia="仿宋_GB2312"/>
          <w:sz w:val="32"/>
          <w:szCs w:val="32"/>
        </w:rPr>
      </w:pPr>
      <w:bookmarkStart w:id="46" w:name="_Toc15377221"/>
      <w:bookmarkStart w:id="47" w:name="_Toc15396612"/>
      <w:r>
        <w:rPr>
          <w:rFonts w:hint="eastAsia" w:ascii="仿宋_GB2312" w:eastAsia="仿宋_GB2312"/>
          <w:sz w:val="32"/>
          <w:szCs w:val="32"/>
        </w:rPr>
        <w:t>十一、其他重要事项的情况说明</w:t>
      </w:r>
      <w:bookmarkEnd w:id="46"/>
      <w:bookmarkEnd w:id="47"/>
    </w:p>
    <w:p>
      <w:pPr>
        <w:spacing w:line="600" w:lineRule="exact"/>
        <w:ind w:firstLine="640" w:firstLineChars="200"/>
        <w:rPr>
          <w:rFonts w:ascii="仿宋_GB2312" w:eastAsia="仿宋_GB2312"/>
          <w:sz w:val="32"/>
          <w:szCs w:val="32"/>
        </w:rPr>
      </w:pPr>
      <w:bookmarkStart w:id="48" w:name="_Toc15377222"/>
      <w:r>
        <w:rPr>
          <w:rFonts w:hint="eastAsia" w:ascii="仿宋_GB2312" w:eastAsia="仿宋_GB2312"/>
          <w:sz w:val="32"/>
          <w:szCs w:val="32"/>
        </w:rPr>
        <w:t>（一）机关运行经费支出情况</w:t>
      </w:r>
      <w:bookmarkEnd w:id="48"/>
    </w:p>
    <w:p>
      <w:pPr>
        <w:spacing w:line="600" w:lineRule="exact"/>
        <w:ind w:firstLine="640" w:firstLineChars="200"/>
        <w:rPr>
          <w:rFonts w:ascii="仿宋_GB2312" w:eastAsia="仿宋_GB2312"/>
          <w:sz w:val="32"/>
          <w:szCs w:val="32"/>
        </w:rPr>
      </w:pPr>
      <w:r>
        <w:rPr>
          <w:rFonts w:hint="eastAsia" w:ascii="仿宋_GB2312" w:eastAsia="仿宋_GB2312"/>
          <w:sz w:val="32"/>
          <w:szCs w:val="32"/>
        </w:rPr>
        <w:t>2018年，门坎乡人民政府机关运行经费支出58.78万元，比2017年减少33.12万元，降低36%。主要原因是节约开支。</w:t>
      </w:r>
    </w:p>
    <w:p>
      <w:pPr>
        <w:spacing w:line="600" w:lineRule="exact"/>
        <w:ind w:firstLine="640" w:firstLineChars="200"/>
        <w:rPr>
          <w:rFonts w:ascii="仿宋_GB2312" w:eastAsia="仿宋_GB2312"/>
          <w:sz w:val="32"/>
          <w:szCs w:val="32"/>
        </w:rPr>
      </w:pPr>
      <w:bookmarkStart w:id="49" w:name="_Toc15377223"/>
      <w:r>
        <w:rPr>
          <w:rFonts w:hint="eastAsia" w:ascii="仿宋_GB2312" w:eastAsia="仿宋_GB2312"/>
          <w:sz w:val="32"/>
          <w:szCs w:val="32"/>
        </w:rPr>
        <w:t>（二）政府采购支出情况</w:t>
      </w:r>
      <w:bookmarkEnd w:id="49"/>
    </w:p>
    <w:p>
      <w:pPr>
        <w:spacing w:line="600" w:lineRule="exact"/>
        <w:ind w:firstLine="640" w:firstLineChars="200"/>
        <w:rPr>
          <w:rFonts w:ascii="仿宋_GB2312" w:eastAsia="仿宋_GB2312"/>
          <w:sz w:val="32"/>
          <w:szCs w:val="32"/>
        </w:rPr>
      </w:pPr>
      <w:r>
        <w:rPr>
          <w:rFonts w:hint="eastAsia" w:ascii="仿宋_GB2312" w:eastAsia="仿宋_GB2312"/>
          <w:sz w:val="32"/>
          <w:szCs w:val="32"/>
        </w:rPr>
        <w:t>2018年，门坎乡人民政府政府采购支出总额2.9万元，其中：政府采购货物支出2.9万元、政府采购工程支出0万元、政府采购服务支出0万元。授予中小企业合同金额0万元，占政府采购支出总额的0%，其中：授予小微企业合同金额0万元，占政府采购支出总额的0%。</w:t>
      </w:r>
    </w:p>
    <w:p>
      <w:pPr>
        <w:spacing w:line="600" w:lineRule="exact"/>
        <w:ind w:firstLine="640" w:firstLineChars="200"/>
        <w:rPr>
          <w:rFonts w:ascii="仿宋_GB2312" w:eastAsia="仿宋_GB2312"/>
          <w:sz w:val="32"/>
          <w:szCs w:val="32"/>
        </w:rPr>
      </w:pPr>
      <w:bookmarkStart w:id="50" w:name="_Toc15377224"/>
      <w:r>
        <w:rPr>
          <w:rFonts w:hint="eastAsia" w:ascii="仿宋_GB2312" w:eastAsia="仿宋_GB2312"/>
          <w:sz w:val="32"/>
          <w:szCs w:val="32"/>
        </w:rPr>
        <w:t>（三）国有资产占有使用情况</w:t>
      </w:r>
      <w:bookmarkEnd w:id="50"/>
    </w:p>
    <w:p>
      <w:pPr>
        <w:spacing w:line="600" w:lineRule="exact"/>
        <w:ind w:firstLine="640" w:firstLineChars="200"/>
        <w:rPr>
          <w:rFonts w:ascii="仿宋_GB2312" w:eastAsia="仿宋_GB2312"/>
          <w:sz w:val="32"/>
          <w:szCs w:val="32"/>
        </w:rPr>
      </w:pPr>
      <w:r>
        <w:rPr>
          <w:rFonts w:hint="eastAsia" w:ascii="仿宋_GB2312" w:eastAsia="仿宋_GB2312"/>
          <w:sz w:val="32"/>
          <w:szCs w:val="32"/>
        </w:rPr>
        <w:t>截至2018年12月31日，门坎乡人民政府共有车辆2辆，其中：部级领导干部用车0辆、一般公务用车1辆、一般执法执勤用车0辆、特种专业技术用车0辆、其他用车1辆，其他用车主要是用于农技推广宣传。单价</w:t>
      </w:r>
      <w:r>
        <w:rPr>
          <w:rFonts w:ascii="仿宋_GB2312" w:eastAsia="仿宋_GB2312"/>
          <w:sz w:val="32"/>
          <w:szCs w:val="32"/>
        </w:rPr>
        <w:t>50</w:t>
      </w:r>
      <w:r>
        <w:rPr>
          <w:rFonts w:hint="eastAsia" w:ascii="仿宋_GB2312" w:eastAsia="仿宋_GB2312"/>
          <w:sz w:val="32"/>
          <w:szCs w:val="32"/>
        </w:rPr>
        <w:t>万元以上通用设备0台（套），单价</w:t>
      </w:r>
      <w:r>
        <w:rPr>
          <w:rFonts w:ascii="仿宋_GB2312" w:eastAsia="仿宋_GB2312"/>
          <w:sz w:val="32"/>
          <w:szCs w:val="32"/>
        </w:rPr>
        <w:t>100</w:t>
      </w:r>
      <w:r>
        <w:rPr>
          <w:rFonts w:hint="eastAsia" w:ascii="仿宋_GB2312" w:eastAsia="仿宋_GB2312"/>
          <w:sz w:val="32"/>
          <w:szCs w:val="32"/>
        </w:rPr>
        <w:t>万元以上专用设备0台（套）。</w:t>
      </w:r>
    </w:p>
    <w:p>
      <w:pPr>
        <w:widowControl/>
        <w:jc w:val="left"/>
        <w:rPr>
          <w:rFonts w:ascii="仿宋_GB2312" w:eastAsia="仿宋_GB2312"/>
          <w:b/>
          <w:color w:val="FF0000"/>
          <w:sz w:val="32"/>
          <w:szCs w:val="32"/>
        </w:rPr>
      </w:pPr>
      <w:r>
        <w:rPr>
          <w:rFonts w:ascii="仿宋_GB2312" w:eastAsia="仿宋_GB2312"/>
          <w:b/>
          <w:color w:val="FF0000"/>
          <w:sz w:val="32"/>
          <w:szCs w:val="32"/>
        </w:rPr>
        <w:br w:type="page"/>
      </w:r>
    </w:p>
    <w:p>
      <w:pPr>
        <w:numPr>
          <w:ilvl w:val="0"/>
          <w:numId w:val="5"/>
        </w:numPr>
        <w:spacing w:line="600" w:lineRule="exact"/>
        <w:ind w:firstLine="660" w:firstLineChars="150"/>
        <w:jc w:val="center"/>
        <w:outlineLvl w:val="0"/>
        <w:rPr>
          <w:rStyle w:val="14"/>
          <w:rFonts w:ascii="黑体" w:hAnsi="黑体" w:eastAsia="黑体"/>
          <w:b w:val="0"/>
        </w:rPr>
      </w:pPr>
      <w:bookmarkStart w:id="51" w:name="_Toc15396613"/>
      <w:bookmarkStart w:id="52" w:name="_Toc15377225"/>
      <w:r>
        <w:rPr>
          <w:rFonts w:hint="eastAsia" w:ascii="黑体" w:hAnsi="黑体" w:eastAsia="黑体"/>
          <w:bCs/>
          <w:sz w:val="44"/>
          <w:szCs w:val="44"/>
        </w:rPr>
        <w:t>名</w:t>
      </w:r>
      <w:r>
        <w:rPr>
          <w:rStyle w:val="14"/>
          <w:rFonts w:hint="eastAsia" w:ascii="黑体" w:hAnsi="黑体" w:eastAsia="黑体"/>
          <w:b w:val="0"/>
        </w:rPr>
        <w:t>词解释</w:t>
      </w:r>
      <w:bookmarkEnd w:id="51"/>
      <w:bookmarkEnd w:id="52"/>
    </w:p>
    <w:p>
      <w:pPr>
        <w:spacing w:line="600" w:lineRule="exact"/>
        <w:jc w:val="left"/>
        <w:rPr>
          <w:rFonts w:ascii="宋体"/>
          <w:b/>
          <w:color w:val="FF0000"/>
          <w:sz w:val="44"/>
          <w:szCs w:val="44"/>
        </w:rPr>
      </w:pPr>
    </w:p>
    <w:p>
      <w:pPr>
        <w:pStyle w:val="17"/>
        <w:spacing w:line="560" w:lineRule="exact"/>
        <w:ind w:firstLine="640" w:firstLineChars="200"/>
        <w:rPr>
          <w:rFonts w:hAnsi="仿宋"/>
          <w:sz w:val="32"/>
          <w:szCs w:val="32"/>
        </w:rPr>
      </w:pPr>
      <w:bookmarkStart w:id="53" w:name="_Toc15377226"/>
      <w:r>
        <w:rPr>
          <w:rFonts w:hAnsi="仿宋"/>
          <w:sz w:val="32"/>
          <w:szCs w:val="32"/>
        </w:rPr>
        <w:t>1.</w:t>
      </w:r>
      <w:r>
        <w:rPr>
          <w:rFonts w:hint="eastAsia" w:hAnsi="仿宋"/>
          <w:sz w:val="32"/>
          <w:szCs w:val="32"/>
        </w:rPr>
        <w:t>财政拨款收入：指单位从同级财政部门取得的财政预算资金。</w:t>
      </w:r>
    </w:p>
    <w:p>
      <w:pPr>
        <w:pStyle w:val="17"/>
        <w:spacing w:line="560" w:lineRule="exact"/>
        <w:ind w:firstLine="640" w:firstLineChars="200"/>
        <w:rPr>
          <w:rFonts w:hAnsi="仿宋"/>
          <w:sz w:val="32"/>
          <w:szCs w:val="32"/>
        </w:rPr>
      </w:pPr>
      <w:r>
        <w:rPr>
          <w:rFonts w:hAnsi="仿宋"/>
          <w:sz w:val="32"/>
          <w:szCs w:val="32"/>
        </w:rPr>
        <w:t>2.</w:t>
      </w:r>
      <w:r>
        <w:rPr>
          <w:rFonts w:hint="eastAsia" w:hAnsi="仿宋"/>
          <w:sz w:val="32"/>
          <w:szCs w:val="32"/>
        </w:rPr>
        <w:t>事业收入：指事业单位开展专业业务活动及辅助活动取得的收入。</w:t>
      </w:r>
    </w:p>
    <w:p>
      <w:pPr>
        <w:pStyle w:val="17"/>
        <w:spacing w:line="560" w:lineRule="exact"/>
        <w:ind w:firstLine="640" w:firstLineChars="200"/>
        <w:rPr>
          <w:rFonts w:hAnsi="仿宋"/>
          <w:sz w:val="32"/>
          <w:szCs w:val="32"/>
        </w:rPr>
      </w:pPr>
      <w:r>
        <w:rPr>
          <w:rFonts w:hAnsi="仿宋"/>
          <w:sz w:val="32"/>
          <w:szCs w:val="32"/>
        </w:rPr>
        <w:t>3.</w:t>
      </w:r>
      <w:r>
        <w:rPr>
          <w:rFonts w:hint="eastAsia" w:hAnsi="仿宋"/>
          <w:sz w:val="32"/>
          <w:szCs w:val="32"/>
        </w:rPr>
        <w:t>经营收入：指事业单位在专业业务活动及其辅助活动之外开展非独立核算经营活动取得的收入。</w:t>
      </w:r>
    </w:p>
    <w:p>
      <w:pPr>
        <w:pStyle w:val="17"/>
        <w:spacing w:line="560" w:lineRule="exact"/>
        <w:ind w:firstLine="640" w:firstLineChars="200"/>
        <w:rPr>
          <w:rFonts w:hAnsi="仿宋"/>
          <w:sz w:val="32"/>
          <w:szCs w:val="32"/>
        </w:rPr>
      </w:pPr>
      <w:r>
        <w:rPr>
          <w:rFonts w:hAnsi="仿宋"/>
          <w:sz w:val="32"/>
          <w:szCs w:val="32"/>
        </w:rPr>
        <w:t>4.</w:t>
      </w:r>
      <w:r>
        <w:rPr>
          <w:rFonts w:hint="eastAsia" w:hAnsi="仿宋"/>
          <w:sz w:val="32"/>
          <w:szCs w:val="32"/>
        </w:rPr>
        <w:t>其他收入：指单位取得的除上述收入以外的各项收入。</w:t>
      </w:r>
    </w:p>
    <w:p>
      <w:pPr>
        <w:pStyle w:val="17"/>
        <w:spacing w:line="560" w:lineRule="exact"/>
        <w:ind w:firstLine="640" w:firstLineChars="200"/>
        <w:rPr>
          <w:rFonts w:hAnsi="仿宋"/>
          <w:sz w:val="32"/>
          <w:szCs w:val="32"/>
        </w:rPr>
      </w:pPr>
      <w:r>
        <w:rPr>
          <w:rFonts w:hAnsi="仿宋"/>
          <w:sz w:val="32"/>
          <w:szCs w:val="32"/>
        </w:rPr>
        <w:t>5.</w:t>
      </w:r>
      <w:r>
        <w:rPr>
          <w:rFonts w:hint="eastAsia" w:hAnsi="仿宋"/>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pStyle w:val="17"/>
        <w:spacing w:line="560" w:lineRule="exact"/>
        <w:ind w:firstLine="640" w:firstLineChars="200"/>
        <w:rPr>
          <w:rFonts w:hAnsi="仿宋"/>
          <w:sz w:val="32"/>
          <w:szCs w:val="32"/>
        </w:rPr>
      </w:pPr>
      <w:r>
        <w:rPr>
          <w:rFonts w:hAnsi="仿宋"/>
          <w:sz w:val="32"/>
          <w:szCs w:val="32"/>
        </w:rPr>
        <w:t>6.</w:t>
      </w:r>
      <w:r>
        <w:rPr>
          <w:rFonts w:hint="eastAsia" w:hAnsi="仿宋"/>
          <w:sz w:val="32"/>
          <w:szCs w:val="32"/>
        </w:rPr>
        <w:t>年初结转和结余：指以前年度尚未完成、结转到本年按有关规定继续使用的资金。</w:t>
      </w:r>
    </w:p>
    <w:p>
      <w:pPr>
        <w:pStyle w:val="17"/>
        <w:spacing w:line="560" w:lineRule="exact"/>
        <w:ind w:firstLine="640" w:firstLineChars="200"/>
        <w:rPr>
          <w:rFonts w:hAnsi="仿宋"/>
          <w:sz w:val="32"/>
          <w:szCs w:val="32"/>
        </w:rPr>
      </w:pPr>
      <w:r>
        <w:rPr>
          <w:rFonts w:hAnsi="仿宋"/>
          <w:sz w:val="32"/>
          <w:szCs w:val="32"/>
        </w:rPr>
        <w:t>7.</w:t>
      </w:r>
      <w:r>
        <w:rPr>
          <w:rFonts w:hint="eastAsia" w:hAnsi="仿宋"/>
          <w:sz w:val="32"/>
          <w:szCs w:val="32"/>
        </w:rPr>
        <w:t>结余分配：指事业单位按照事业单位会计制度的规定从非财政补助结余中分配的事业基金和职工福利基金等。</w:t>
      </w:r>
    </w:p>
    <w:p>
      <w:pPr>
        <w:pStyle w:val="17"/>
        <w:spacing w:line="560" w:lineRule="exact"/>
        <w:ind w:firstLine="640" w:firstLineChars="200"/>
        <w:rPr>
          <w:rFonts w:hAnsi="仿宋"/>
          <w:sz w:val="32"/>
          <w:szCs w:val="32"/>
        </w:rPr>
      </w:pPr>
      <w:r>
        <w:rPr>
          <w:rFonts w:hAnsi="仿宋"/>
          <w:sz w:val="32"/>
          <w:szCs w:val="32"/>
        </w:rPr>
        <w:t>8</w:t>
      </w:r>
      <w:r>
        <w:rPr>
          <w:rFonts w:hint="eastAsia" w:hAnsi="仿宋"/>
          <w:sz w:val="32"/>
          <w:szCs w:val="32"/>
        </w:rPr>
        <w:t>、年末结转和结余：指单位按有关规定结转到下年或以后年度继续使用的资金。</w:t>
      </w:r>
    </w:p>
    <w:p>
      <w:pPr>
        <w:autoSpaceDE w:val="0"/>
        <w:autoSpaceDN w:val="0"/>
        <w:adjustRightInd w:val="0"/>
        <w:spacing w:line="60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9.一般公共服务（类）人大事务（款）行政运行（项）：指反映行政单位（包括实行公务员管理的事业单位）的基本支出。</w:t>
      </w:r>
    </w:p>
    <w:p>
      <w:pPr>
        <w:autoSpaceDE w:val="0"/>
        <w:autoSpaceDN w:val="0"/>
        <w:adjustRightInd w:val="0"/>
        <w:spacing w:line="60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10.一般公共服务（类）人大事务（款）其他人大事务支出（项）：指反映除上述项目以外的其他人大事务支出。</w:t>
      </w:r>
    </w:p>
    <w:p>
      <w:pPr>
        <w:autoSpaceDE w:val="0"/>
        <w:autoSpaceDN w:val="0"/>
        <w:adjustRightInd w:val="0"/>
        <w:spacing w:line="60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11.一般公共服务（类）政府办公厅（室）及相关机构事务（款）行政运行（项）：指反映行政单位（包括实行公务员管理的事业单位）的基本支出。</w:t>
      </w:r>
    </w:p>
    <w:p>
      <w:pPr>
        <w:autoSpaceDE w:val="0"/>
        <w:autoSpaceDN w:val="0"/>
        <w:adjustRightInd w:val="0"/>
        <w:spacing w:line="60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12.一般公共服务（类）财政事务（款）行政运行（项）：指反映行政单位（包括实行公务员管理的事业单位）的基本支出。</w:t>
      </w:r>
    </w:p>
    <w:p>
      <w:pPr>
        <w:autoSpaceDE w:val="0"/>
        <w:autoSpaceDN w:val="0"/>
        <w:adjustRightInd w:val="0"/>
        <w:spacing w:line="60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13.一般公共服务（类）财政事务（款）其他财政事务支出（项）：指反映其他财政事务方面的支出。</w:t>
      </w:r>
    </w:p>
    <w:p>
      <w:pPr>
        <w:autoSpaceDE w:val="0"/>
        <w:autoSpaceDN w:val="0"/>
        <w:adjustRightInd w:val="0"/>
        <w:spacing w:line="60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14.一般公共服务（类）党委办公厅（室）及相关机构事务（款）行政运行（项）：指反映行政单位（包括实行公务员管理的事业单位）的基本支出。</w:t>
      </w:r>
    </w:p>
    <w:p>
      <w:pPr>
        <w:autoSpaceDE w:val="0"/>
        <w:autoSpaceDN w:val="0"/>
        <w:adjustRightInd w:val="0"/>
        <w:spacing w:line="60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15.教育支出（类）成人教育（款）其他成人教育支出（项）：指反映其他用于成人教育方面的支出。</w:t>
      </w:r>
    </w:p>
    <w:p>
      <w:pPr>
        <w:autoSpaceDE w:val="0"/>
        <w:autoSpaceDN w:val="0"/>
        <w:adjustRightInd w:val="0"/>
        <w:spacing w:line="60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16.文化体育与传媒支出（类）新闻出版广播影视（款）广播（项）：指反映广播电台、广播发射台、广播转播台及有线广播站的支出。</w:t>
      </w:r>
    </w:p>
    <w:p>
      <w:pPr>
        <w:autoSpaceDE w:val="0"/>
        <w:autoSpaceDN w:val="0"/>
        <w:adjustRightInd w:val="0"/>
        <w:spacing w:line="60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17.社会保障和就业支出（类）民政管理事务（款）老龄事务（项）：指反映老龄事务方面的支出。</w:t>
      </w:r>
    </w:p>
    <w:p>
      <w:pPr>
        <w:autoSpaceDE w:val="0"/>
        <w:autoSpaceDN w:val="0"/>
        <w:adjustRightInd w:val="0"/>
        <w:spacing w:line="60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18.社会保障和就业支出（类）行政事业单位离退休（款）机关事业单位基本养老保险缴费支出（项）：指反映机关单位实施养老保险制度由单位缴纳的基本养老保险费支出。</w:t>
      </w:r>
    </w:p>
    <w:p>
      <w:pPr>
        <w:autoSpaceDE w:val="0"/>
        <w:autoSpaceDN w:val="0"/>
        <w:adjustRightInd w:val="0"/>
        <w:spacing w:line="60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19.社会保障和就业支出（类）抚恤（款）义务兵优待（项）：指反映用于义务兵优待方面的支出。</w:t>
      </w:r>
    </w:p>
    <w:p>
      <w:pPr>
        <w:autoSpaceDE w:val="0"/>
        <w:autoSpaceDN w:val="0"/>
        <w:adjustRightInd w:val="0"/>
        <w:spacing w:line="60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20.社会保障和就业支出（类）残疾人事业（款）其他残疾人事业支出（项）：指反映用于其他残疾人事业方面的支出。</w:t>
      </w:r>
    </w:p>
    <w:p>
      <w:pPr>
        <w:autoSpaceDE w:val="0"/>
        <w:autoSpaceDN w:val="0"/>
        <w:adjustRightInd w:val="0"/>
        <w:spacing w:line="60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21.社会保障和就业支出（类）特困人员救助供养（款）农村特困人员救助供养支出（项）：指反映农村特困（五保）人员救助供养支出。</w:t>
      </w:r>
    </w:p>
    <w:p>
      <w:pPr>
        <w:autoSpaceDE w:val="0"/>
        <w:autoSpaceDN w:val="0"/>
        <w:adjustRightInd w:val="0"/>
        <w:spacing w:line="60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22.医疗卫生与计划生育支出（类）计划生育事务（款）计划生育机构（项）：指反映卫生和计划生育部门所属计划生育机构的支出。</w:t>
      </w:r>
    </w:p>
    <w:p>
      <w:pPr>
        <w:autoSpaceDE w:val="0"/>
        <w:autoSpaceDN w:val="0"/>
        <w:adjustRightInd w:val="0"/>
        <w:spacing w:line="60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23.医疗卫生与计划生育支出（类）计划生育事务（款）计划生育服务（项）：指反映计划生育服务支出。</w:t>
      </w:r>
    </w:p>
    <w:p>
      <w:pPr>
        <w:autoSpaceDE w:val="0"/>
        <w:autoSpaceDN w:val="0"/>
        <w:adjustRightInd w:val="0"/>
        <w:spacing w:line="60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24.医疗卫生与计划生育支出（类）行政事业单位医疗（款）行政单位医疗（项）：指反映财政部门集中安排的行政单位基本医疗保险缴费经费。</w:t>
      </w:r>
    </w:p>
    <w:p>
      <w:pPr>
        <w:autoSpaceDE w:val="0"/>
        <w:autoSpaceDN w:val="0"/>
        <w:adjustRightInd w:val="0"/>
        <w:spacing w:line="60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25.节能环保支出（类）污染防治（款）水体（项）：指反映政府在排水、污水处理、水污染防治、湖库生态环境保护、水源地保护、国土江河综合整治、河流治理与保护、地下水修复与保护等方面的支出。</w:t>
      </w:r>
    </w:p>
    <w:p>
      <w:pPr>
        <w:autoSpaceDE w:val="0"/>
        <w:autoSpaceDN w:val="0"/>
        <w:adjustRightInd w:val="0"/>
        <w:spacing w:line="60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26.节能环保支出（类）自然生态保护（款）农村环境保护（项）：指反映生态保护、生态修复、生物多样性保护、农村环境保护和生物安全管理等方面的支出。</w:t>
      </w:r>
    </w:p>
    <w:p>
      <w:pPr>
        <w:autoSpaceDE w:val="0"/>
        <w:autoSpaceDN w:val="0"/>
        <w:adjustRightInd w:val="0"/>
        <w:spacing w:line="60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27.节能环保支出（类）退耕还林（款）退耕现金（项）：指反映专项用于退耕户的医疗、教育等日常生活需要的支出。</w:t>
      </w:r>
    </w:p>
    <w:p>
      <w:pPr>
        <w:autoSpaceDE w:val="0"/>
        <w:autoSpaceDN w:val="0"/>
        <w:adjustRightInd w:val="0"/>
        <w:spacing w:line="60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28.城乡社区支出（类）城乡社区管理事务（款）行政运行（项）：指反映行政单位（包括实行公务员管理的事业单位）的基本支出。</w:t>
      </w:r>
    </w:p>
    <w:p>
      <w:pPr>
        <w:autoSpaceDE w:val="0"/>
        <w:autoSpaceDN w:val="0"/>
        <w:adjustRightInd w:val="0"/>
        <w:spacing w:line="60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29.城乡社区支出（类）城乡社区公共设施（款）其他城乡社区公共设施支出（项）：指反映其他用于城乡社区公共设施方面的支出。</w:t>
      </w:r>
    </w:p>
    <w:p>
      <w:pPr>
        <w:autoSpaceDE w:val="0"/>
        <w:autoSpaceDN w:val="0"/>
        <w:adjustRightInd w:val="0"/>
        <w:spacing w:line="60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30.城乡社区支出（类）城乡社区环境卫生（款）城乡社区环境卫生（项）：指反映城乡社区道路清扫、垃圾清运与处理、公厕建设与维护、园林绿化等方面的支出。</w:t>
      </w:r>
    </w:p>
    <w:p>
      <w:pPr>
        <w:autoSpaceDE w:val="0"/>
        <w:autoSpaceDN w:val="0"/>
        <w:adjustRightInd w:val="0"/>
        <w:spacing w:line="60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31.农林水支出（类）农业（款）农业生产支持补贴（项）：指反映对种粮农民直接补贴，对农业生产资料补贴、技术物化补贴，推广先进适用农机农艺技术等方面支出。</w:t>
      </w:r>
    </w:p>
    <w:p>
      <w:pPr>
        <w:autoSpaceDE w:val="0"/>
        <w:autoSpaceDN w:val="0"/>
        <w:adjustRightInd w:val="0"/>
        <w:spacing w:line="60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32.农林水支出（类）农业（款）对高校毕业生到基层任职补助（项）：指反映按规定对高校毕业生到基层任职补助支出。</w:t>
      </w:r>
    </w:p>
    <w:p>
      <w:pPr>
        <w:autoSpaceDE w:val="0"/>
        <w:autoSpaceDN w:val="0"/>
        <w:adjustRightInd w:val="0"/>
        <w:spacing w:line="60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33.农林水支出（类）农村综合改革（款）对村民委员会和村党支部的补助（项）：指反映各级财政对村民委员会和村党支部的补助支出，以及支持建立县级基本财力保障机制安排的村级组织运转奖补资金。</w:t>
      </w:r>
    </w:p>
    <w:p>
      <w:pPr>
        <w:autoSpaceDE w:val="0"/>
        <w:autoSpaceDN w:val="0"/>
        <w:adjustRightInd w:val="0"/>
        <w:spacing w:line="60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34.住房保障支出（类）住房改革支出（款）住房公积金（项）：指反映行政事业单位按人力资源和社会保障部、财政部规定的基本工资和津贴补贴以及规定比例为职工缴纳的住房公积金。</w:t>
      </w:r>
    </w:p>
    <w:p>
      <w:pPr>
        <w:autoSpaceDE w:val="0"/>
        <w:autoSpaceDN w:val="0"/>
        <w:adjustRightInd w:val="0"/>
        <w:spacing w:line="60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35.其他支出（类）其他支出（款）其他支出（项）：反映除上述项目以外其他不能划分到具体功能科目中的支出项目。</w:t>
      </w:r>
    </w:p>
    <w:p>
      <w:pPr>
        <w:autoSpaceDE w:val="0"/>
        <w:autoSpaceDN w:val="0"/>
        <w:adjustRightInd w:val="0"/>
        <w:spacing w:line="60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36.基本支出：指为保障机构正常运转、完成日常工作任务而发生的人员支出和公用支出。</w:t>
      </w:r>
    </w:p>
    <w:p>
      <w:pPr>
        <w:autoSpaceDE w:val="0"/>
        <w:autoSpaceDN w:val="0"/>
        <w:adjustRightInd w:val="0"/>
        <w:spacing w:line="60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 xml:space="preserve">37.项目支出：指在基本支出之外为完成特定行政任务和事业发展目标所发生的支出。 </w:t>
      </w:r>
    </w:p>
    <w:p>
      <w:pPr>
        <w:autoSpaceDE w:val="0"/>
        <w:autoSpaceDN w:val="0"/>
        <w:adjustRightInd w:val="0"/>
        <w:spacing w:line="60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38.“三公”经费：纳入省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600" w:lineRule="exact"/>
        <w:jc w:val="left"/>
        <w:outlineLvl w:val="0"/>
        <w:rPr>
          <w:rStyle w:val="14"/>
          <w:rFonts w:ascii="仿宋" w:hAnsi="仿宋" w:eastAsia="仿宋"/>
          <w:b w:val="0"/>
        </w:rPr>
      </w:pPr>
      <w:r>
        <w:rPr>
          <w:rFonts w:hint="eastAsia" w:ascii="仿宋" w:hAnsi="仿宋" w:eastAsia="仿宋"/>
          <w:color w:val="000000"/>
          <w:sz w:val="32"/>
          <w:szCs w:val="32"/>
        </w:rPr>
        <w:t>39.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等。</w:t>
      </w:r>
      <w:r>
        <w:rPr>
          <w:rFonts w:ascii="仿宋" w:hAnsi="仿宋" w:eastAsia="仿宋"/>
          <w:b/>
          <w:color w:val="FF0000"/>
          <w:sz w:val="44"/>
          <w:szCs w:val="44"/>
        </w:rPr>
        <w:br w:type="page"/>
      </w:r>
    </w:p>
    <w:p>
      <w:pPr>
        <w:pStyle w:val="2"/>
        <w:ind w:right="440"/>
        <w:jc w:val="center"/>
        <w:rPr>
          <w:rFonts w:ascii="黑体" w:hAnsi="黑体" w:eastAsia="黑体"/>
          <w:b w:val="0"/>
          <w:color w:val="000000"/>
        </w:rPr>
      </w:pPr>
      <w:r>
        <w:rPr>
          <w:rFonts w:hint="eastAsia" w:ascii="黑体" w:hAnsi="黑体" w:eastAsia="黑体"/>
          <w:b w:val="0"/>
          <w:color w:val="000000"/>
        </w:rPr>
        <w:t>第四部分 附件</w:t>
      </w:r>
    </w:p>
    <w:p>
      <w:pPr>
        <w:pStyle w:val="3"/>
        <w:rPr>
          <w:rFonts w:ascii="仿宋" w:hAnsi="仿宋" w:eastAsia="仿宋" w:cs="仿宋_GB2312"/>
          <w:b w:val="0"/>
          <w:bCs w:val="0"/>
          <w:color w:val="000000"/>
          <w:kern w:val="0"/>
          <w:shd w:val="clear" w:color="auto" w:fill="FFFFFF"/>
        </w:rPr>
      </w:pPr>
      <w:bookmarkStart w:id="54" w:name="_Toc15396615"/>
      <w:r>
        <w:rPr>
          <w:rFonts w:hint="eastAsia" w:ascii="仿宋" w:hAnsi="仿宋" w:eastAsia="仿宋" w:cs="仿宋_GB2312"/>
          <w:b w:val="0"/>
          <w:bCs w:val="0"/>
          <w:color w:val="000000"/>
          <w:kern w:val="0"/>
          <w:shd w:val="clear" w:color="auto" w:fill="FFFFFF"/>
        </w:rPr>
        <w:t>附件</w:t>
      </w:r>
      <w:bookmarkEnd w:id="54"/>
    </w:p>
    <w:p>
      <w:pPr>
        <w:widowControl/>
        <w:shd w:val="clear" w:color="auto" w:fill="FFFFFF"/>
        <w:spacing w:line="540" w:lineRule="atLeast"/>
        <w:ind w:firstLine="720"/>
        <w:jc w:val="center"/>
        <w:rPr>
          <w:rFonts w:ascii="黑体" w:hAnsi="黑体" w:eastAsia="黑体" w:cs="仿宋_GB2312"/>
          <w:b/>
          <w:color w:val="000000"/>
          <w:kern w:val="0"/>
          <w:sz w:val="32"/>
          <w:szCs w:val="32"/>
          <w:shd w:val="clear" w:color="auto" w:fill="FFFFFF"/>
        </w:rPr>
      </w:pPr>
      <w:bookmarkStart w:id="55" w:name="_Toc15396616"/>
      <w:r>
        <w:rPr>
          <w:rFonts w:hint="eastAsia" w:ascii="黑体" w:hAnsi="黑体" w:eastAsia="黑体" w:cs="仿宋_GB2312"/>
          <w:b/>
          <w:color w:val="000000"/>
          <w:kern w:val="0"/>
          <w:sz w:val="32"/>
          <w:szCs w:val="32"/>
          <w:shd w:val="clear" w:color="auto" w:fill="FFFFFF"/>
        </w:rPr>
        <w:t>井研县门坎乡人民政府</w:t>
      </w:r>
    </w:p>
    <w:p>
      <w:pPr>
        <w:widowControl/>
        <w:shd w:val="clear" w:color="auto" w:fill="FFFFFF"/>
        <w:spacing w:line="540" w:lineRule="atLeast"/>
        <w:ind w:firstLine="720"/>
        <w:jc w:val="center"/>
        <w:rPr>
          <w:rFonts w:ascii="黑体" w:hAnsi="黑体" w:eastAsia="黑体" w:cs="仿宋_GB2312"/>
          <w:b/>
          <w:color w:val="000000"/>
          <w:kern w:val="0"/>
          <w:sz w:val="32"/>
          <w:szCs w:val="32"/>
          <w:shd w:val="clear" w:color="auto" w:fill="FFFFFF"/>
        </w:rPr>
      </w:pPr>
      <w:r>
        <w:rPr>
          <w:rFonts w:hint="eastAsia" w:ascii="黑体" w:hAnsi="黑体" w:eastAsia="黑体" w:cs="仿宋_GB2312"/>
          <w:b/>
          <w:color w:val="000000"/>
          <w:kern w:val="0"/>
          <w:sz w:val="32"/>
          <w:szCs w:val="32"/>
          <w:shd w:val="clear" w:color="auto" w:fill="FFFFFF"/>
        </w:rPr>
        <w:t>2018年部门整体支出绩效评价报告</w:t>
      </w:r>
      <w:bookmarkEnd w:id="55"/>
    </w:p>
    <w:p>
      <w:pPr>
        <w:spacing w:line="580" w:lineRule="exact"/>
        <w:ind w:firstLine="640" w:firstLineChars="200"/>
        <w:rPr>
          <w:rFonts w:ascii="仿宋" w:hAnsi="仿宋" w:eastAsia="仿宋" w:cs="黑体"/>
          <w:color w:val="FF0000"/>
          <w:sz w:val="32"/>
          <w:szCs w:val="32"/>
        </w:rPr>
      </w:pPr>
    </w:p>
    <w:p>
      <w:pPr>
        <w:widowControl/>
        <w:shd w:val="clear" w:color="auto" w:fill="FFFFFF"/>
        <w:spacing w:line="540" w:lineRule="atLeast"/>
        <w:ind w:firstLine="720"/>
        <w:rPr>
          <w:rFonts w:ascii="黑体" w:hAnsi="黑体" w:eastAsia="黑体" w:cs="宋体"/>
          <w:color w:val="000000"/>
          <w:szCs w:val="21"/>
        </w:rPr>
      </w:pPr>
      <w:r>
        <w:rPr>
          <w:rFonts w:hint="eastAsia" w:ascii="黑体" w:hAnsi="黑体" w:eastAsia="黑体" w:cs="仿宋_GB2312"/>
          <w:color w:val="000000"/>
          <w:kern w:val="0"/>
          <w:sz w:val="32"/>
          <w:szCs w:val="32"/>
          <w:shd w:val="clear" w:color="auto" w:fill="FFFFFF"/>
        </w:rPr>
        <w:t>一</w:t>
      </w:r>
      <w:r>
        <w:rPr>
          <w:rFonts w:ascii="黑体" w:hAnsi="黑体" w:eastAsia="黑体" w:cs="仿宋_GB2312"/>
          <w:color w:val="000000"/>
          <w:kern w:val="0"/>
          <w:sz w:val="32"/>
          <w:szCs w:val="32"/>
          <w:shd w:val="clear" w:color="auto" w:fill="FFFFFF"/>
        </w:rPr>
        <w:t>、</w:t>
      </w:r>
      <w:r>
        <w:rPr>
          <w:rFonts w:hint="eastAsia" w:ascii="黑体" w:hAnsi="黑体" w:eastAsia="黑体" w:cs="仿宋_GB2312"/>
          <w:color w:val="000000"/>
          <w:kern w:val="0"/>
          <w:sz w:val="32"/>
          <w:szCs w:val="32"/>
          <w:shd w:val="clear" w:color="auto" w:fill="FFFFFF"/>
        </w:rPr>
        <w:t>门坎乡政府概况</w:t>
      </w:r>
    </w:p>
    <w:p>
      <w:pPr>
        <w:widowControl/>
        <w:shd w:val="clear" w:color="auto" w:fill="FFFFFF"/>
        <w:spacing w:line="540" w:lineRule="atLeast"/>
        <w:ind w:firstLine="720"/>
        <w:rPr>
          <w:rFonts w:ascii="仿宋" w:hAnsi="仿宋" w:eastAsia="仿宋" w:cs="宋体"/>
          <w:color w:val="000000"/>
          <w:szCs w:val="21"/>
        </w:rPr>
      </w:pPr>
      <w:r>
        <w:rPr>
          <w:rFonts w:ascii="仿宋" w:hAnsi="仿宋" w:eastAsia="仿宋" w:cs="仿宋_GB2312"/>
          <w:color w:val="000000"/>
          <w:kern w:val="0"/>
          <w:sz w:val="32"/>
          <w:szCs w:val="32"/>
          <w:shd w:val="clear" w:color="auto" w:fill="FFFFFF"/>
        </w:rPr>
        <w:t>（一）机构组成</w:t>
      </w:r>
    </w:p>
    <w:p>
      <w:pPr>
        <w:widowControl/>
        <w:shd w:val="clear" w:color="auto" w:fill="FFFFFF"/>
        <w:spacing w:line="540" w:lineRule="atLeast"/>
        <w:ind w:firstLine="720"/>
        <w:rPr>
          <w:rFonts w:ascii="仿宋" w:hAnsi="仿宋" w:eastAsia="仿宋" w:cs="宋体"/>
          <w:color w:val="000000"/>
          <w:szCs w:val="21"/>
        </w:rPr>
      </w:pPr>
      <w:r>
        <w:rPr>
          <w:rFonts w:ascii="仿宋" w:hAnsi="仿宋" w:eastAsia="仿宋" w:cs="仿宋_GB2312"/>
          <w:color w:val="000000"/>
          <w:kern w:val="0"/>
          <w:sz w:val="32"/>
          <w:szCs w:val="32"/>
          <w:shd w:val="clear" w:color="auto" w:fill="FFFFFF"/>
        </w:rPr>
        <w:t>行政机构1个（门坎乡人民政府机关），事业机构4个（分别是门坎乡农业技术服务中心、门坎乡社会事务服务中心、门坎乡畜牧兽医站、门坎乡水库管理所）属财政补助拨款。</w:t>
      </w:r>
    </w:p>
    <w:p>
      <w:pPr>
        <w:widowControl/>
        <w:shd w:val="clear" w:color="auto" w:fill="FFFFFF"/>
        <w:spacing w:line="540" w:lineRule="atLeast"/>
        <w:ind w:firstLine="720"/>
        <w:rPr>
          <w:rFonts w:ascii="仿宋" w:hAnsi="仿宋" w:eastAsia="仿宋" w:cs="宋体"/>
          <w:color w:val="000000"/>
          <w:szCs w:val="21"/>
        </w:rPr>
      </w:pPr>
      <w:r>
        <w:rPr>
          <w:rFonts w:ascii="仿宋" w:hAnsi="仿宋" w:eastAsia="仿宋" w:cs="仿宋_GB2312"/>
          <w:color w:val="000000"/>
          <w:kern w:val="0"/>
          <w:sz w:val="32"/>
          <w:szCs w:val="32"/>
          <w:shd w:val="clear" w:color="auto" w:fill="FFFFFF"/>
        </w:rPr>
        <w:t>（二）机构职能。</w:t>
      </w:r>
    </w:p>
    <w:p>
      <w:pPr>
        <w:widowControl/>
        <w:shd w:val="clear" w:color="auto" w:fill="FFFFFF"/>
        <w:spacing w:line="600" w:lineRule="atLeast"/>
        <w:ind w:firstLine="640"/>
        <w:rPr>
          <w:rFonts w:ascii="仿宋" w:hAnsi="仿宋" w:eastAsia="仿宋" w:cs="宋体"/>
          <w:color w:val="000000"/>
          <w:szCs w:val="21"/>
        </w:rPr>
      </w:pPr>
      <w:r>
        <w:rPr>
          <w:rFonts w:ascii="仿宋" w:hAnsi="仿宋" w:eastAsia="仿宋" w:cs="仿宋_GB2312"/>
          <w:color w:val="000000"/>
          <w:kern w:val="0"/>
          <w:sz w:val="32"/>
          <w:szCs w:val="32"/>
          <w:shd w:val="clear" w:color="auto" w:fill="FFFFFF"/>
        </w:rPr>
        <w:t>乡党委的主要职责：一是贯彻执行党的路线方针政策和上级党组织及本乡党员代表大会的决议。二是讨论决定本乡经济建设和社会发展中的重大问题。需由乡政权机关或集体经济组织决定的问题，由乡政权机关或集体经济组织依照法律和有关规定作出决定。三是领导乡政权机关和群众组织，支持和保证这些机关的组织依照国家法律法规及各自章程充分行使职权。四是加强乡党委自身建设和以党支部为核心的村级组织建设。五是按照干部管理权限，负责对干部的教育、培养、选拔和监督工作。协助管理上级有关部门驻乡单位的干部。六是领导本乡的社会主义民主</w:t>
      </w:r>
      <w:r>
        <w:rPr>
          <w:rFonts w:hint="eastAsia" w:ascii="仿宋" w:hAnsi="仿宋" w:eastAsia="仿宋" w:cs="仿宋_GB2312"/>
          <w:color w:val="000000"/>
          <w:kern w:val="0"/>
          <w:sz w:val="32"/>
          <w:szCs w:val="32"/>
          <w:shd w:val="clear" w:color="auto" w:fill="FFFFFF"/>
          <w:lang w:eastAsia="zh-CN"/>
        </w:rPr>
        <w:t>法治</w:t>
      </w:r>
      <w:r>
        <w:rPr>
          <w:rFonts w:ascii="仿宋" w:hAnsi="仿宋" w:eastAsia="仿宋" w:cs="仿宋_GB2312"/>
          <w:color w:val="000000"/>
          <w:kern w:val="0"/>
          <w:sz w:val="32"/>
          <w:szCs w:val="32"/>
          <w:shd w:val="clear" w:color="auto" w:fill="FFFFFF"/>
        </w:rPr>
        <w:t>建设和精神文明建设，做好社会治安综合治理及计划生育工作。七是完成县委交办的工作任务。</w:t>
      </w:r>
    </w:p>
    <w:p>
      <w:pPr>
        <w:widowControl/>
        <w:shd w:val="clear" w:color="auto" w:fill="FFFFFF"/>
        <w:spacing w:line="600" w:lineRule="atLeast"/>
        <w:ind w:firstLine="640"/>
        <w:rPr>
          <w:rFonts w:ascii="仿宋" w:hAnsi="仿宋" w:eastAsia="仿宋" w:cs="宋体"/>
          <w:color w:val="000000"/>
          <w:szCs w:val="21"/>
        </w:rPr>
      </w:pPr>
      <w:r>
        <w:rPr>
          <w:rFonts w:ascii="仿宋" w:hAnsi="仿宋" w:eastAsia="仿宋" w:cs="仿宋_GB2312"/>
          <w:color w:val="000000"/>
          <w:kern w:val="0"/>
          <w:sz w:val="32"/>
          <w:szCs w:val="32"/>
          <w:shd w:val="clear" w:color="auto" w:fill="FFFFFF"/>
        </w:rPr>
        <w:t>乡政府的主要职能：一是落实政策。宣传、落实党的路线、方针、政策和国家的法律、法规，稳定农村基本经济制度，坚持依法行政，推进政务公开，加强对村民委员会的指导，提高、培育村民委员会自治能力。二是促进发展、科学制订发展规划，营造农村经济发展环境，加强农村市场监督，培育、提升市场功能，搞活市场流通，推广农业技术，完善农业社会化服务体系，引导农民发展现代农业，调整产业结构，加强农村劳动力技能培训，引导农村劳动力转移和就业，不断提高社会主义新农村建设水平。三是维护稳定。要坚持“立党为公，执政为民”，紧紧围绕实现和维护群众利益开展工作，突出解决人民群众最关心、最直接、最现实的利益问题。要加强和巩固农村基层政权建设和民主</w:t>
      </w:r>
      <w:r>
        <w:rPr>
          <w:rFonts w:hint="eastAsia" w:ascii="仿宋" w:hAnsi="仿宋" w:eastAsia="仿宋" w:cs="仿宋_GB2312"/>
          <w:color w:val="000000"/>
          <w:kern w:val="0"/>
          <w:sz w:val="32"/>
          <w:szCs w:val="32"/>
          <w:shd w:val="clear" w:color="auto" w:fill="FFFFFF"/>
          <w:lang w:eastAsia="zh-CN"/>
        </w:rPr>
        <w:t>法治</w:t>
      </w:r>
      <w:r>
        <w:rPr>
          <w:rFonts w:ascii="仿宋" w:hAnsi="仿宋" w:eastAsia="仿宋" w:cs="仿宋_GB2312"/>
          <w:color w:val="000000"/>
          <w:kern w:val="0"/>
          <w:sz w:val="32"/>
          <w:szCs w:val="32"/>
          <w:shd w:val="clear" w:color="auto" w:fill="FFFFFF"/>
        </w:rPr>
        <w:t>建设，加强社会治安综合治理，加强对突发事件的预警和管理，建立、健全各种应急机制，加强民事纠纷调解，化解农村社会矛盾，开展农村扶贫和社会救助，切实保障农民合法权益，维护农村社会稳定。四是加强管理。加强民政、教育、科技、文化、卫生、计划生育、安全生产、劳动保障和乡村规划等社会管理，加强社会主义精神文明建设，做好防火减灾工作，搞好环境保护，努力改善农村人居环境，不断提高农村人口素质和农民生活质量。五是提供服务。进一步发展和完善农业社会化服务体系，引导各类协会和农村专业合作经济组织发展并充分发挥其作用，发展农村社会公益事业和集体公益事业，加强农村基础设施建设，增加公共产品，提供政策、科技、市场信息和社会救济、救助服务，及时向党委、政府反映社情民意，进一步密切党和政府与人民群众的关系。六是完成县政府交办的工作任务。</w:t>
      </w:r>
    </w:p>
    <w:p>
      <w:pPr>
        <w:widowControl/>
        <w:shd w:val="clear" w:color="auto" w:fill="FFFFFF"/>
        <w:spacing w:line="600" w:lineRule="atLeast"/>
        <w:ind w:firstLine="640"/>
        <w:rPr>
          <w:rFonts w:ascii="仿宋" w:hAnsi="仿宋" w:eastAsia="仿宋" w:cs="宋体"/>
          <w:color w:val="000000"/>
          <w:szCs w:val="21"/>
        </w:rPr>
      </w:pPr>
      <w:r>
        <w:rPr>
          <w:rFonts w:ascii="仿宋" w:hAnsi="仿宋" w:eastAsia="仿宋" w:cs="仿宋_GB2312"/>
          <w:color w:val="000000"/>
          <w:kern w:val="0"/>
          <w:sz w:val="32"/>
          <w:szCs w:val="32"/>
          <w:shd w:val="clear" w:color="auto" w:fill="FFFFFF"/>
        </w:rPr>
        <w:t>乡事业单位承担的公益性职能主要包括：计划生育技术服务、宣传咨询、人员培训和药具发放；农林牧业生产中关键技术和新产品、新农具的引进、试验、示范；农作物的林木病虫害、动物疫病及农业灾害的监测、预报防治和处置；农作物苗情监测和农牧产品生产过程中的质量安全检测、监测和强制性检验；农业公共信息和培训教育服务；小型水利工程及病害水库的整治；水资源管理和防汛抗旱技术服务；水土保持的预防及水土流失的治理；农机安全检查和事故的预防、报告及处理；乡村机耕道的规划、建设；组织农机进行抗灾抢险和跨区域农机作业；城乡登记失业人员和农村劳动力转移就业人员的职业培训、劳务输出和就业管理服务；企事业单位退休人员的社会化管理服务；广播电视“村村通”工程的建设、运行、维护和节目的安全播出；制定年度农村公益性文化项目实施计划；开展多种形式的文娱体育活动和宣传教育活动；完成党委政府交办的其他工作任务。</w:t>
      </w:r>
    </w:p>
    <w:p>
      <w:pPr>
        <w:widowControl/>
        <w:shd w:val="clear" w:color="auto" w:fill="FFFFFF"/>
        <w:spacing w:line="540" w:lineRule="atLeast"/>
        <w:ind w:firstLine="720"/>
        <w:rPr>
          <w:rFonts w:ascii="仿宋" w:hAnsi="仿宋" w:eastAsia="仿宋" w:cs="宋体"/>
          <w:color w:val="000000"/>
          <w:szCs w:val="21"/>
        </w:rPr>
      </w:pPr>
      <w:r>
        <w:rPr>
          <w:rFonts w:ascii="仿宋" w:hAnsi="仿宋" w:eastAsia="仿宋" w:cs="仿宋_GB2312"/>
          <w:color w:val="000000"/>
          <w:kern w:val="0"/>
          <w:sz w:val="32"/>
          <w:szCs w:val="32"/>
          <w:shd w:val="clear" w:color="auto" w:fill="FFFFFF"/>
        </w:rPr>
        <w:t>（三）人员概况。</w:t>
      </w:r>
    </w:p>
    <w:p>
      <w:pPr>
        <w:widowControl/>
        <w:shd w:val="clear" w:color="auto" w:fill="FFFFFF"/>
        <w:spacing w:line="540" w:lineRule="atLeast"/>
        <w:ind w:firstLine="720"/>
        <w:rPr>
          <w:rFonts w:ascii="仿宋" w:hAnsi="仿宋" w:eastAsia="仿宋" w:cs="仿宋_GB2312"/>
          <w:color w:val="000000"/>
          <w:kern w:val="0"/>
          <w:sz w:val="32"/>
          <w:szCs w:val="32"/>
          <w:shd w:val="clear" w:color="auto" w:fill="FFFFFF"/>
        </w:rPr>
      </w:pPr>
      <w:r>
        <w:rPr>
          <w:rFonts w:ascii="仿宋" w:hAnsi="仿宋" w:eastAsia="仿宋" w:cs="仿宋_GB2312"/>
          <w:color w:val="000000"/>
          <w:kern w:val="0"/>
          <w:sz w:val="32"/>
          <w:szCs w:val="32"/>
          <w:shd w:val="clear" w:color="auto" w:fill="FFFFFF"/>
        </w:rPr>
        <w:t>门坎乡行政编制1</w:t>
      </w:r>
      <w:r>
        <w:rPr>
          <w:rFonts w:hint="eastAsia" w:ascii="仿宋" w:hAnsi="仿宋" w:eastAsia="仿宋" w:cs="仿宋_GB2312"/>
          <w:color w:val="000000"/>
          <w:kern w:val="0"/>
          <w:sz w:val="32"/>
          <w:szCs w:val="32"/>
          <w:shd w:val="clear" w:color="auto" w:fill="FFFFFF"/>
        </w:rPr>
        <w:t>7</w:t>
      </w:r>
      <w:r>
        <w:rPr>
          <w:rFonts w:ascii="仿宋" w:hAnsi="仿宋" w:eastAsia="仿宋" w:cs="仿宋_GB2312"/>
          <w:color w:val="000000"/>
          <w:kern w:val="0"/>
          <w:sz w:val="32"/>
          <w:szCs w:val="32"/>
          <w:shd w:val="clear" w:color="auto" w:fill="FFFFFF"/>
        </w:rPr>
        <w:t>人、工勤编制2人、事业编制2</w:t>
      </w:r>
      <w:r>
        <w:rPr>
          <w:rFonts w:hint="eastAsia" w:ascii="仿宋" w:hAnsi="仿宋" w:eastAsia="仿宋" w:cs="仿宋_GB2312"/>
          <w:color w:val="000000"/>
          <w:kern w:val="0"/>
          <w:sz w:val="32"/>
          <w:szCs w:val="32"/>
          <w:shd w:val="clear" w:color="auto" w:fill="FFFFFF"/>
        </w:rPr>
        <w:t>1</w:t>
      </w:r>
      <w:r>
        <w:rPr>
          <w:rFonts w:ascii="仿宋" w:hAnsi="仿宋" w:eastAsia="仿宋" w:cs="仿宋_GB2312"/>
          <w:color w:val="000000"/>
          <w:kern w:val="0"/>
          <w:sz w:val="32"/>
          <w:szCs w:val="32"/>
          <w:shd w:val="clear" w:color="auto" w:fill="FFFFFF"/>
        </w:rPr>
        <w:t>人，合计</w:t>
      </w:r>
      <w:r>
        <w:rPr>
          <w:rFonts w:hint="eastAsia" w:ascii="仿宋" w:hAnsi="仿宋" w:eastAsia="仿宋" w:cs="仿宋_GB2312"/>
          <w:color w:val="000000"/>
          <w:kern w:val="0"/>
          <w:sz w:val="32"/>
          <w:szCs w:val="32"/>
          <w:shd w:val="clear" w:color="auto" w:fill="FFFFFF"/>
        </w:rPr>
        <w:t>40</w:t>
      </w:r>
      <w:r>
        <w:rPr>
          <w:rFonts w:ascii="仿宋" w:hAnsi="仿宋" w:eastAsia="仿宋" w:cs="仿宋_GB2312"/>
          <w:color w:val="000000"/>
          <w:kern w:val="0"/>
          <w:sz w:val="32"/>
          <w:szCs w:val="32"/>
          <w:shd w:val="clear" w:color="auto" w:fill="FFFFFF"/>
        </w:rPr>
        <w:t>人编制。设党政办公室、财政所、农业技术服务中心、社会事务服务中心、兽医站、水库；实有人员行政</w:t>
      </w:r>
      <w:r>
        <w:rPr>
          <w:rFonts w:hint="eastAsia" w:ascii="仿宋" w:hAnsi="仿宋" w:eastAsia="仿宋" w:cs="仿宋_GB2312"/>
          <w:color w:val="000000"/>
          <w:kern w:val="0"/>
          <w:sz w:val="32"/>
          <w:szCs w:val="32"/>
          <w:shd w:val="clear" w:color="auto" w:fill="FFFFFF"/>
        </w:rPr>
        <w:t>13</w:t>
      </w:r>
      <w:r>
        <w:rPr>
          <w:rFonts w:ascii="仿宋" w:hAnsi="仿宋" w:eastAsia="仿宋" w:cs="仿宋_GB2312"/>
          <w:color w:val="000000"/>
          <w:kern w:val="0"/>
          <w:sz w:val="32"/>
          <w:szCs w:val="32"/>
          <w:shd w:val="clear" w:color="auto" w:fill="FFFFFF"/>
        </w:rPr>
        <w:t>人、工勤人员1人、事业人员18人。</w:t>
      </w:r>
    </w:p>
    <w:p>
      <w:pPr>
        <w:widowControl/>
        <w:shd w:val="clear" w:color="auto" w:fill="FFFFFF"/>
        <w:spacing w:line="540" w:lineRule="atLeast"/>
        <w:ind w:firstLine="720"/>
        <w:rPr>
          <w:rFonts w:ascii="黑体" w:hAnsi="黑体" w:eastAsia="黑体" w:cs="仿宋_GB2312"/>
          <w:color w:val="000000"/>
          <w:kern w:val="0"/>
          <w:sz w:val="32"/>
          <w:szCs w:val="32"/>
          <w:shd w:val="clear" w:color="auto" w:fill="FFFFFF"/>
        </w:rPr>
      </w:pPr>
      <w:r>
        <w:rPr>
          <w:rFonts w:hint="eastAsia" w:ascii="黑体" w:hAnsi="黑体" w:eastAsia="黑体" w:cs="仿宋_GB2312"/>
          <w:color w:val="000000"/>
          <w:kern w:val="0"/>
          <w:sz w:val="32"/>
          <w:szCs w:val="32"/>
          <w:shd w:val="clear" w:color="auto" w:fill="FFFFFF"/>
        </w:rPr>
        <w:t>二、财政资金收支情况</w:t>
      </w:r>
    </w:p>
    <w:p>
      <w:pPr>
        <w:widowControl/>
        <w:shd w:val="clear" w:color="auto" w:fill="FFFFFF"/>
        <w:spacing w:line="540" w:lineRule="atLeast"/>
        <w:ind w:firstLine="720"/>
        <w:rPr>
          <w:rFonts w:ascii="仿宋" w:hAnsi="仿宋" w:eastAsia="仿宋" w:cs="仿宋_GB2312"/>
          <w:color w:val="000000"/>
          <w:kern w:val="0"/>
          <w:sz w:val="32"/>
          <w:szCs w:val="32"/>
          <w:shd w:val="clear" w:color="auto" w:fill="FFFFFF"/>
        </w:rPr>
      </w:pPr>
      <w:r>
        <w:rPr>
          <w:rFonts w:ascii="仿宋" w:hAnsi="仿宋" w:eastAsia="仿宋" w:cs="仿宋_GB2312"/>
          <w:color w:val="000000"/>
          <w:kern w:val="0"/>
          <w:sz w:val="32"/>
          <w:szCs w:val="32"/>
          <w:shd w:val="clear" w:color="auto" w:fill="FFFFFF"/>
        </w:rPr>
        <w:t>（一）财政资金收入情况</w:t>
      </w:r>
    </w:p>
    <w:p>
      <w:pPr>
        <w:widowControl/>
        <w:shd w:val="clear" w:color="auto" w:fill="FFFFFF"/>
        <w:spacing w:line="540" w:lineRule="atLeast"/>
        <w:ind w:firstLine="720"/>
        <w:rPr>
          <w:rFonts w:ascii="仿宋" w:hAnsi="仿宋" w:eastAsia="仿宋" w:cs="仿宋_GB2312"/>
          <w:color w:val="000000"/>
          <w:kern w:val="0"/>
          <w:sz w:val="32"/>
          <w:szCs w:val="32"/>
          <w:shd w:val="clear" w:color="auto" w:fill="FFFFFF"/>
        </w:rPr>
      </w:pPr>
      <w:r>
        <w:rPr>
          <w:rFonts w:ascii="仿宋" w:hAnsi="仿宋" w:eastAsia="仿宋" w:cs="仿宋_GB2312"/>
          <w:color w:val="000000"/>
          <w:kern w:val="0"/>
          <w:sz w:val="32"/>
          <w:szCs w:val="32"/>
          <w:shd w:val="clear" w:color="auto" w:fill="FFFFFF"/>
        </w:rPr>
        <w:t>2018年度全年财政收入911</w:t>
      </w:r>
      <w:r>
        <w:rPr>
          <w:rFonts w:hint="eastAsia" w:ascii="仿宋" w:hAnsi="仿宋" w:eastAsia="仿宋" w:cs="仿宋_GB2312"/>
          <w:color w:val="000000"/>
          <w:kern w:val="0"/>
          <w:sz w:val="32"/>
          <w:szCs w:val="32"/>
          <w:shd w:val="clear" w:color="auto" w:fill="FFFFFF"/>
        </w:rPr>
        <w:t>.</w:t>
      </w:r>
      <w:r>
        <w:rPr>
          <w:rFonts w:ascii="仿宋" w:hAnsi="仿宋" w:eastAsia="仿宋" w:cs="仿宋_GB2312"/>
          <w:color w:val="000000"/>
          <w:kern w:val="0"/>
          <w:sz w:val="32"/>
          <w:szCs w:val="32"/>
          <w:shd w:val="clear" w:color="auto" w:fill="FFFFFF"/>
        </w:rPr>
        <w:t>0</w:t>
      </w:r>
      <w:r>
        <w:rPr>
          <w:rFonts w:hint="eastAsia" w:ascii="仿宋" w:hAnsi="仿宋" w:eastAsia="仿宋" w:cs="仿宋_GB2312"/>
          <w:color w:val="000000"/>
          <w:kern w:val="0"/>
          <w:sz w:val="32"/>
          <w:szCs w:val="32"/>
          <w:shd w:val="clear" w:color="auto" w:fill="FFFFFF"/>
        </w:rPr>
        <w:t>6万</w:t>
      </w:r>
      <w:r>
        <w:rPr>
          <w:rFonts w:ascii="仿宋" w:hAnsi="仿宋" w:eastAsia="仿宋" w:cs="仿宋_GB2312"/>
          <w:color w:val="000000"/>
          <w:kern w:val="0"/>
          <w:sz w:val="32"/>
          <w:szCs w:val="32"/>
          <w:shd w:val="clear" w:color="auto" w:fill="FFFFFF"/>
        </w:rPr>
        <w:t>元，2017年度全年财政收入为726</w:t>
      </w:r>
      <w:r>
        <w:rPr>
          <w:rFonts w:hint="eastAsia" w:ascii="仿宋" w:hAnsi="仿宋" w:eastAsia="仿宋" w:cs="仿宋_GB2312"/>
          <w:color w:val="000000"/>
          <w:kern w:val="0"/>
          <w:sz w:val="32"/>
          <w:szCs w:val="32"/>
          <w:shd w:val="clear" w:color="auto" w:fill="FFFFFF"/>
        </w:rPr>
        <w:t>.36万</w:t>
      </w:r>
      <w:r>
        <w:rPr>
          <w:rFonts w:ascii="仿宋" w:hAnsi="仿宋" w:eastAsia="仿宋" w:cs="仿宋_GB2312"/>
          <w:color w:val="000000"/>
          <w:kern w:val="0"/>
          <w:sz w:val="32"/>
          <w:szCs w:val="32"/>
          <w:shd w:val="clear" w:color="auto" w:fill="FFFFFF"/>
        </w:rPr>
        <w:t>元，与上年相比增加收入184</w:t>
      </w:r>
      <w:r>
        <w:rPr>
          <w:rFonts w:hint="eastAsia" w:ascii="仿宋" w:hAnsi="仿宋" w:eastAsia="仿宋" w:cs="仿宋_GB2312"/>
          <w:color w:val="000000"/>
          <w:kern w:val="0"/>
          <w:sz w:val="32"/>
          <w:szCs w:val="32"/>
          <w:shd w:val="clear" w:color="auto" w:fill="FFFFFF"/>
        </w:rPr>
        <w:t>.69</w:t>
      </w:r>
      <w:r>
        <w:rPr>
          <w:rFonts w:ascii="仿宋" w:hAnsi="仿宋" w:eastAsia="仿宋" w:cs="仿宋_GB2312"/>
          <w:color w:val="000000"/>
          <w:kern w:val="0"/>
          <w:sz w:val="32"/>
          <w:szCs w:val="32"/>
          <w:shd w:val="clear" w:color="auto" w:fill="FFFFFF"/>
        </w:rPr>
        <w:t>元，增加比例为25.4</w:t>
      </w:r>
      <w:r>
        <w:rPr>
          <w:rFonts w:hint="eastAsia" w:ascii="仿宋" w:hAnsi="仿宋" w:eastAsia="仿宋" w:cs="仿宋_GB2312"/>
          <w:color w:val="000000"/>
          <w:kern w:val="0"/>
          <w:sz w:val="32"/>
          <w:szCs w:val="32"/>
          <w:shd w:val="clear" w:color="auto" w:fill="FFFFFF"/>
        </w:rPr>
        <w:t>2</w:t>
      </w:r>
      <w:r>
        <w:rPr>
          <w:rFonts w:ascii="仿宋" w:hAnsi="仿宋" w:eastAsia="仿宋" w:cs="仿宋_GB2312"/>
          <w:color w:val="000000"/>
          <w:kern w:val="0"/>
          <w:sz w:val="32"/>
          <w:szCs w:val="32"/>
          <w:shd w:val="clear" w:color="auto" w:fill="FFFFFF"/>
        </w:rPr>
        <w:t>%。</w:t>
      </w:r>
    </w:p>
    <w:p>
      <w:pPr>
        <w:widowControl/>
        <w:shd w:val="clear" w:color="auto" w:fill="FFFFFF"/>
        <w:spacing w:line="540" w:lineRule="atLeast"/>
        <w:ind w:firstLine="720"/>
        <w:rPr>
          <w:rFonts w:ascii="仿宋" w:hAnsi="仿宋" w:eastAsia="仿宋" w:cs="仿宋_GB2312"/>
          <w:color w:val="000000"/>
          <w:kern w:val="0"/>
          <w:sz w:val="32"/>
          <w:szCs w:val="32"/>
          <w:shd w:val="clear" w:color="auto" w:fill="FFFFFF"/>
        </w:rPr>
      </w:pPr>
      <w:r>
        <w:rPr>
          <w:rFonts w:ascii="仿宋" w:hAnsi="仿宋" w:eastAsia="仿宋" w:cs="仿宋_GB2312"/>
          <w:color w:val="000000"/>
          <w:kern w:val="0"/>
          <w:sz w:val="32"/>
          <w:szCs w:val="32"/>
          <w:shd w:val="clear" w:color="auto" w:fill="FFFFFF"/>
        </w:rPr>
        <w:t>（二）财政资金支出情况</w:t>
      </w:r>
    </w:p>
    <w:p>
      <w:pPr>
        <w:widowControl/>
        <w:shd w:val="clear" w:color="auto" w:fill="FFFFFF"/>
        <w:spacing w:line="540" w:lineRule="atLeast"/>
        <w:ind w:firstLine="720"/>
        <w:rPr>
          <w:rFonts w:ascii="仿宋" w:hAnsi="仿宋" w:eastAsia="仿宋" w:cs="仿宋_GB2312"/>
          <w:color w:val="000000"/>
          <w:kern w:val="0"/>
          <w:sz w:val="32"/>
          <w:szCs w:val="32"/>
          <w:shd w:val="clear" w:color="auto" w:fill="FFFFFF"/>
        </w:rPr>
      </w:pPr>
      <w:r>
        <w:rPr>
          <w:rFonts w:ascii="仿宋" w:hAnsi="仿宋" w:eastAsia="仿宋" w:cs="仿宋_GB2312"/>
          <w:color w:val="000000"/>
          <w:kern w:val="0"/>
          <w:sz w:val="32"/>
          <w:szCs w:val="32"/>
          <w:shd w:val="clear" w:color="auto" w:fill="FFFFFF"/>
        </w:rPr>
        <w:t>2018年全年财政支出876</w:t>
      </w:r>
      <w:r>
        <w:rPr>
          <w:rFonts w:hint="eastAsia" w:ascii="仿宋" w:hAnsi="仿宋" w:eastAsia="仿宋" w:cs="仿宋_GB2312"/>
          <w:color w:val="000000"/>
          <w:kern w:val="0"/>
          <w:sz w:val="32"/>
          <w:szCs w:val="32"/>
          <w:shd w:val="clear" w:color="auto" w:fill="FFFFFF"/>
        </w:rPr>
        <w:t>.</w:t>
      </w:r>
      <w:r>
        <w:rPr>
          <w:rFonts w:ascii="仿宋" w:hAnsi="仿宋" w:eastAsia="仿宋" w:cs="仿宋_GB2312"/>
          <w:color w:val="000000"/>
          <w:kern w:val="0"/>
          <w:sz w:val="32"/>
          <w:szCs w:val="32"/>
          <w:shd w:val="clear" w:color="auto" w:fill="FFFFFF"/>
        </w:rPr>
        <w:t>09</w:t>
      </w:r>
      <w:r>
        <w:rPr>
          <w:rFonts w:hint="eastAsia" w:ascii="仿宋" w:hAnsi="仿宋" w:eastAsia="仿宋" w:cs="仿宋_GB2312"/>
          <w:color w:val="000000"/>
          <w:kern w:val="0"/>
          <w:sz w:val="32"/>
          <w:szCs w:val="32"/>
          <w:shd w:val="clear" w:color="auto" w:fill="FFFFFF"/>
        </w:rPr>
        <w:t>万</w:t>
      </w:r>
      <w:r>
        <w:rPr>
          <w:rFonts w:ascii="仿宋" w:hAnsi="仿宋" w:eastAsia="仿宋" w:cs="仿宋_GB2312"/>
          <w:color w:val="000000"/>
          <w:kern w:val="0"/>
          <w:sz w:val="32"/>
          <w:szCs w:val="32"/>
          <w:shd w:val="clear" w:color="auto" w:fill="FFFFFF"/>
        </w:rPr>
        <w:t>元，2017年全年财政支出为</w:t>
      </w:r>
      <w:r>
        <w:rPr>
          <w:rFonts w:hint="eastAsia" w:ascii="仿宋" w:hAnsi="仿宋" w:eastAsia="仿宋" w:cs="仿宋_GB2312"/>
          <w:color w:val="000000"/>
          <w:kern w:val="0"/>
          <w:sz w:val="32"/>
          <w:szCs w:val="32"/>
          <w:shd w:val="clear" w:color="auto" w:fill="FFFFFF"/>
        </w:rPr>
        <w:t>735.44万</w:t>
      </w:r>
      <w:r>
        <w:rPr>
          <w:rFonts w:ascii="仿宋" w:hAnsi="仿宋" w:eastAsia="仿宋" w:cs="仿宋_GB2312"/>
          <w:color w:val="000000"/>
          <w:kern w:val="0"/>
          <w:sz w:val="32"/>
          <w:szCs w:val="32"/>
          <w:shd w:val="clear" w:color="auto" w:fill="FFFFFF"/>
        </w:rPr>
        <w:t>元，与上年相比增加支出140</w:t>
      </w:r>
      <w:r>
        <w:rPr>
          <w:rFonts w:hint="eastAsia" w:ascii="仿宋" w:hAnsi="仿宋" w:eastAsia="仿宋" w:cs="仿宋_GB2312"/>
          <w:color w:val="000000"/>
          <w:kern w:val="0"/>
          <w:sz w:val="32"/>
          <w:szCs w:val="32"/>
          <w:shd w:val="clear" w:color="auto" w:fill="FFFFFF"/>
        </w:rPr>
        <w:t>.65万</w:t>
      </w:r>
      <w:r>
        <w:rPr>
          <w:rFonts w:ascii="仿宋" w:hAnsi="仿宋" w:eastAsia="仿宋" w:cs="仿宋_GB2312"/>
          <w:color w:val="000000"/>
          <w:kern w:val="0"/>
          <w:sz w:val="32"/>
          <w:szCs w:val="32"/>
          <w:shd w:val="clear" w:color="auto" w:fill="FFFFFF"/>
        </w:rPr>
        <w:t>元，增加比例为19.12%。</w:t>
      </w:r>
    </w:p>
    <w:p>
      <w:pPr>
        <w:widowControl/>
        <w:shd w:val="clear" w:color="auto" w:fill="FFFFFF"/>
        <w:spacing w:line="540" w:lineRule="atLeast"/>
        <w:ind w:firstLine="720"/>
        <w:rPr>
          <w:rFonts w:ascii="黑体" w:hAnsi="黑体" w:eastAsia="黑体" w:cs="仿宋_GB2312"/>
          <w:color w:val="000000"/>
          <w:kern w:val="0"/>
          <w:sz w:val="32"/>
          <w:szCs w:val="32"/>
          <w:shd w:val="clear" w:color="auto" w:fill="FFFFFF"/>
        </w:rPr>
      </w:pPr>
      <w:r>
        <w:rPr>
          <w:rFonts w:hint="eastAsia" w:ascii="黑体" w:hAnsi="黑体" w:eastAsia="黑体" w:cs="仿宋_GB2312"/>
          <w:color w:val="000000"/>
          <w:kern w:val="0"/>
          <w:sz w:val="32"/>
          <w:szCs w:val="32"/>
          <w:shd w:val="clear" w:color="auto" w:fill="FFFFFF"/>
        </w:rPr>
        <w:t>三、部门</w:t>
      </w:r>
      <w:r>
        <w:rPr>
          <w:rFonts w:ascii="黑体" w:hAnsi="黑体" w:eastAsia="黑体" w:cs="仿宋_GB2312"/>
          <w:color w:val="000000"/>
          <w:kern w:val="0"/>
          <w:sz w:val="32"/>
          <w:szCs w:val="32"/>
          <w:shd w:val="clear" w:color="auto" w:fill="FFFFFF"/>
        </w:rPr>
        <w:t>整体预算绩效管理情况</w:t>
      </w:r>
    </w:p>
    <w:p>
      <w:pPr>
        <w:widowControl/>
        <w:shd w:val="clear" w:color="auto" w:fill="FFFFFF"/>
        <w:spacing w:line="540" w:lineRule="atLeast"/>
        <w:ind w:firstLine="720"/>
        <w:rPr>
          <w:rFonts w:ascii="仿宋" w:hAnsi="仿宋" w:eastAsia="仿宋" w:cs="仿宋_GB2312"/>
          <w:color w:val="000000"/>
          <w:kern w:val="0"/>
          <w:sz w:val="32"/>
          <w:szCs w:val="32"/>
          <w:shd w:val="clear" w:color="auto" w:fill="FFFFFF"/>
        </w:rPr>
      </w:pPr>
      <w:r>
        <w:rPr>
          <w:rFonts w:ascii="仿宋" w:hAnsi="仿宋" w:eastAsia="仿宋" w:cs="仿宋_GB2312"/>
          <w:color w:val="000000"/>
          <w:kern w:val="0"/>
          <w:sz w:val="32"/>
          <w:szCs w:val="32"/>
          <w:shd w:val="clear" w:color="auto" w:fill="FFFFFF"/>
        </w:rPr>
        <w:t>（一）部门预算管理。</w:t>
      </w:r>
    </w:p>
    <w:p>
      <w:pPr>
        <w:widowControl/>
        <w:shd w:val="clear" w:color="auto" w:fill="FFFFFF"/>
        <w:spacing w:line="540" w:lineRule="atLeast"/>
        <w:ind w:firstLine="720"/>
        <w:rPr>
          <w:rFonts w:ascii="仿宋" w:hAnsi="仿宋" w:eastAsia="仿宋" w:cs="仿宋_GB2312"/>
          <w:color w:val="000000"/>
          <w:kern w:val="0"/>
          <w:sz w:val="32"/>
          <w:szCs w:val="32"/>
          <w:shd w:val="clear" w:color="auto" w:fill="FFFFFF"/>
        </w:rPr>
      </w:pPr>
      <w:r>
        <w:rPr>
          <w:rFonts w:hint="eastAsia" w:ascii="仿宋" w:hAnsi="仿宋" w:eastAsia="仿宋" w:cs="仿宋_GB2312"/>
          <w:color w:val="000000"/>
          <w:kern w:val="0"/>
          <w:sz w:val="32"/>
          <w:szCs w:val="32"/>
          <w:shd w:val="clear" w:color="auto" w:fill="FFFFFF"/>
        </w:rPr>
        <w:t>我乡在县财政局的领导下积极严肃的开展了2018年预算编制工作。通过成立工作小组，力保预算编制质量，细化支出预算编制，落实到具体执行项目。基本支出预算要如实准确地反映预算单位机构编制、人员、经费类型等基础数据及变化情况。项目支出预算要求有明确的项目绩效目标、实施计划和时间进度，保证项目可执行。按照县级部门预算编制通知和相关要求，按时完成了基础库、项目库报送工作，并顺利通过了县级预算部门的审查。</w:t>
      </w:r>
    </w:p>
    <w:p>
      <w:pPr>
        <w:widowControl/>
        <w:shd w:val="clear" w:color="auto" w:fill="FFFFFF"/>
        <w:spacing w:line="540" w:lineRule="atLeast"/>
        <w:ind w:firstLine="720"/>
        <w:rPr>
          <w:rFonts w:ascii="仿宋" w:hAnsi="仿宋" w:eastAsia="仿宋" w:cs="仿宋_GB2312"/>
          <w:color w:val="000000"/>
          <w:kern w:val="0"/>
          <w:sz w:val="32"/>
          <w:szCs w:val="32"/>
          <w:shd w:val="clear" w:color="auto" w:fill="FFFFFF"/>
        </w:rPr>
      </w:pPr>
      <w:r>
        <w:rPr>
          <w:rFonts w:hint="eastAsia" w:ascii="仿宋" w:hAnsi="仿宋" w:eastAsia="仿宋" w:cs="仿宋_GB2312"/>
          <w:color w:val="000000"/>
          <w:kern w:val="0"/>
          <w:sz w:val="32"/>
          <w:szCs w:val="32"/>
          <w:shd w:val="clear" w:color="auto" w:fill="FFFFFF"/>
        </w:rPr>
        <w:t>门坎乡人民政府2018年一般公共预算当年拨款821.27万元，较上年预算数增加115.2万元。主要是因为人员的增加及财政预算拨款资金增加。</w:t>
      </w:r>
    </w:p>
    <w:p>
      <w:pPr>
        <w:widowControl/>
        <w:shd w:val="clear" w:color="auto" w:fill="FFFFFF"/>
        <w:spacing w:line="540" w:lineRule="atLeast"/>
        <w:ind w:firstLine="720"/>
        <w:rPr>
          <w:rFonts w:ascii="仿宋" w:hAnsi="仿宋" w:eastAsia="仿宋" w:cs="仿宋_GB2312"/>
          <w:color w:val="000000"/>
          <w:kern w:val="0"/>
          <w:sz w:val="32"/>
          <w:szCs w:val="32"/>
          <w:shd w:val="clear" w:color="auto" w:fill="FFFFFF"/>
        </w:rPr>
      </w:pPr>
      <w:r>
        <w:rPr>
          <w:rFonts w:ascii="仿宋" w:hAnsi="仿宋" w:eastAsia="仿宋" w:cs="仿宋_GB2312"/>
          <w:color w:val="000000"/>
          <w:kern w:val="0"/>
          <w:sz w:val="32"/>
          <w:szCs w:val="32"/>
          <w:shd w:val="clear" w:color="auto" w:fill="FFFFFF"/>
        </w:rPr>
        <w:t>（二）专项预算管理。</w:t>
      </w:r>
    </w:p>
    <w:p>
      <w:pPr>
        <w:widowControl/>
        <w:shd w:val="clear" w:color="auto" w:fill="FFFFFF"/>
        <w:spacing w:line="540" w:lineRule="atLeast"/>
        <w:ind w:firstLine="720"/>
        <w:rPr>
          <w:rFonts w:ascii="仿宋" w:hAnsi="仿宋" w:eastAsia="仿宋" w:cs="仿宋_GB2312"/>
          <w:color w:val="000000"/>
          <w:kern w:val="0"/>
          <w:sz w:val="32"/>
          <w:szCs w:val="32"/>
          <w:shd w:val="clear" w:color="auto" w:fill="FFFFFF"/>
        </w:rPr>
      </w:pPr>
      <w:r>
        <w:rPr>
          <w:rFonts w:hint="eastAsia" w:ascii="仿宋" w:hAnsi="仿宋" w:eastAsia="仿宋" w:cs="仿宋_GB2312"/>
          <w:color w:val="000000"/>
          <w:kern w:val="0"/>
          <w:sz w:val="32"/>
          <w:szCs w:val="32"/>
          <w:shd w:val="clear" w:color="auto" w:fill="FFFFFF"/>
        </w:rPr>
        <w:t xml:space="preserve">预算安排支出主要用于保障该部门机构正常运转、完成日常工作任务以及事业发展相关工作。  </w:t>
      </w:r>
    </w:p>
    <w:p>
      <w:pPr>
        <w:widowControl/>
        <w:shd w:val="clear" w:color="auto" w:fill="FFFFFF"/>
        <w:spacing w:line="540" w:lineRule="atLeast"/>
        <w:ind w:firstLine="720"/>
        <w:rPr>
          <w:rFonts w:ascii="仿宋" w:hAnsi="仿宋" w:eastAsia="仿宋" w:cs="仿宋_GB2312"/>
          <w:color w:val="000000"/>
          <w:kern w:val="0"/>
          <w:sz w:val="32"/>
          <w:szCs w:val="32"/>
          <w:shd w:val="clear" w:color="auto" w:fill="FFFFFF"/>
        </w:rPr>
      </w:pPr>
      <w:r>
        <w:rPr>
          <w:rFonts w:hint="eastAsia" w:ascii="仿宋" w:hAnsi="仿宋" w:eastAsia="仿宋" w:cs="仿宋_GB2312"/>
          <w:color w:val="000000"/>
          <w:kern w:val="0"/>
          <w:sz w:val="32"/>
          <w:szCs w:val="32"/>
          <w:shd w:val="clear" w:color="auto" w:fill="FFFFFF"/>
        </w:rPr>
        <w:t>基本支出，是用于保障门坎乡机关、下属事业单位等机构正常运转的日常支出，包括基本工资、津贴补贴等人员经费以及办公费、印刷费、水电费、办公设备购置等日常公用经费。</w:t>
      </w:r>
    </w:p>
    <w:p>
      <w:pPr>
        <w:widowControl/>
        <w:shd w:val="clear" w:color="auto" w:fill="FFFFFF"/>
        <w:spacing w:line="540" w:lineRule="atLeast"/>
        <w:ind w:firstLine="720"/>
        <w:rPr>
          <w:rFonts w:ascii="仿宋" w:hAnsi="仿宋" w:eastAsia="仿宋" w:cs="仿宋_GB2312"/>
          <w:color w:val="000000"/>
          <w:kern w:val="0"/>
          <w:sz w:val="32"/>
          <w:szCs w:val="32"/>
          <w:shd w:val="clear" w:color="auto" w:fill="FFFFFF"/>
        </w:rPr>
      </w:pPr>
      <w:r>
        <w:rPr>
          <w:rFonts w:hint="eastAsia" w:ascii="仿宋" w:hAnsi="仿宋" w:eastAsia="仿宋" w:cs="仿宋_GB2312"/>
          <w:color w:val="000000"/>
          <w:kern w:val="0"/>
          <w:sz w:val="32"/>
          <w:szCs w:val="32"/>
          <w:shd w:val="clear" w:color="auto" w:fill="FFFFFF"/>
        </w:rPr>
        <w:t>项目支出，是用于保障门坎乡机关、下属事业单位等机构为完成特定的行政工作任务或事业发展目标，用于专项业务工作的经费支出。</w:t>
      </w:r>
    </w:p>
    <w:p>
      <w:pPr>
        <w:widowControl/>
        <w:shd w:val="clear" w:color="auto" w:fill="FFFFFF"/>
        <w:spacing w:line="540" w:lineRule="atLeast"/>
        <w:ind w:firstLine="720"/>
        <w:rPr>
          <w:rFonts w:ascii="仿宋" w:hAnsi="仿宋" w:eastAsia="仿宋" w:cs="仿宋_GB2312"/>
          <w:color w:val="000000"/>
          <w:kern w:val="0"/>
          <w:sz w:val="32"/>
          <w:szCs w:val="32"/>
          <w:shd w:val="clear" w:color="auto" w:fill="FFFFFF"/>
        </w:rPr>
      </w:pPr>
      <w:r>
        <w:rPr>
          <w:rFonts w:hint="eastAsia" w:ascii="仿宋" w:hAnsi="仿宋" w:eastAsia="仿宋" w:cs="仿宋_GB2312"/>
          <w:color w:val="000000"/>
          <w:kern w:val="0"/>
          <w:sz w:val="32"/>
          <w:szCs w:val="32"/>
          <w:shd w:val="clear" w:color="auto" w:fill="FFFFFF"/>
        </w:rPr>
        <w:t>“三公”经费严格按照预算执行，在预算指标內控制公务接待、公务车运行维护费等“三公”经费的支出，并有所结余。</w:t>
      </w:r>
    </w:p>
    <w:p>
      <w:pPr>
        <w:widowControl/>
        <w:shd w:val="clear" w:color="auto" w:fill="FFFFFF"/>
        <w:spacing w:line="540" w:lineRule="atLeast"/>
        <w:ind w:firstLine="720"/>
        <w:rPr>
          <w:rFonts w:ascii="仿宋" w:hAnsi="仿宋" w:eastAsia="仿宋" w:cs="仿宋_GB2312"/>
          <w:color w:val="000000"/>
          <w:kern w:val="0"/>
          <w:sz w:val="32"/>
          <w:szCs w:val="32"/>
          <w:shd w:val="clear" w:color="auto" w:fill="FFFFFF"/>
        </w:rPr>
      </w:pPr>
      <w:r>
        <w:rPr>
          <w:rFonts w:ascii="仿宋" w:hAnsi="仿宋" w:eastAsia="仿宋" w:cs="仿宋_GB2312"/>
          <w:color w:val="000000"/>
          <w:kern w:val="0"/>
          <w:sz w:val="32"/>
          <w:szCs w:val="32"/>
          <w:shd w:val="clear" w:color="auto" w:fill="FFFFFF"/>
        </w:rPr>
        <w:t>（三）结果应用情况。</w:t>
      </w:r>
    </w:p>
    <w:p>
      <w:pPr>
        <w:widowControl/>
        <w:shd w:val="clear" w:color="auto" w:fill="FFFFFF"/>
        <w:spacing w:line="540" w:lineRule="atLeast"/>
        <w:ind w:firstLine="720"/>
        <w:rPr>
          <w:rFonts w:ascii="仿宋" w:hAnsi="仿宋" w:eastAsia="仿宋" w:cs="仿宋_GB2312"/>
          <w:color w:val="000000"/>
          <w:kern w:val="0"/>
          <w:sz w:val="32"/>
          <w:szCs w:val="32"/>
          <w:shd w:val="clear" w:color="auto" w:fill="FFFFFF"/>
        </w:rPr>
      </w:pPr>
      <w:r>
        <w:rPr>
          <w:rFonts w:hint="eastAsia" w:ascii="仿宋" w:hAnsi="仿宋" w:eastAsia="仿宋" w:cs="仿宋_GB2312"/>
          <w:color w:val="000000"/>
          <w:kern w:val="0"/>
          <w:sz w:val="32"/>
          <w:szCs w:val="32"/>
          <w:shd w:val="clear" w:color="auto" w:fill="FFFFFF"/>
        </w:rPr>
        <w:t>在县财政的领导下，我乡积极开展2019行政事业单位资产清查工作，按要求及时、准确、全面的开展资产清查工作。在规定时间内完成上报工作，对审核结果进行反思与账务调整。确保行政事业单位资产清查的准确性、全面性。每月按时完成行政事业性国有资产月报。</w:t>
      </w:r>
    </w:p>
    <w:p>
      <w:pPr>
        <w:widowControl/>
        <w:shd w:val="clear" w:color="auto" w:fill="FFFFFF"/>
        <w:spacing w:line="540" w:lineRule="atLeast"/>
        <w:ind w:firstLine="720"/>
        <w:rPr>
          <w:rFonts w:ascii="仿宋" w:hAnsi="仿宋" w:eastAsia="仿宋" w:cs="仿宋_GB2312"/>
          <w:color w:val="000000"/>
          <w:kern w:val="0"/>
          <w:sz w:val="32"/>
          <w:szCs w:val="32"/>
          <w:shd w:val="clear" w:color="auto" w:fill="FFFFFF"/>
        </w:rPr>
      </w:pPr>
      <w:r>
        <w:rPr>
          <w:rFonts w:hint="eastAsia" w:ascii="仿宋" w:hAnsi="仿宋" w:eastAsia="仿宋" w:cs="仿宋_GB2312"/>
          <w:color w:val="000000"/>
          <w:kern w:val="0"/>
          <w:sz w:val="32"/>
          <w:szCs w:val="32"/>
          <w:shd w:val="clear" w:color="auto" w:fill="FFFFFF"/>
        </w:rPr>
        <w:t>加强财政所制度管理。</w:t>
      </w:r>
      <w:r>
        <w:rPr>
          <w:rFonts w:ascii="仿宋" w:hAnsi="仿宋" w:eastAsia="仿宋" w:cs="仿宋_GB2312"/>
          <w:color w:val="000000"/>
          <w:kern w:val="0"/>
          <w:sz w:val="32"/>
          <w:szCs w:val="32"/>
          <w:shd w:val="clear" w:color="auto" w:fill="FFFFFF"/>
        </w:rPr>
        <w:t>我乡按照要求建立健全了财</w:t>
      </w:r>
      <w:r>
        <w:rPr>
          <w:rFonts w:ascii="仿宋" w:hAnsi="仿宋" w:eastAsia="仿宋" w:cs="仿宋_GB2312"/>
          <w:color w:val="000000"/>
          <w:sz w:val="32"/>
          <w:szCs w:val="32"/>
          <w:shd w:val="clear" w:color="auto" w:fill="FFFFFF"/>
        </w:rPr>
        <w:t>政所人员岗位制度、公务卡报账制度、支农资金管理制度、固定资</w:t>
      </w:r>
      <w:r>
        <w:rPr>
          <w:rFonts w:ascii="仿宋" w:hAnsi="仿宋" w:eastAsia="仿宋" w:cs="仿宋_GB2312"/>
          <w:color w:val="000000"/>
          <w:kern w:val="0"/>
          <w:sz w:val="32"/>
          <w:szCs w:val="32"/>
          <w:shd w:val="clear" w:color="auto" w:fill="FFFFFF"/>
        </w:rPr>
        <w:t>产管理制度及定期财产清理制度等；完善财政监督管理制度，做到环环有监督、节节操作透明；加大保密制度实施力度，确保财政工作稳定和谐；创新财政信息化管理制度，加大财政信息材料安全性保障。</w:t>
      </w:r>
    </w:p>
    <w:p>
      <w:pPr>
        <w:widowControl/>
        <w:shd w:val="clear" w:color="auto" w:fill="FFFFFF"/>
        <w:spacing w:line="540" w:lineRule="atLeast"/>
        <w:ind w:firstLine="720"/>
        <w:rPr>
          <w:rFonts w:ascii="仿宋" w:hAnsi="仿宋" w:eastAsia="仿宋" w:cs="仿宋_GB2312"/>
          <w:color w:val="000000"/>
          <w:kern w:val="0"/>
          <w:sz w:val="32"/>
          <w:szCs w:val="32"/>
          <w:shd w:val="clear" w:color="auto" w:fill="FFFFFF"/>
        </w:rPr>
      </w:pPr>
      <w:r>
        <w:rPr>
          <w:rFonts w:hint="eastAsia" w:ascii="仿宋" w:hAnsi="仿宋" w:eastAsia="仿宋" w:cs="仿宋_GB2312"/>
          <w:color w:val="000000"/>
          <w:kern w:val="0"/>
          <w:sz w:val="32"/>
          <w:szCs w:val="32"/>
          <w:shd w:val="clear" w:color="auto" w:fill="FFFFFF"/>
        </w:rPr>
        <w:t>积极搞好“互联网+精准扶贫代理记账”工作，按时对村组集体资金收支情况和票据进行核实、审核，收交代理记账公司记账。</w:t>
      </w:r>
    </w:p>
    <w:p>
      <w:pPr>
        <w:widowControl/>
        <w:shd w:val="clear" w:color="auto" w:fill="FFFFFF"/>
        <w:spacing w:line="540" w:lineRule="atLeast"/>
        <w:ind w:firstLine="720"/>
        <w:rPr>
          <w:rFonts w:ascii="仿宋" w:hAnsi="仿宋" w:eastAsia="仿宋" w:cs="仿宋_GB2312"/>
          <w:color w:val="000000"/>
          <w:kern w:val="0"/>
          <w:sz w:val="32"/>
          <w:szCs w:val="32"/>
          <w:shd w:val="clear" w:color="auto" w:fill="FFFFFF"/>
        </w:rPr>
      </w:pPr>
      <w:r>
        <w:rPr>
          <w:rFonts w:hint="eastAsia" w:ascii="仿宋" w:hAnsi="仿宋" w:eastAsia="仿宋" w:cs="仿宋_GB2312"/>
          <w:color w:val="000000"/>
          <w:kern w:val="0"/>
          <w:sz w:val="32"/>
          <w:szCs w:val="32"/>
          <w:shd w:val="clear" w:color="auto" w:fill="FFFFFF"/>
        </w:rPr>
        <w:t>抓好政务公开工作。建立政务主动及时公开制度，凡应让社会公众广泛知晓或参与的事项，如预算、决算、绩效信息等，及时主动向社会公开，确保社会公众的知情权、监督权。确保财政工作公开透明化。</w:t>
      </w:r>
    </w:p>
    <w:p>
      <w:pPr>
        <w:widowControl/>
        <w:shd w:val="clear" w:color="auto" w:fill="FFFFFF"/>
        <w:spacing w:line="540" w:lineRule="atLeast"/>
        <w:ind w:firstLine="720"/>
        <w:rPr>
          <w:rFonts w:ascii="仿宋" w:hAnsi="仿宋" w:eastAsia="仿宋" w:cs="仿宋_GB2312"/>
          <w:color w:val="000000"/>
          <w:kern w:val="0"/>
          <w:sz w:val="32"/>
          <w:szCs w:val="32"/>
          <w:shd w:val="clear" w:color="auto" w:fill="FFFFFF"/>
        </w:rPr>
      </w:pPr>
      <w:r>
        <w:rPr>
          <w:rFonts w:hint="eastAsia" w:ascii="仿宋" w:hAnsi="仿宋" w:eastAsia="仿宋" w:cs="仿宋_GB2312"/>
          <w:color w:val="000000"/>
          <w:kern w:val="0"/>
          <w:sz w:val="32"/>
          <w:szCs w:val="32"/>
          <w:shd w:val="clear" w:color="auto" w:fill="FFFFFF"/>
        </w:rPr>
        <w:t>依法接受财政监督，严格执行各项资金使用的有关规定，实行资金动态监管机制，按要求完成各项自查自纠报告，对出现的问题及时进行整改。在上级部门的领导下开展部门绩效评价，及时报送财政绩效自评报告，并对发现的问题制定整改措施，确保整改到位，</w:t>
      </w:r>
    </w:p>
    <w:p>
      <w:pPr>
        <w:widowControl/>
        <w:shd w:val="clear" w:color="auto" w:fill="FFFFFF"/>
        <w:spacing w:line="540" w:lineRule="atLeast"/>
        <w:ind w:firstLine="720"/>
        <w:rPr>
          <w:rFonts w:ascii="黑体" w:hAnsi="黑体" w:eastAsia="黑体" w:cs="仿宋_GB2312"/>
          <w:color w:val="000000"/>
          <w:kern w:val="0"/>
          <w:sz w:val="32"/>
          <w:szCs w:val="32"/>
          <w:shd w:val="clear" w:color="auto" w:fill="FFFFFF"/>
        </w:rPr>
      </w:pPr>
      <w:r>
        <w:rPr>
          <w:rFonts w:hint="eastAsia" w:ascii="黑体" w:hAnsi="黑体" w:eastAsia="黑体" w:cs="仿宋_GB2312"/>
          <w:color w:val="000000"/>
          <w:kern w:val="0"/>
          <w:sz w:val="32"/>
          <w:szCs w:val="32"/>
          <w:shd w:val="clear" w:color="auto" w:fill="FFFFFF"/>
        </w:rPr>
        <w:t>四、评价结论及建议</w:t>
      </w:r>
    </w:p>
    <w:p>
      <w:pPr>
        <w:widowControl/>
        <w:shd w:val="clear" w:color="auto" w:fill="FFFFFF"/>
        <w:spacing w:line="540" w:lineRule="atLeast"/>
        <w:ind w:firstLine="720"/>
        <w:rPr>
          <w:rFonts w:ascii="仿宋" w:hAnsi="仿宋" w:eastAsia="仿宋" w:cs="仿宋_GB2312"/>
          <w:color w:val="000000"/>
          <w:kern w:val="0"/>
          <w:sz w:val="32"/>
          <w:szCs w:val="32"/>
          <w:shd w:val="clear" w:color="auto" w:fill="FFFFFF"/>
        </w:rPr>
      </w:pPr>
    </w:p>
    <w:p>
      <w:pPr>
        <w:widowControl/>
        <w:shd w:val="clear" w:color="auto" w:fill="FFFFFF"/>
        <w:spacing w:line="540" w:lineRule="atLeast"/>
        <w:ind w:firstLine="720"/>
        <w:rPr>
          <w:rFonts w:ascii="仿宋" w:hAnsi="仿宋" w:eastAsia="仿宋" w:cs="宋体"/>
          <w:color w:val="000000"/>
          <w:szCs w:val="21"/>
        </w:rPr>
      </w:pPr>
      <w:r>
        <w:rPr>
          <w:rFonts w:ascii="仿宋" w:hAnsi="仿宋" w:eastAsia="仿宋" w:cs="仿宋_GB2312"/>
          <w:color w:val="000000"/>
          <w:kern w:val="0"/>
          <w:sz w:val="32"/>
          <w:szCs w:val="32"/>
          <w:shd w:val="clear" w:color="auto" w:fill="FFFFFF"/>
        </w:rPr>
        <w:t>（一）评价结论</w:t>
      </w:r>
    </w:p>
    <w:p>
      <w:pPr>
        <w:widowControl/>
        <w:shd w:val="clear" w:color="auto" w:fill="FFFFFF"/>
        <w:spacing w:line="540" w:lineRule="atLeast"/>
        <w:ind w:firstLine="720"/>
        <w:rPr>
          <w:rFonts w:ascii="仿宋" w:hAnsi="仿宋" w:eastAsia="仿宋" w:cs="仿宋_GB2312"/>
          <w:color w:val="000000"/>
          <w:kern w:val="0"/>
          <w:sz w:val="32"/>
          <w:szCs w:val="32"/>
          <w:shd w:val="clear" w:color="auto" w:fill="FFFFFF"/>
        </w:rPr>
      </w:pPr>
      <w:r>
        <w:rPr>
          <w:rFonts w:hint="eastAsia" w:ascii="仿宋" w:hAnsi="仿宋" w:eastAsia="仿宋" w:cs="仿宋_GB2312"/>
          <w:color w:val="000000"/>
          <w:kern w:val="0"/>
          <w:sz w:val="32"/>
          <w:szCs w:val="32"/>
          <w:shd w:val="clear" w:color="auto" w:fill="FFFFFF"/>
        </w:rPr>
        <w:t>根</w:t>
      </w:r>
      <w:r>
        <w:rPr>
          <w:rFonts w:ascii="仿宋" w:hAnsi="仿宋" w:eastAsia="仿宋" w:cs="仿宋_GB2312"/>
          <w:color w:val="000000"/>
          <w:kern w:val="0"/>
          <w:sz w:val="32"/>
          <w:szCs w:val="32"/>
          <w:shd w:val="clear" w:color="auto" w:fill="FFFFFF"/>
        </w:rPr>
        <w:t>据《</w:t>
      </w:r>
      <w:r>
        <w:rPr>
          <w:rFonts w:hint="eastAsia" w:ascii="仿宋" w:hAnsi="仿宋" w:eastAsia="仿宋" w:cs="仿宋_GB2312"/>
          <w:color w:val="000000"/>
          <w:kern w:val="0"/>
          <w:sz w:val="32"/>
          <w:szCs w:val="32"/>
          <w:shd w:val="clear" w:color="auto" w:fill="FFFFFF"/>
        </w:rPr>
        <w:t>2019年部门整体</w:t>
      </w:r>
      <w:r>
        <w:rPr>
          <w:rFonts w:ascii="仿宋" w:hAnsi="仿宋" w:eastAsia="仿宋" w:cs="仿宋_GB2312"/>
          <w:color w:val="000000"/>
          <w:kern w:val="0"/>
          <w:sz w:val="32"/>
          <w:szCs w:val="32"/>
          <w:shd w:val="clear" w:color="auto" w:fill="FFFFFF"/>
        </w:rPr>
        <w:t>支出绩效评价指标</w:t>
      </w:r>
      <w:r>
        <w:rPr>
          <w:rFonts w:hint="eastAsia" w:ascii="仿宋" w:hAnsi="仿宋" w:eastAsia="仿宋" w:cs="仿宋_GB2312"/>
          <w:color w:val="000000"/>
          <w:kern w:val="0"/>
          <w:sz w:val="32"/>
          <w:szCs w:val="32"/>
          <w:shd w:val="clear" w:color="auto" w:fill="FFFFFF"/>
        </w:rPr>
        <w:t>体系</w:t>
      </w:r>
      <w:r>
        <w:rPr>
          <w:rFonts w:ascii="仿宋" w:hAnsi="仿宋" w:eastAsia="仿宋" w:cs="仿宋_GB2312"/>
          <w:color w:val="000000"/>
          <w:kern w:val="0"/>
          <w:sz w:val="32"/>
          <w:szCs w:val="32"/>
          <w:shd w:val="clear" w:color="auto" w:fill="FFFFFF"/>
        </w:rPr>
        <w:t>》评分，得分</w:t>
      </w:r>
      <w:r>
        <w:rPr>
          <w:rFonts w:hint="eastAsia" w:ascii="仿宋" w:hAnsi="仿宋" w:eastAsia="仿宋" w:cs="仿宋_GB2312"/>
          <w:color w:val="000000"/>
          <w:kern w:val="0"/>
          <w:sz w:val="32"/>
          <w:szCs w:val="32"/>
          <w:shd w:val="clear" w:color="auto" w:fill="FFFFFF"/>
        </w:rPr>
        <w:t>96</w:t>
      </w:r>
      <w:r>
        <w:rPr>
          <w:rFonts w:ascii="仿宋" w:hAnsi="仿宋" w:eastAsia="仿宋" w:cs="仿宋_GB2312"/>
          <w:color w:val="000000"/>
          <w:kern w:val="0"/>
          <w:sz w:val="32"/>
          <w:szCs w:val="32"/>
          <w:shd w:val="clear" w:color="auto" w:fill="FFFFFF"/>
        </w:rPr>
        <w:t>分。</w:t>
      </w:r>
    </w:p>
    <w:p>
      <w:pPr>
        <w:widowControl/>
        <w:shd w:val="clear" w:color="auto" w:fill="FFFFFF"/>
        <w:spacing w:line="540" w:lineRule="atLeast"/>
        <w:ind w:firstLine="720"/>
        <w:rPr>
          <w:rFonts w:ascii="仿宋" w:hAnsi="仿宋" w:eastAsia="仿宋" w:cs="仿宋_GB2312"/>
          <w:color w:val="000000"/>
          <w:kern w:val="0"/>
          <w:sz w:val="32"/>
          <w:szCs w:val="32"/>
          <w:shd w:val="clear" w:color="auto" w:fill="FFFFFF"/>
        </w:rPr>
      </w:pPr>
    </w:p>
    <w:p>
      <w:pPr>
        <w:widowControl/>
        <w:shd w:val="clear" w:color="auto" w:fill="FFFFFF"/>
        <w:spacing w:line="540" w:lineRule="atLeast"/>
        <w:ind w:firstLine="720"/>
        <w:rPr>
          <w:rFonts w:ascii="仿宋" w:hAnsi="仿宋" w:eastAsia="仿宋" w:cs="仿宋_GB2312"/>
          <w:color w:val="000000"/>
          <w:kern w:val="0"/>
          <w:sz w:val="32"/>
          <w:szCs w:val="32"/>
          <w:shd w:val="clear" w:color="auto" w:fill="FFFFFF"/>
        </w:rPr>
      </w:pPr>
      <w:r>
        <w:rPr>
          <w:rFonts w:ascii="仿宋" w:hAnsi="仿宋" w:eastAsia="仿宋"/>
        </w:rPr>
        <w:drawing>
          <wp:inline distT="0" distB="0" distL="114300" distR="114300">
            <wp:extent cx="5271770" cy="5226050"/>
            <wp:effectExtent l="0" t="0" r="5080" b="1270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a:stretch>
                      <a:fillRect/>
                    </a:stretch>
                  </pic:blipFill>
                  <pic:spPr>
                    <a:xfrm>
                      <a:off x="0" y="0"/>
                      <a:ext cx="5271770" cy="5226050"/>
                    </a:xfrm>
                    <a:prstGeom prst="rect">
                      <a:avLst/>
                    </a:prstGeom>
                    <a:noFill/>
                    <a:ln>
                      <a:noFill/>
                    </a:ln>
                  </pic:spPr>
                </pic:pic>
              </a:graphicData>
            </a:graphic>
          </wp:inline>
        </w:drawing>
      </w:r>
    </w:p>
    <w:p>
      <w:pPr>
        <w:widowControl/>
        <w:shd w:val="clear" w:color="auto" w:fill="FFFFFF"/>
        <w:spacing w:line="540" w:lineRule="atLeast"/>
        <w:rPr>
          <w:rFonts w:ascii="仿宋" w:hAnsi="仿宋" w:eastAsia="仿宋" w:cs="仿宋_GB2312"/>
          <w:color w:val="000000"/>
          <w:kern w:val="0"/>
          <w:sz w:val="32"/>
          <w:szCs w:val="32"/>
          <w:shd w:val="clear" w:color="auto" w:fill="FFFFFF"/>
        </w:rPr>
      </w:pPr>
    </w:p>
    <w:p>
      <w:pPr>
        <w:widowControl/>
        <w:shd w:val="clear" w:color="auto" w:fill="FFFFFF"/>
        <w:spacing w:line="540" w:lineRule="atLeast"/>
        <w:ind w:firstLine="720"/>
        <w:rPr>
          <w:rFonts w:ascii="仿宋" w:hAnsi="仿宋" w:eastAsia="仿宋" w:cs="宋体"/>
          <w:color w:val="000000"/>
          <w:szCs w:val="21"/>
        </w:rPr>
      </w:pPr>
      <w:r>
        <w:rPr>
          <w:rFonts w:ascii="仿宋" w:hAnsi="仿宋" w:eastAsia="仿宋" w:cs="仿宋_GB2312"/>
          <w:color w:val="000000"/>
          <w:kern w:val="0"/>
          <w:sz w:val="32"/>
          <w:szCs w:val="32"/>
          <w:shd w:val="clear" w:color="auto" w:fill="FFFFFF"/>
        </w:rPr>
        <w:t>（二）存在问题。</w:t>
      </w:r>
    </w:p>
    <w:p>
      <w:pPr>
        <w:widowControl/>
        <w:shd w:val="clear" w:color="auto" w:fill="FFFFFF"/>
        <w:spacing w:line="540" w:lineRule="atLeast"/>
        <w:ind w:firstLine="720"/>
        <w:rPr>
          <w:rFonts w:ascii="仿宋" w:hAnsi="仿宋" w:eastAsia="仿宋" w:cs="宋体"/>
          <w:color w:val="000000"/>
          <w:szCs w:val="21"/>
        </w:rPr>
      </w:pPr>
      <w:r>
        <w:rPr>
          <w:rFonts w:ascii="仿宋" w:hAnsi="仿宋" w:eastAsia="仿宋" w:cs="仿宋_GB2312"/>
          <w:color w:val="000000"/>
          <w:kern w:val="0"/>
          <w:sz w:val="32"/>
          <w:szCs w:val="32"/>
          <w:shd w:val="clear" w:color="auto" w:fill="FFFFFF"/>
        </w:rPr>
        <w:t>1、在项目实施中撬动群众筹资筹劳作的还不够好。</w:t>
      </w:r>
    </w:p>
    <w:p>
      <w:pPr>
        <w:widowControl/>
        <w:shd w:val="clear" w:color="auto" w:fill="FFFFFF"/>
        <w:spacing w:line="540" w:lineRule="atLeast"/>
        <w:ind w:firstLine="720"/>
        <w:rPr>
          <w:rFonts w:ascii="仿宋" w:hAnsi="仿宋" w:eastAsia="仿宋" w:cs="仿宋_GB2312"/>
          <w:color w:val="000000"/>
          <w:kern w:val="0"/>
          <w:sz w:val="32"/>
          <w:szCs w:val="32"/>
          <w:shd w:val="clear" w:color="auto" w:fill="FFFFFF"/>
        </w:rPr>
      </w:pPr>
      <w:r>
        <w:rPr>
          <w:rFonts w:ascii="仿宋" w:hAnsi="仿宋" w:eastAsia="仿宋" w:cs="仿宋_GB2312"/>
          <w:color w:val="000000"/>
          <w:kern w:val="0"/>
          <w:sz w:val="32"/>
          <w:szCs w:val="32"/>
          <w:shd w:val="clear" w:color="auto" w:fill="FFFFFF"/>
        </w:rPr>
        <w:t>2、在年初预算时，只是对基本运转为民生板块做了保障，对于一些突发性和临时性工作预算做的还不到位。</w:t>
      </w:r>
    </w:p>
    <w:p>
      <w:pPr>
        <w:widowControl/>
        <w:shd w:val="clear" w:color="auto" w:fill="FFFFFF"/>
        <w:spacing w:line="540" w:lineRule="atLeast"/>
        <w:ind w:firstLine="720"/>
        <w:rPr>
          <w:rFonts w:ascii="仿宋" w:hAnsi="仿宋" w:eastAsia="仿宋" w:cs="宋体"/>
          <w:color w:val="000000"/>
          <w:szCs w:val="21"/>
        </w:rPr>
      </w:pPr>
      <w:r>
        <w:rPr>
          <w:rFonts w:ascii="仿宋" w:hAnsi="仿宋" w:eastAsia="仿宋" w:cs="仿宋_GB2312"/>
          <w:color w:val="000000"/>
          <w:kern w:val="0"/>
          <w:sz w:val="32"/>
          <w:szCs w:val="32"/>
          <w:shd w:val="clear" w:color="auto" w:fill="FFFFFF"/>
        </w:rPr>
        <w:t>（三）改进建议。</w:t>
      </w:r>
    </w:p>
    <w:p>
      <w:pPr>
        <w:widowControl/>
        <w:shd w:val="clear" w:color="auto" w:fill="FFFFFF"/>
        <w:spacing w:line="540" w:lineRule="atLeast"/>
        <w:ind w:firstLine="720"/>
        <w:rPr>
          <w:rFonts w:ascii="仿宋" w:hAnsi="仿宋" w:eastAsia="仿宋" w:cs="宋体"/>
          <w:color w:val="000000"/>
          <w:szCs w:val="21"/>
        </w:rPr>
      </w:pPr>
      <w:r>
        <w:rPr>
          <w:rFonts w:ascii="仿宋" w:hAnsi="仿宋" w:eastAsia="仿宋" w:cs="仿宋_GB2312"/>
          <w:color w:val="000000"/>
          <w:kern w:val="0"/>
          <w:sz w:val="32"/>
          <w:szCs w:val="32"/>
          <w:shd w:val="clear" w:color="auto" w:fill="FFFFFF"/>
        </w:rPr>
        <w:t>1、切实做好宣传工作，在项目的实施前要让所涉及群众不光是要知道项目，而是要弄懂项目，参与到项目中来，要让政府做，变为群众做。</w:t>
      </w:r>
    </w:p>
    <w:p>
      <w:pPr>
        <w:widowControl/>
        <w:shd w:val="clear" w:color="auto" w:fill="FFFFFF"/>
        <w:spacing w:line="540" w:lineRule="atLeast"/>
        <w:ind w:firstLine="720"/>
        <w:rPr>
          <w:rFonts w:ascii="仿宋" w:hAnsi="仿宋" w:eastAsia="仿宋" w:cs="仿宋_GB2312"/>
          <w:color w:val="000000"/>
          <w:kern w:val="0"/>
          <w:sz w:val="32"/>
          <w:szCs w:val="32"/>
          <w:shd w:val="clear" w:color="auto" w:fill="FFFFFF"/>
        </w:rPr>
      </w:pPr>
      <w:r>
        <w:rPr>
          <w:rFonts w:ascii="仿宋" w:hAnsi="仿宋" w:eastAsia="仿宋" w:cs="仿宋_GB2312"/>
          <w:color w:val="000000"/>
          <w:kern w:val="0"/>
          <w:sz w:val="32"/>
          <w:szCs w:val="32"/>
          <w:shd w:val="clear" w:color="auto" w:fill="FFFFFF"/>
        </w:rPr>
        <w:t>2、加强各项调研，增强对未发生事项的预见性，使预算做的更细化。</w:t>
      </w:r>
    </w:p>
    <w:p>
      <w:pPr>
        <w:widowControl/>
        <w:shd w:val="clear" w:color="auto" w:fill="FFFFFF"/>
        <w:spacing w:line="540" w:lineRule="atLeast"/>
        <w:ind w:firstLine="720"/>
        <w:rPr>
          <w:rFonts w:ascii="仿宋_GB2312" w:hAnsi="宋体" w:eastAsia="仿宋_GB2312" w:cs="仿宋_GB2312"/>
          <w:color w:val="000000"/>
          <w:kern w:val="0"/>
          <w:sz w:val="32"/>
          <w:szCs w:val="32"/>
          <w:shd w:val="clear" w:color="auto" w:fill="FFFFFF"/>
        </w:rPr>
      </w:pPr>
    </w:p>
    <w:p>
      <w:pPr>
        <w:widowControl/>
        <w:shd w:val="clear" w:color="auto" w:fill="FFFFFF"/>
        <w:spacing w:line="540" w:lineRule="atLeast"/>
        <w:ind w:firstLine="720"/>
        <w:rPr>
          <w:rFonts w:ascii="仿宋_GB2312" w:hAnsi="宋体" w:eastAsia="仿宋_GB2312" w:cs="仿宋_GB2312"/>
          <w:color w:val="000000"/>
          <w:kern w:val="0"/>
          <w:sz w:val="32"/>
          <w:szCs w:val="32"/>
          <w:shd w:val="clear" w:color="auto" w:fill="FFFFFF"/>
        </w:rPr>
      </w:pPr>
    </w:p>
    <w:p>
      <w:pPr>
        <w:widowControl/>
        <w:shd w:val="clear" w:color="auto" w:fill="FFFFFF"/>
        <w:spacing w:line="540" w:lineRule="atLeast"/>
        <w:ind w:firstLine="720"/>
        <w:rPr>
          <w:rFonts w:ascii="仿宋_GB2312" w:hAnsi="宋体" w:eastAsia="仿宋_GB2312" w:cs="仿宋_GB2312"/>
          <w:color w:val="000000"/>
          <w:kern w:val="0"/>
          <w:sz w:val="32"/>
          <w:szCs w:val="32"/>
          <w:shd w:val="clear" w:color="auto" w:fill="FFFFFF"/>
        </w:rPr>
      </w:pPr>
    </w:p>
    <w:p>
      <w:pPr>
        <w:widowControl/>
        <w:shd w:val="clear" w:color="auto" w:fill="FFFFFF"/>
        <w:spacing w:line="540" w:lineRule="atLeast"/>
        <w:ind w:firstLine="720"/>
        <w:rPr>
          <w:rFonts w:ascii="仿宋_GB2312" w:hAnsi="宋体" w:eastAsia="仿宋_GB2312" w:cs="仿宋_GB2312"/>
          <w:color w:val="000000"/>
          <w:kern w:val="0"/>
          <w:sz w:val="32"/>
          <w:szCs w:val="32"/>
          <w:shd w:val="clear" w:color="auto" w:fill="FFFFFF"/>
        </w:rPr>
      </w:pPr>
    </w:p>
    <w:p>
      <w:pPr>
        <w:widowControl/>
        <w:shd w:val="clear" w:color="auto" w:fill="FFFFFF"/>
        <w:spacing w:line="540" w:lineRule="atLeast"/>
        <w:ind w:firstLine="720"/>
        <w:rPr>
          <w:rFonts w:ascii="仿宋_GB2312" w:hAnsi="宋体" w:eastAsia="仿宋_GB2312" w:cs="仿宋_GB2312"/>
          <w:color w:val="000000"/>
          <w:kern w:val="0"/>
          <w:sz w:val="32"/>
          <w:szCs w:val="32"/>
          <w:shd w:val="clear" w:color="auto" w:fill="FFFFFF"/>
        </w:rPr>
      </w:pPr>
    </w:p>
    <w:p>
      <w:pPr>
        <w:widowControl/>
        <w:shd w:val="clear" w:color="auto" w:fill="FFFFFF"/>
        <w:spacing w:line="540" w:lineRule="atLeast"/>
        <w:ind w:firstLine="720"/>
        <w:rPr>
          <w:rFonts w:ascii="仿宋_GB2312" w:hAnsi="宋体" w:eastAsia="仿宋_GB2312" w:cs="仿宋_GB2312"/>
          <w:color w:val="000000"/>
          <w:kern w:val="0"/>
          <w:sz w:val="32"/>
          <w:szCs w:val="32"/>
          <w:shd w:val="clear" w:color="auto" w:fill="FFFFFF"/>
        </w:rPr>
      </w:pPr>
    </w:p>
    <w:p>
      <w:pPr>
        <w:widowControl/>
        <w:shd w:val="clear" w:color="auto" w:fill="FFFFFF"/>
        <w:spacing w:line="540" w:lineRule="atLeast"/>
        <w:ind w:firstLine="720"/>
        <w:rPr>
          <w:rFonts w:ascii="仿宋_GB2312" w:hAnsi="宋体" w:eastAsia="仿宋_GB2312" w:cs="仿宋_GB2312"/>
          <w:color w:val="000000"/>
          <w:kern w:val="0"/>
          <w:sz w:val="32"/>
          <w:szCs w:val="32"/>
          <w:shd w:val="clear" w:color="auto" w:fill="FFFFFF"/>
        </w:rPr>
      </w:pPr>
    </w:p>
    <w:p>
      <w:pPr>
        <w:widowControl/>
        <w:shd w:val="clear" w:color="auto" w:fill="FFFFFF"/>
        <w:spacing w:line="540" w:lineRule="atLeast"/>
        <w:ind w:firstLine="720"/>
        <w:rPr>
          <w:rFonts w:ascii="仿宋_GB2312" w:hAnsi="宋体" w:eastAsia="仿宋_GB2312" w:cs="仿宋_GB2312"/>
          <w:color w:val="000000"/>
          <w:kern w:val="0"/>
          <w:sz w:val="32"/>
          <w:szCs w:val="32"/>
          <w:shd w:val="clear" w:color="auto" w:fill="FFFFFF"/>
        </w:rPr>
      </w:pPr>
    </w:p>
    <w:p>
      <w:pPr>
        <w:widowControl/>
        <w:shd w:val="clear" w:color="auto" w:fill="FFFFFF"/>
        <w:spacing w:line="540" w:lineRule="atLeast"/>
        <w:ind w:firstLine="720"/>
        <w:rPr>
          <w:rFonts w:ascii="仿宋_GB2312" w:hAnsi="宋体" w:eastAsia="仿宋_GB2312" w:cs="仿宋_GB2312"/>
          <w:color w:val="000000"/>
          <w:kern w:val="0"/>
          <w:sz w:val="32"/>
          <w:szCs w:val="32"/>
          <w:shd w:val="clear" w:color="auto" w:fill="FFFFFF"/>
        </w:rPr>
      </w:pPr>
    </w:p>
    <w:p>
      <w:pPr>
        <w:widowControl/>
        <w:shd w:val="clear" w:color="auto" w:fill="FFFFFF"/>
        <w:spacing w:line="540" w:lineRule="atLeast"/>
        <w:ind w:firstLine="720"/>
        <w:rPr>
          <w:rFonts w:ascii="仿宋_GB2312" w:hAnsi="宋体" w:eastAsia="仿宋_GB2312" w:cs="仿宋_GB2312"/>
          <w:color w:val="000000"/>
          <w:kern w:val="0"/>
          <w:sz w:val="32"/>
          <w:szCs w:val="32"/>
          <w:shd w:val="clear" w:color="auto" w:fill="FFFFFF"/>
        </w:rPr>
      </w:pPr>
    </w:p>
    <w:p>
      <w:pPr>
        <w:widowControl/>
        <w:shd w:val="clear" w:color="auto" w:fill="FFFFFF"/>
        <w:spacing w:line="540" w:lineRule="atLeast"/>
        <w:ind w:firstLine="720"/>
        <w:rPr>
          <w:rFonts w:ascii="仿宋_GB2312" w:hAnsi="宋体" w:eastAsia="仿宋_GB2312" w:cs="仿宋_GB2312"/>
          <w:color w:val="000000"/>
          <w:kern w:val="0"/>
          <w:sz w:val="32"/>
          <w:szCs w:val="32"/>
          <w:shd w:val="clear" w:color="auto" w:fill="FFFFFF"/>
        </w:rPr>
      </w:pPr>
    </w:p>
    <w:p>
      <w:pPr>
        <w:widowControl/>
        <w:shd w:val="clear" w:color="auto" w:fill="FFFFFF"/>
        <w:spacing w:line="540" w:lineRule="atLeast"/>
        <w:ind w:firstLine="720"/>
        <w:rPr>
          <w:rFonts w:ascii="仿宋_GB2312" w:hAnsi="宋体" w:eastAsia="仿宋_GB2312" w:cs="仿宋_GB2312"/>
          <w:color w:val="000000"/>
          <w:kern w:val="0"/>
          <w:sz w:val="32"/>
          <w:szCs w:val="32"/>
          <w:shd w:val="clear" w:color="auto" w:fill="FFFFFF"/>
        </w:rPr>
      </w:pPr>
    </w:p>
    <w:p>
      <w:pPr>
        <w:widowControl/>
        <w:shd w:val="clear" w:color="auto" w:fill="FFFFFF"/>
        <w:spacing w:line="540" w:lineRule="atLeast"/>
        <w:ind w:firstLine="720"/>
        <w:rPr>
          <w:rFonts w:hint="eastAsia" w:ascii="仿宋_GB2312" w:hAnsi="宋体" w:eastAsia="仿宋_GB2312" w:cs="仿宋_GB2312"/>
          <w:color w:val="000000"/>
          <w:kern w:val="0"/>
          <w:sz w:val="32"/>
          <w:szCs w:val="32"/>
          <w:shd w:val="clear" w:color="auto" w:fill="FFFFFF"/>
        </w:rPr>
      </w:pPr>
    </w:p>
    <w:p>
      <w:pPr>
        <w:widowControl/>
        <w:shd w:val="clear" w:color="auto" w:fill="FFFFFF"/>
        <w:spacing w:line="540" w:lineRule="atLeast"/>
        <w:ind w:firstLine="720"/>
        <w:rPr>
          <w:rFonts w:hint="eastAsia" w:ascii="仿宋_GB2312" w:hAnsi="宋体" w:eastAsia="仿宋_GB2312" w:cs="仿宋_GB2312"/>
          <w:color w:val="000000"/>
          <w:kern w:val="0"/>
          <w:sz w:val="32"/>
          <w:szCs w:val="32"/>
          <w:shd w:val="clear" w:color="auto" w:fill="FFFFFF"/>
        </w:rPr>
      </w:pPr>
    </w:p>
    <w:p>
      <w:pPr>
        <w:widowControl/>
        <w:shd w:val="clear" w:color="auto" w:fill="FFFFFF"/>
        <w:spacing w:line="540" w:lineRule="atLeast"/>
        <w:ind w:firstLine="720"/>
        <w:rPr>
          <w:rFonts w:ascii="仿宋_GB2312" w:hAnsi="宋体" w:eastAsia="仿宋_GB2312" w:cs="仿宋_GB2312"/>
          <w:color w:val="000000"/>
          <w:kern w:val="0"/>
          <w:sz w:val="32"/>
          <w:szCs w:val="32"/>
          <w:shd w:val="clear" w:color="auto" w:fill="FFFFFF"/>
        </w:rPr>
      </w:pPr>
    </w:p>
    <w:p>
      <w:bookmarkStart w:id="56" w:name="_Toc15396617"/>
    </w:p>
    <w:bookmarkEnd w:id="56"/>
    <w:p>
      <w:pPr>
        <w:spacing w:line="600" w:lineRule="exact"/>
        <w:jc w:val="center"/>
        <w:outlineLvl w:val="0"/>
        <w:rPr>
          <w:rStyle w:val="14"/>
          <w:rFonts w:ascii="黑体" w:hAnsi="黑体" w:eastAsia="黑体"/>
          <w:b w:val="0"/>
        </w:rPr>
      </w:pPr>
      <w:bookmarkStart w:id="57" w:name="_Toc15396618"/>
      <w:r>
        <w:rPr>
          <w:rFonts w:hint="eastAsia" w:ascii="黑体" w:hAnsi="黑体" w:eastAsia="黑体"/>
          <w:sz w:val="44"/>
          <w:szCs w:val="44"/>
        </w:rPr>
        <w:t>第</w:t>
      </w:r>
      <w:r>
        <w:rPr>
          <w:rStyle w:val="14"/>
          <w:rFonts w:hint="eastAsia" w:ascii="黑体" w:hAnsi="黑体" w:eastAsia="黑体"/>
          <w:b w:val="0"/>
        </w:rPr>
        <w:t>五部分 附表</w:t>
      </w:r>
      <w:bookmarkEnd w:id="53"/>
      <w:bookmarkEnd w:id="57"/>
    </w:p>
    <w:p>
      <w:pPr>
        <w:spacing w:line="600" w:lineRule="exact"/>
        <w:jc w:val="center"/>
        <w:outlineLvl w:val="0"/>
        <w:rPr>
          <w:rFonts w:ascii="仿宋" w:hAnsi="仿宋" w:eastAsia="仿宋"/>
          <w:b/>
          <w:sz w:val="44"/>
          <w:szCs w:val="44"/>
        </w:rPr>
      </w:pPr>
    </w:p>
    <w:p>
      <w:pPr>
        <w:widowControl/>
        <w:shd w:val="clear" w:color="auto" w:fill="FFFFFF"/>
        <w:spacing w:line="540" w:lineRule="atLeast"/>
        <w:ind w:firstLine="720"/>
        <w:rPr>
          <w:rFonts w:ascii="仿宋_GB2312" w:hAnsi="宋体" w:eastAsia="仿宋_GB2312" w:cs="仿宋_GB2312"/>
          <w:color w:val="000000"/>
          <w:kern w:val="0"/>
          <w:sz w:val="32"/>
          <w:szCs w:val="32"/>
          <w:shd w:val="clear" w:color="auto" w:fill="FFFFFF"/>
        </w:rPr>
      </w:pPr>
      <w:bookmarkStart w:id="58" w:name="_Toc15396619"/>
      <w:r>
        <w:rPr>
          <w:rFonts w:hint="eastAsia" w:ascii="仿宋_GB2312" w:hAnsi="宋体" w:eastAsia="仿宋_GB2312" w:cs="仿宋_GB2312"/>
          <w:color w:val="000000"/>
          <w:kern w:val="0"/>
          <w:sz w:val="32"/>
          <w:szCs w:val="32"/>
          <w:shd w:val="clear" w:color="auto" w:fill="FFFFFF"/>
        </w:rPr>
        <w:t>一、收入支出决算总表</w:t>
      </w:r>
      <w:bookmarkEnd w:id="58"/>
    </w:p>
    <w:p>
      <w:pPr>
        <w:widowControl/>
        <w:shd w:val="clear" w:color="auto" w:fill="FFFFFF"/>
        <w:spacing w:line="540" w:lineRule="atLeast"/>
        <w:ind w:firstLine="720"/>
        <w:rPr>
          <w:rFonts w:ascii="仿宋_GB2312" w:hAnsi="宋体" w:eastAsia="仿宋_GB2312" w:cs="仿宋_GB2312"/>
          <w:color w:val="000000"/>
          <w:kern w:val="0"/>
          <w:sz w:val="32"/>
          <w:szCs w:val="32"/>
          <w:shd w:val="clear" w:color="auto" w:fill="FFFFFF"/>
        </w:rPr>
      </w:pPr>
      <w:bookmarkStart w:id="59" w:name="_Toc15396620"/>
      <w:r>
        <w:rPr>
          <w:rFonts w:hint="eastAsia" w:ascii="仿宋_GB2312" w:hAnsi="宋体" w:eastAsia="仿宋_GB2312" w:cs="仿宋_GB2312"/>
          <w:color w:val="000000"/>
          <w:kern w:val="0"/>
          <w:sz w:val="32"/>
          <w:szCs w:val="32"/>
          <w:shd w:val="clear" w:color="auto" w:fill="FFFFFF"/>
        </w:rPr>
        <w:t>二、收入总表</w:t>
      </w:r>
      <w:bookmarkEnd w:id="59"/>
    </w:p>
    <w:p>
      <w:pPr>
        <w:widowControl/>
        <w:shd w:val="clear" w:color="auto" w:fill="FFFFFF"/>
        <w:spacing w:line="540" w:lineRule="atLeast"/>
        <w:ind w:firstLine="720"/>
        <w:rPr>
          <w:rFonts w:ascii="仿宋_GB2312" w:hAnsi="宋体" w:eastAsia="仿宋_GB2312" w:cs="仿宋_GB2312"/>
          <w:color w:val="000000"/>
          <w:kern w:val="0"/>
          <w:sz w:val="32"/>
          <w:szCs w:val="32"/>
          <w:shd w:val="clear" w:color="auto" w:fill="FFFFFF"/>
        </w:rPr>
      </w:pPr>
      <w:bookmarkStart w:id="60" w:name="_Toc15396621"/>
      <w:r>
        <w:rPr>
          <w:rFonts w:hint="eastAsia" w:ascii="仿宋_GB2312" w:hAnsi="宋体" w:eastAsia="仿宋_GB2312" w:cs="仿宋_GB2312"/>
          <w:color w:val="000000"/>
          <w:kern w:val="0"/>
          <w:sz w:val="32"/>
          <w:szCs w:val="32"/>
          <w:shd w:val="clear" w:color="auto" w:fill="FFFFFF"/>
        </w:rPr>
        <w:t>三、支出总表</w:t>
      </w:r>
      <w:bookmarkEnd w:id="60"/>
    </w:p>
    <w:p>
      <w:pPr>
        <w:widowControl/>
        <w:shd w:val="clear" w:color="auto" w:fill="FFFFFF"/>
        <w:spacing w:line="540" w:lineRule="atLeast"/>
        <w:ind w:firstLine="720"/>
        <w:rPr>
          <w:rFonts w:ascii="仿宋_GB2312" w:hAnsi="宋体" w:eastAsia="仿宋_GB2312" w:cs="仿宋_GB2312"/>
          <w:color w:val="000000"/>
          <w:kern w:val="0"/>
          <w:sz w:val="32"/>
          <w:szCs w:val="32"/>
          <w:shd w:val="clear" w:color="auto" w:fill="FFFFFF"/>
        </w:rPr>
      </w:pPr>
      <w:bookmarkStart w:id="61" w:name="_Toc15396622"/>
      <w:r>
        <w:rPr>
          <w:rFonts w:hint="eastAsia" w:ascii="仿宋_GB2312" w:hAnsi="宋体" w:eastAsia="仿宋_GB2312" w:cs="仿宋_GB2312"/>
          <w:color w:val="000000"/>
          <w:kern w:val="0"/>
          <w:sz w:val="32"/>
          <w:szCs w:val="32"/>
          <w:shd w:val="clear" w:color="auto" w:fill="FFFFFF"/>
        </w:rPr>
        <w:t>四、财政拨款收入支出决算总表</w:t>
      </w:r>
      <w:bookmarkEnd w:id="61"/>
    </w:p>
    <w:p>
      <w:pPr>
        <w:widowControl/>
        <w:shd w:val="clear" w:color="auto" w:fill="FFFFFF"/>
        <w:spacing w:line="540" w:lineRule="atLeast"/>
        <w:ind w:firstLine="720"/>
        <w:rPr>
          <w:rFonts w:ascii="仿宋_GB2312" w:hAnsi="宋体" w:eastAsia="仿宋_GB2312" w:cs="仿宋_GB2312"/>
          <w:color w:val="000000"/>
          <w:kern w:val="0"/>
          <w:sz w:val="32"/>
          <w:szCs w:val="32"/>
          <w:shd w:val="clear" w:color="auto" w:fill="FFFFFF"/>
        </w:rPr>
      </w:pPr>
      <w:bookmarkStart w:id="62" w:name="_Toc15396623"/>
      <w:r>
        <w:rPr>
          <w:rFonts w:hint="eastAsia" w:ascii="仿宋_GB2312" w:hAnsi="宋体" w:eastAsia="仿宋_GB2312" w:cs="仿宋_GB2312"/>
          <w:color w:val="000000"/>
          <w:kern w:val="0"/>
          <w:sz w:val="32"/>
          <w:szCs w:val="32"/>
          <w:shd w:val="clear" w:color="auto" w:fill="FFFFFF"/>
        </w:rPr>
        <w:t>五、财政拨款支出决算明细表（政府经济分类科目）</w:t>
      </w:r>
      <w:bookmarkEnd w:id="62"/>
    </w:p>
    <w:p>
      <w:pPr>
        <w:widowControl/>
        <w:shd w:val="clear" w:color="auto" w:fill="FFFFFF"/>
        <w:spacing w:line="540" w:lineRule="atLeast"/>
        <w:ind w:firstLine="720"/>
        <w:rPr>
          <w:rFonts w:ascii="仿宋_GB2312" w:hAnsi="宋体" w:eastAsia="仿宋_GB2312" w:cs="仿宋_GB2312"/>
          <w:color w:val="000000"/>
          <w:kern w:val="0"/>
          <w:sz w:val="32"/>
          <w:szCs w:val="32"/>
          <w:shd w:val="clear" w:color="auto" w:fill="FFFFFF"/>
        </w:rPr>
      </w:pPr>
      <w:bookmarkStart w:id="63" w:name="_Toc15396624"/>
      <w:r>
        <w:rPr>
          <w:rFonts w:hint="eastAsia" w:ascii="仿宋_GB2312" w:hAnsi="宋体" w:eastAsia="仿宋_GB2312" w:cs="仿宋_GB2312"/>
          <w:color w:val="000000"/>
          <w:kern w:val="0"/>
          <w:sz w:val="32"/>
          <w:szCs w:val="32"/>
          <w:shd w:val="clear" w:color="auto" w:fill="FFFFFF"/>
        </w:rPr>
        <w:t>六、一般公共预算财政拨款支出决算表</w:t>
      </w:r>
      <w:bookmarkEnd w:id="63"/>
    </w:p>
    <w:p>
      <w:pPr>
        <w:widowControl/>
        <w:shd w:val="clear" w:color="auto" w:fill="FFFFFF"/>
        <w:spacing w:line="540" w:lineRule="atLeast"/>
        <w:ind w:firstLine="720"/>
        <w:rPr>
          <w:rFonts w:ascii="仿宋_GB2312" w:hAnsi="宋体" w:eastAsia="仿宋_GB2312" w:cs="仿宋_GB2312"/>
          <w:color w:val="000000"/>
          <w:kern w:val="0"/>
          <w:sz w:val="32"/>
          <w:szCs w:val="32"/>
          <w:shd w:val="clear" w:color="auto" w:fill="FFFFFF"/>
        </w:rPr>
      </w:pPr>
      <w:bookmarkStart w:id="64" w:name="_Toc15396625"/>
      <w:r>
        <w:rPr>
          <w:rFonts w:hint="eastAsia" w:ascii="仿宋_GB2312" w:hAnsi="宋体" w:eastAsia="仿宋_GB2312" w:cs="仿宋_GB2312"/>
          <w:color w:val="000000"/>
          <w:kern w:val="0"/>
          <w:sz w:val="32"/>
          <w:szCs w:val="32"/>
          <w:shd w:val="clear" w:color="auto" w:fill="FFFFFF"/>
        </w:rPr>
        <w:t>七、一般公共预算财政拨款支出决算明细表</w:t>
      </w:r>
      <w:bookmarkEnd w:id="64"/>
    </w:p>
    <w:p>
      <w:pPr>
        <w:widowControl/>
        <w:shd w:val="clear" w:color="auto" w:fill="FFFFFF"/>
        <w:spacing w:line="540" w:lineRule="atLeast"/>
        <w:ind w:firstLine="720"/>
        <w:rPr>
          <w:rFonts w:ascii="仿宋_GB2312" w:hAnsi="宋体" w:eastAsia="仿宋_GB2312" w:cs="仿宋_GB2312"/>
          <w:color w:val="000000"/>
          <w:kern w:val="0"/>
          <w:sz w:val="32"/>
          <w:szCs w:val="32"/>
          <w:shd w:val="clear" w:color="auto" w:fill="FFFFFF"/>
        </w:rPr>
      </w:pPr>
      <w:bookmarkStart w:id="65" w:name="_Toc15396626"/>
      <w:r>
        <w:rPr>
          <w:rFonts w:hint="eastAsia" w:ascii="仿宋_GB2312" w:hAnsi="宋体" w:eastAsia="仿宋_GB2312" w:cs="仿宋_GB2312"/>
          <w:color w:val="000000"/>
          <w:kern w:val="0"/>
          <w:sz w:val="32"/>
          <w:szCs w:val="32"/>
          <w:shd w:val="clear" w:color="auto" w:fill="FFFFFF"/>
        </w:rPr>
        <w:t>八、一般公共预算财政拨款基本支出决算表</w:t>
      </w:r>
      <w:bookmarkEnd w:id="65"/>
    </w:p>
    <w:p>
      <w:pPr>
        <w:widowControl/>
        <w:shd w:val="clear" w:color="auto" w:fill="FFFFFF"/>
        <w:spacing w:line="540" w:lineRule="atLeast"/>
        <w:ind w:firstLine="720"/>
        <w:rPr>
          <w:rFonts w:ascii="仿宋_GB2312" w:hAnsi="宋体" w:eastAsia="仿宋_GB2312" w:cs="仿宋_GB2312"/>
          <w:color w:val="000000"/>
          <w:kern w:val="0"/>
          <w:sz w:val="32"/>
          <w:szCs w:val="32"/>
          <w:shd w:val="clear" w:color="auto" w:fill="FFFFFF"/>
        </w:rPr>
      </w:pPr>
      <w:bookmarkStart w:id="66" w:name="_Toc15396627"/>
      <w:r>
        <w:rPr>
          <w:rFonts w:hint="eastAsia" w:ascii="仿宋_GB2312" w:hAnsi="宋体" w:eastAsia="仿宋_GB2312" w:cs="仿宋_GB2312"/>
          <w:color w:val="000000"/>
          <w:kern w:val="0"/>
          <w:sz w:val="32"/>
          <w:szCs w:val="32"/>
          <w:shd w:val="clear" w:color="auto" w:fill="FFFFFF"/>
        </w:rPr>
        <w:t>九、一般公共预算财政拨款项目支出决算表</w:t>
      </w:r>
      <w:bookmarkEnd w:id="66"/>
    </w:p>
    <w:p>
      <w:pPr>
        <w:widowControl/>
        <w:shd w:val="clear" w:color="auto" w:fill="FFFFFF"/>
        <w:spacing w:line="540" w:lineRule="atLeast"/>
        <w:ind w:firstLine="720"/>
        <w:rPr>
          <w:rFonts w:ascii="仿宋_GB2312" w:hAnsi="宋体" w:eastAsia="仿宋_GB2312" w:cs="仿宋_GB2312"/>
          <w:color w:val="000000"/>
          <w:kern w:val="0"/>
          <w:sz w:val="32"/>
          <w:szCs w:val="32"/>
          <w:shd w:val="clear" w:color="auto" w:fill="FFFFFF"/>
        </w:rPr>
      </w:pPr>
      <w:bookmarkStart w:id="67" w:name="_Toc15396628"/>
      <w:r>
        <w:rPr>
          <w:rFonts w:hint="eastAsia" w:ascii="仿宋_GB2312" w:hAnsi="宋体" w:eastAsia="仿宋_GB2312" w:cs="仿宋_GB2312"/>
          <w:color w:val="000000"/>
          <w:kern w:val="0"/>
          <w:sz w:val="32"/>
          <w:szCs w:val="32"/>
          <w:shd w:val="clear" w:color="auto" w:fill="FFFFFF"/>
        </w:rPr>
        <w:t>十、一般公共预算财政拨款“三公”经费支出决算表</w:t>
      </w:r>
      <w:bookmarkEnd w:id="67"/>
    </w:p>
    <w:p>
      <w:pPr>
        <w:widowControl/>
        <w:shd w:val="clear" w:color="auto" w:fill="FFFFFF"/>
        <w:spacing w:line="540" w:lineRule="atLeast"/>
        <w:ind w:firstLine="720"/>
        <w:rPr>
          <w:rFonts w:ascii="仿宋_GB2312" w:hAnsi="宋体" w:eastAsia="仿宋_GB2312" w:cs="仿宋_GB2312"/>
          <w:color w:val="000000"/>
          <w:kern w:val="0"/>
          <w:sz w:val="32"/>
          <w:szCs w:val="32"/>
          <w:shd w:val="clear" w:color="auto" w:fill="FFFFFF"/>
        </w:rPr>
      </w:pPr>
      <w:bookmarkStart w:id="68" w:name="_Toc15396629"/>
      <w:r>
        <w:rPr>
          <w:rFonts w:hint="eastAsia" w:ascii="仿宋_GB2312" w:hAnsi="宋体" w:eastAsia="仿宋_GB2312" w:cs="仿宋_GB2312"/>
          <w:color w:val="000000"/>
          <w:kern w:val="0"/>
          <w:sz w:val="32"/>
          <w:szCs w:val="32"/>
          <w:shd w:val="clear" w:color="auto" w:fill="FFFFFF"/>
        </w:rPr>
        <w:t>十一、政府性基金预算财政拨款收入支出决算表</w:t>
      </w:r>
      <w:bookmarkEnd w:id="68"/>
    </w:p>
    <w:p>
      <w:pPr>
        <w:widowControl/>
        <w:shd w:val="clear" w:color="auto" w:fill="FFFFFF"/>
        <w:spacing w:line="540" w:lineRule="atLeast"/>
        <w:ind w:firstLine="720"/>
        <w:rPr>
          <w:rFonts w:ascii="仿宋_GB2312" w:hAnsi="宋体" w:eastAsia="仿宋_GB2312" w:cs="仿宋_GB2312"/>
          <w:color w:val="000000"/>
          <w:kern w:val="0"/>
          <w:sz w:val="32"/>
          <w:szCs w:val="32"/>
          <w:shd w:val="clear" w:color="auto" w:fill="FFFFFF"/>
        </w:rPr>
      </w:pPr>
      <w:bookmarkStart w:id="69" w:name="_Toc15396630"/>
      <w:r>
        <w:rPr>
          <w:rFonts w:hint="eastAsia" w:ascii="仿宋_GB2312" w:hAnsi="宋体" w:eastAsia="仿宋_GB2312" w:cs="仿宋_GB2312"/>
          <w:color w:val="000000"/>
          <w:kern w:val="0"/>
          <w:sz w:val="32"/>
          <w:szCs w:val="32"/>
          <w:shd w:val="clear" w:color="auto" w:fill="FFFFFF"/>
        </w:rPr>
        <w:t>十二、政府性基金预算财政拨款“三公”经费支出决算表</w:t>
      </w:r>
      <w:bookmarkEnd w:id="69"/>
    </w:p>
    <w:p>
      <w:pPr>
        <w:widowControl/>
        <w:shd w:val="clear" w:color="auto" w:fill="FFFFFF"/>
        <w:spacing w:line="540" w:lineRule="atLeast"/>
        <w:ind w:firstLine="720"/>
        <w:rPr>
          <w:rFonts w:ascii="仿宋_GB2312" w:hAnsi="宋体" w:eastAsia="仿宋_GB2312" w:cs="仿宋_GB2312"/>
          <w:color w:val="000000"/>
          <w:kern w:val="0"/>
          <w:sz w:val="32"/>
          <w:szCs w:val="32"/>
          <w:shd w:val="clear" w:color="auto" w:fill="FFFFFF"/>
        </w:rPr>
      </w:pPr>
      <w:bookmarkStart w:id="70" w:name="_Toc15396631"/>
      <w:r>
        <w:rPr>
          <w:rFonts w:hint="eastAsia" w:ascii="仿宋_GB2312" w:hAnsi="宋体" w:eastAsia="仿宋_GB2312" w:cs="仿宋_GB2312"/>
          <w:color w:val="000000"/>
          <w:kern w:val="0"/>
          <w:sz w:val="32"/>
          <w:szCs w:val="32"/>
          <w:shd w:val="clear" w:color="auto" w:fill="FFFFFF"/>
        </w:rPr>
        <w:t>十三、国有资本经营预算支出决算表</w:t>
      </w:r>
      <w:bookmarkEnd w:id="70"/>
    </w:p>
    <w:p>
      <w:pPr>
        <w:widowControl/>
        <w:shd w:val="clear" w:color="auto" w:fill="FFFFFF"/>
        <w:spacing w:line="540" w:lineRule="atLeast"/>
        <w:ind w:firstLine="720"/>
        <w:rPr>
          <w:rFonts w:ascii="仿宋_GB2312" w:hAnsi="宋体" w:eastAsia="仿宋_GB2312" w:cs="仿宋_GB2312"/>
          <w:color w:val="000000"/>
          <w:kern w:val="0"/>
          <w:sz w:val="32"/>
          <w:szCs w:val="32"/>
          <w:shd w:val="clear" w:color="auto" w:fill="FFFFFF"/>
        </w:rPr>
      </w:pP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6"/>
          <w:jc w:val="center"/>
        </w:pPr>
        <w:r>
          <w:fldChar w:fldCharType="begin"/>
        </w:r>
        <w:r>
          <w:instrText xml:space="preserve">PAGE   \* MERGEFORMAT</w:instrText>
        </w:r>
        <w:r>
          <w:fldChar w:fldCharType="separate"/>
        </w:r>
        <w:r>
          <w:rPr>
            <w:lang w:val="zh-CN"/>
          </w:rPr>
          <w:t>2</w:t>
        </w:r>
        <w:r>
          <w:fldChar w:fldCharType="end"/>
        </w:r>
      </w:p>
    </w:sdtContent>
  </w:sdt>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4">
    <w:nsid w:val="32427BB9"/>
    <w:multiLevelType w:val="singleLevel"/>
    <w:tmpl w:val="32427BB9"/>
    <w:lvl w:ilvl="0" w:tentative="0">
      <w:start w:val="2"/>
      <w:numFmt w:val="chineseCounting"/>
      <w:suff w:val="nothing"/>
      <w:lvlText w:val="%1、"/>
      <w:lvlJc w:val="left"/>
      <w:rPr>
        <w:rFonts w:hint="eastAsia"/>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zg4YWFhY2UwOTI5NDI3YWIyZDk3YzU1NmUyNzQ3MWQifQ=="/>
  </w:docVars>
  <w:rsids>
    <w:rsidRoot w:val="00172A27"/>
    <w:rsid w:val="00081EED"/>
    <w:rsid w:val="00164264"/>
    <w:rsid w:val="00172A27"/>
    <w:rsid w:val="002A12E6"/>
    <w:rsid w:val="002B2428"/>
    <w:rsid w:val="00323AC8"/>
    <w:rsid w:val="00487FBC"/>
    <w:rsid w:val="004924BD"/>
    <w:rsid w:val="00586BBF"/>
    <w:rsid w:val="006533C6"/>
    <w:rsid w:val="006C1E37"/>
    <w:rsid w:val="006C7C2F"/>
    <w:rsid w:val="006F59EC"/>
    <w:rsid w:val="007679A0"/>
    <w:rsid w:val="00866933"/>
    <w:rsid w:val="00A46FCA"/>
    <w:rsid w:val="00A628A4"/>
    <w:rsid w:val="00CB04EC"/>
    <w:rsid w:val="00D86CF5"/>
    <w:rsid w:val="00E65BFC"/>
    <w:rsid w:val="00EA0849"/>
    <w:rsid w:val="00F53688"/>
    <w:rsid w:val="04335951"/>
    <w:rsid w:val="052E38DA"/>
    <w:rsid w:val="061F0E18"/>
    <w:rsid w:val="06903601"/>
    <w:rsid w:val="06F12E3C"/>
    <w:rsid w:val="09A05C90"/>
    <w:rsid w:val="0CDB2B67"/>
    <w:rsid w:val="0D41798E"/>
    <w:rsid w:val="111E5070"/>
    <w:rsid w:val="12CF123E"/>
    <w:rsid w:val="13F91F43"/>
    <w:rsid w:val="143A72A7"/>
    <w:rsid w:val="14C56965"/>
    <w:rsid w:val="150813E4"/>
    <w:rsid w:val="1A0B3BF9"/>
    <w:rsid w:val="1CD6154A"/>
    <w:rsid w:val="1D4826FB"/>
    <w:rsid w:val="21365590"/>
    <w:rsid w:val="22354782"/>
    <w:rsid w:val="234945E8"/>
    <w:rsid w:val="25D45AD9"/>
    <w:rsid w:val="270A5EC1"/>
    <w:rsid w:val="28154D62"/>
    <w:rsid w:val="29C76D38"/>
    <w:rsid w:val="2E950B74"/>
    <w:rsid w:val="2F1B06AE"/>
    <w:rsid w:val="3243365B"/>
    <w:rsid w:val="327072C1"/>
    <w:rsid w:val="33D332E3"/>
    <w:rsid w:val="346017B2"/>
    <w:rsid w:val="35E26545"/>
    <w:rsid w:val="36D07C25"/>
    <w:rsid w:val="376830C8"/>
    <w:rsid w:val="3993202D"/>
    <w:rsid w:val="3C933A07"/>
    <w:rsid w:val="421B0C1D"/>
    <w:rsid w:val="4289187F"/>
    <w:rsid w:val="463F2A6B"/>
    <w:rsid w:val="468E50C7"/>
    <w:rsid w:val="46CA5A09"/>
    <w:rsid w:val="49A54EAE"/>
    <w:rsid w:val="4A0602E2"/>
    <w:rsid w:val="4C915FC1"/>
    <w:rsid w:val="4E225E7B"/>
    <w:rsid w:val="4F1950AB"/>
    <w:rsid w:val="50EF097D"/>
    <w:rsid w:val="518709FE"/>
    <w:rsid w:val="55C97E99"/>
    <w:rsid w:val="570C259F"/>
    <w:rsid w:val="5748523E"/>
    <w:rsid w:val="5797755A"/>
    <w:rsid w:val="58BD6818"/>
    <w:rsid w:val="59957CF9"/>
    <w:rsid w:val="5AC37A67"/>
    <w:rsid w:val="5C91316F"/>
    <w:rsid w:val="5CFB204D"/>
    <w:rsid w:val="5D150757"/>
    <w:rsid w:val="5F230E84"/>
    <w:rsid w:val="624757CE"/>
    <w:rsid w:val="641E1D2E"/>
    <w:rsid w:val="66037DFA"/>
    <w:rsid w:val="67230DB2"/>
    <w:rsid w:val="68237070"/>
    <w:rsid w:val="6BDE057E"/>
    <w:rsid w:val="6C941340"/>
    <w:rsid w:val="6D5F472A"/>
    <w:rsid w:val="6FBC31FC"/>
    <w:rsid w:val="713E00AA"/>
    <w:rsid w:val="719423D0"/>
    <w:rsid w:val="76570677"/>
    <w:rsid w:val="76C62B97"/>
    <w:rsid w:val="79654071"/>
    <w:rsid w:val="7A483B2F"/>
    <w:rsid w:val="7E3C129C"/>
    <w:rsid w:val="7EB3224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99"/>
    <w:pPr>
      <w:spacing w:beforeLines="30"/>
    </w:pPr>
    <w:rPr>
      <w:rFonts w:ascii="仿宋_GB2312" w:eastAsia="仿宋_GB2312"/>
      <w:kern w:val="0"/>
      <w:sz w:val="30"/>
    </w:rPr>
  </w:style>
  <w:style w:type="paragraph" w:styleId="5">
    <w:name w:val="Balloon Text"/>
    <w:basedOn w:val="1"/>
    <w:link w:val="19"/>
    <w:uiPriority w:val="0"/>
    <w:rPr>
      <w:sz w:val="18"/>
      <w:szCs w:val="18"/>
    </w:rPr>
  </w:style>
  <w:style w:type="paragraph" w:styleId="6">
    <w:name w:val="footer"/>
    <w:basedOn w:val="1"/>
    <w:qFormat/>
    <w:uiPriority w:val="99"/>
    <w:pPr>
      <w:tabs>
        <w:tab w:val="center" w:pos="4153"/>
        <w:tab w:val="right" w:pos="8306"/>
      </w:tabs>
      <w:snapToGrid w:val="0"/>
      <w:jc w:val="left"/>
    </w:pPr>
    <w:rPr>
      <w:rFonts w:ascii="Calibri" w:hAnsi="Calibri"/>
      <w:kern w:val="0"/>
      <w:sz w:val="18"/>
      <w:szCs w:val="18"/>
    </w:rPr>
  </w:style>
  <w:style w:type="paragraph" w:styleId="7">
    <w:name w:val="header"/>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8">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9">
    <w:name w:val="toc 2"/>
    <w:basedOn w:val="1"/>
    <w:next w:val="1"/>
    <w:unhideWhenUsed/>
    <w:qFormat/>
    <w:uiPriority w:val="39"/>
    <w:pPr>
      <w:tabs>
        <w:tab w:val="right" w:leader="dot" w:pos="8296"/>
      </w:tabs>
      <w:ind w:left="420" w:leftChars="200"/>
    </w:pPr>
  </w:style>
  <w:style w:type="character" w:styleId="12">
    <w:name w:val="Strong"/>
    <w:basedOn w:val="11"/>
    <w:qFormat/>
    <w:uiPriority w:val="99"/>
    <w:rPr>
      <w:b/>
    </w:rPr>
  </w:style>
  <w:style w:type="character" w:styleId="13">
    <w:name w:val="Hyperlink"/>
    <w:basedOn w:val="11"/>
    <w:unhideWhenUsed/>
    <w:qFormat/>
    <w:uiPriority w:val="99"/>
    <w:rPr>
      <w:color w:val="0563C1" w:themeColor="hyperlink"/>
      <w:u w:val="single"/>
    </w:rPr>
  </w:style>
  <w:style w:type="character" w:customStyle="1" w:styleId="14">
    <w:name w:val="标题 1 Char"/>
    <w:basedOn w:val="11"/>
    <w:link w:val="2"/>
    <w:qFormat/>
    <w:uiPriority w:val="9"/>
    <w:rPr>
      <w:b/>
      <w:bCs/>
      <w:kern w:val="44"/>
      <w:sz w:val="44"/>
      <w:szCs w:val="44"/>
    </w:rPr>
  </w:style>
  <w:style w:type="character" w:customStyle="1" w:styleId="15">
    <w:name w:val="标题 2 Char"/>
    <w:basedOn w:val="11"/>
    <w:link w:val="3"/>
    <w:qFormat/>
    <w:uiPriority w:val="9"/>
    <w:rPr>
      <w:rFonts w:asciiTheme="majorHAnsi" w:hAnsiTheme="majorHAnsi" w:eastAsiaTheme="majorEastAsia" w:cstheme="majorBidi"/>
      <w:b/>
      <w:bCs/>
      <w:sz w:val="32"/>
      <w:szCs w:val="32"/>
    </w:rPr>
  </w:style>
  <w:style w:type="paragraph" w:customStyle="1" w:styleId="16">
    <w:name w:val="列出段落1"/>
    <w:basedOn w:val="1"/>
    <w:qFormat/>
    <w:uiPriority w:val="34"/>
    <w:pPr>
      <w:ind w:firstLine="420" w:firstLineChars="200"/>
    </w:pPr>
  </w:style>
  <w:style w:type="paragraph" w:customStyle="1" w:styleId="17">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character" w:customStyle="1" w:styleId="18">
    <w:name w:val="font21"/>
    <w:basedOn w:val="11"/>
    <w:qFormat/>
    <w:uiPriority w:val="0"/>
    <w:rPr>
      <w:rFonts w:hint="eastAsia" w:ascii="宋体" w:hAnsi="宋体" w:eastAsia="宋体" w:cs="宋体"/>
      <w:color w:val="000000"/>
      <w:sz w:val="18"/>
      <w:szCs w:val="18"/>
      <w:u w:val="none"/>
    </w:rPr>
  </w:style>
  <w:style w:type="character" w:customStyle="1" w:styleId="19">
    <w:name w:val="批注框文本 Char"/>
    <w:basedOn w:val="11"/>
    <w:link w:val="5"/>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image" Target="media/image1.png"/><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收支决算总体变动情况</a:t>
            </a:r>
          </a:p>
        </c:rich>
      </c:tx>
      <c:layout>
        <c:manualLayout>
          <c:xMode val="edge"/>
          <c:yMode val="edge"/>
          <c:x val="0.291193363114231"/>
          <c:y val="0.00677812923633077"/>
        </c:manualLayout>
      </c:layout>
      <c:overlay val="0"/>
      <c:spPr>
        <a:noFill/>
        <a:ln>
          <a:noFill/>
        </a:ln>
        <a:effectLst/>
      </c:spPr>
    </c:title>
    <c:autoTitleDeleted val="0"/>
    <c:plotArea>
      <c:layout>
        <c:manualLayout>
          <c:layoutTarget val="inner"/>
          <c:xMode val="edge"/>
          <c:yMode val="edge"/>
          <c:x val="0.076825"/>
          <c:y val="0.127"/>
          <c:w val="0.8938"/>
          <c:h val="0.7169"/>
        </c:manualLayout>
      </c:layout>
      <c:barChart>
        <c:barDir val="col"/>
        <c:grouping val="clustered"/>
        <c:varyColors val="0"/>
        <c:ser>
          <c:idx val="0"/>
          <c:order val="0"/>
          <c:tx>
            <c:strRef>
              <c:f>Sheet1!$B$1</c:f>
              <c:strCache>
                <c:ptCount val="1"/>
                <c:pt idx="0">
                  <c:v>2017年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c:f>
              <c:strCache>
                <c:ptCount val="1"/>
                <c:pt idx="0">
                  <c:v>收支决算总体情况</c:v>
                </c:pt>
              </c:strCache>
            </c:strRef>
          </c:cat>
          <c:val>
            <c:numRef>
              <c:f>Sheet1!$B$2</c:f>
              <c:numCache>
                <c:formatCode>General</c:formatCode>
                <c:ptCount val="1"/>
                <c:pt idx="0">
                  <c:v>799.49</c:v>
                </c:pt>
              </c:numCache>
            </c:numRef>
          </c:val>
        </c:ser>
        <c:ser>
          <c:idx val="1"/>
          <c:order val="1"/>
          <c:tx>
            <c:strRef>
              <c:f>Sheet1!$C$1</c:f>
              <c:strCache>
                <c:ptCount val="1"/>
                <c:pt idx="0">
                  <c:v>2018年</c:v>
                </c:pt>
              </c:strCache>
            </c:strRef>
          </c:tx>
          <c:spPr>
            <a:solidFill>
              <a:schemeClr val="accent2"/>
            </a:solidFill>
            <a:ln>
              <a:noFill/>
            </a:ln>
            <a:effectLst/>
          </c:spPr>
          <c:invertIfNegative val="0"/>
          <c:dLbls>
            <c:dLbl>
              <c:idx val="0"/>
              <c:layout>
                <c:manualLayout>
                  <c:x val="0.009572431397575"/>
                  <c:y val="0.0203343877089923"/>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0.0791320995532865"/>
                      <c:h val="0.0716222322638951"/>
                    </c:manualLayout>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c:f>
              <c:strCache>
                <c:ptCount val="1"/>
                <c:pt idx="0">
                  <c:v>收支决算总体情况</c:v>
                </c:pt>
              </c:strCache>
            </c:strRef>
          </c:cat>
          <c:val>
            <c:numRef>
              <c:f>Sheet1!$C$2</c:f>
              <c:numCache>
                <c:formatCode>General</c:formatCode>
                <c:ptCount val="1"/>
                <c:pt idx="0">
                  <c:v>975.11</c:v>
                </c:pt>
              </c:numCache>
            </c:numRef>
          </c:val>
        </c:ser>
        <c:dLbls>
          <c:showLegendKey val="0"/>
          <c:showVal val="1"/>
          <c:showCatName val="0"/>
          <c:showSerName val="0"/>
          <c:showPercent val="0"/>
          <c:showBubbleSize val="0"/>
        </c:dLbls>
        <c:gapWidth val="219"/>
        <c:overlap val="-27"/>
        <c:axId val="169362176"/>
        <c:axId val="169363712"/>
      </c:barChart>
      <c:catAx>
        <c:axId val="169362176"/>
        <c:scaling>
          <c:orientation val="minMax"/>
        </c:scaling>
        <c:delete val="1"/>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69363712"/>
        <c:crosses val="autoZero"/>
        <c:auto val="1"/>
        <c:lblAlgn val="ctr"/>
        <c:lblOffset val="100"/>
        <c:noMultiLvlLbl val="0"/>
      </c:catAx>
      <c:valAx>
        <c:axId val="16936371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936217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423"/>
          <c:y val="0.0286728563626434"/>
        </c:manualLayout>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本年收入</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1"/>
              <c:layout>
                <c:manualLayout>
                  <c:x val="-0.0325869987780838"/>
                  <c:y val="-0.00605996051048525"/>
                </c:manualLayout>
              </c:layout>
              <c:dLblPos val="bestFit"/>
              <c:showLegendKey val="0"/>
              <c:showVal val="1"/>
              <c:showCatName val="0"/>
              <c:showSerName val="0"/>
              <c:showPercent val="0"/>
              <c:showBubbleSize val="0"/>
              <c:extLst>
                <c:ext xmlns:c15="http://schemas.microsoft.com/office/drawing/2012/chart" uri="{CE6537A1-D6FC-4f65-9D91-7224C49458BB}">
                  <c15:layout>
                    <c:manualLayout>
                      <c:w val="0.0975000000000001"/>
                      <c:h val="0.0799284984678243"/>
                    </c:manualLayout>
                  </c15:layout>
                </c:ext>
              </c:extLst>
            </c:dLbl>
            <c:dLbl>
              <c:idx val="2"/>
              <c:layout>
                <c:manualLayout>
                  <c:x val="0.118223508085427"/>
                  <c:y val="0.026861339789380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Sheet1!$A$2:$A$4</c:f>
              <c:strCache>
                <c:ptCount val="3"/>
                <c:pt idx="0">
                  <c:v>一般
公共预算财政拨款收入</c:v>
                </c:pt>
                <c:pt idx="1">
                  <c:v>政府性基金预算财政拨款收入</c:v>
                </c:pt>
                <c:pt idx="2">
                  <c:v>其他收入</c:v>
                </c:pt>
              </c:strCache>
            </c:strRef>
          </c:cat>
          <c:val>
            <c:numRef>
              <c:f>Sheet1!$B$2:$B$4</c:f>
              <c:numCache>
                <c:formatCode>0.00%</c:formatCode>
                <c:ptCount val="3"/>
                <c:pt idx="0">
                  <c:v>0.9576</c:v>
                </c:pt>
                <c:pt idx="1">
                  <c:v>0.0413</c:v>
                </c:pt>
                <c:pt idx="2">
                  <c:v>0.0011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2181875"/>
          <c:y val="0.939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本年支出</a:t>
            </a:r>
          </a:p>
        </c:rich>
      </c:tx>
      <c:layout/>
      <c:overlay val="0"/>
      <c:spPr>
        <a:noFill/>
        <a:ln>
          <a:noFill/>
        </a:ln>
        <a:effectLst/>
      </c:spPr>
    </c:title>
    <c:autoTitleDeleted val="0"/>
    <c:plotArea>
      <c:layout/>
      <c:pieChart>
        <c:varyColors val="1"/>
        <c:ser>
          <c:idx val="0"/>
          <c:order val="0"/>
          <c:tx>
            <c:strRef>
              <c:f>Sheet1!$B$1</c:f>
              <c:strCache>
                <c:ptCount val="1"/>
                <c:pt idx="0">
                  <c:v>本年支出</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1"/>
              <c:layout>
                <c:manualLayout>
                  <c:x val="-0.0325869987780838"/>
                  <c:y val="-0.00605996051048525"/>
                </c:manualLayout>
              </c:layout>
              <c:dLblPos val="bestFit"/>
              <c:showLegendKey val="0"/>
              <c:showVal val="1"/>
              <c:showCatName val="0"/>
              <c:showSerName val="0"/>
              <c:showPercent val="0"/>
              <c:showBubbleSize val="0"/>
              <c:extLst>
                <c:ext xmlns:c15="http://schemas.microsoft.com/office/drawing/2012/chart" uri="{CE6537A1-D6FC-4f65-9D91-7224C49458BB}">
                  <c15:layout>
                    <c:manualLayout>
                      <c:w val="0.0975000000000001"/>
                      <c:h val="0.0799284984678243"/>
                    </c:manualLayout>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基本 支出</c:v>
                </c:pt>
                <c:pt idx="1">
                  <c:v>项目支出</c:v>
                </c:pt>
              </c:strCache>
            </c:strRef>
          </c:cat>
          <c:val>
            <c:numRef>
              <c:f>Sheet1!$B$2:$B$3</c:f>
              <c:numCache>
                <c:formatCode>0.00%</c:formatCode>
                <c:ptCount val="2"/>
                <c:pt idx="0">
                  <c:v>0.5329</c:v>
                </c:pt>
                <c:pt idx="1">
                  <c:v>0.4671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2181875"/>
          <c:y val="0.939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收支决算总体变动情况</a:t>
            </a:r>
          </a:p>
        </c:rich>
      </c:tx>
      <c:layout/>
      <c:overlay val="0"/>
      <c:spPr>
        <a:noFill/>
        <a:ln>
          <a:noFill/>
        </a:ln>
        <a:effectLst/>
      </c:spPr>
    </c:title>
    <c:autoTitleDeleted val="0"/>
    <c:plotArea>
      <c:layout>
        <c:manualLayout>
          <c:layoutTarget val="inner"/>
          <c:xMode val="edge"/>
          <c:yMode val="edge"/>
          <c:x val="0.076825"/>
          <c:y val="0.127"/>
          <c:w val="0.8938"/>
          <c:h val="0.7169"/>
        </c:manualLayout>
      </c:layout>
      <c:barChart>
        <c:barDir val="col"/>
        <c:grouping val="clustered"/>
        <c:varyColors val="0"/>
        <c:ser>
          <c:idx val="0"/>
          <c:order val="0"/>
          <c:tx>
            <c:strRef>
              <c:f>Sheet1!$B$1</c:f>
              <c:strCache>
                <c:ptCount val="1"/>
                <c:pt idx="0">
                  <c:v>2017年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c:f>
              <c:strCache>
                <c:ptCount val="1"/>
                <c:pt idx="0">
                  <c:v>收支决算总体情况</c:v>
                </c:pt>
              </c:strCache>
            </c:strRef>
          </c:cat>
          <c:val>
            <c:numRef>
              <c:f>Sheet1!$B$2</c:f>
              <c:numCache>
                <c:formatCode>General</c:formatCode>
                <c:ptCount val="1"/>
                <c:pt idx="0">
                  <c:v>799.49</c:v>
                </c:pt>
              </c:numCache>
            </c:numRef>
          </c:val>
        </c:ser>
        <c:ser>
          <c:idx val="1"/>
          <c:order val="1"/>
          <c:tx>
            <c:strRef>
              <c:f>Sheet1!$C$1</c:f>
              <c:strCache>
                <c:ptCount val="1"/>
                <c:pt idx="0">
                  <c:v>2018年</c:v>
                </c:pt>
              </c:strCache>
            </c:strRef>
          </c:tx>
          <c:spPr>
            <a:solidFill>
              <a:schemeClr val="accent2"/>
            </a:solidFill>
            <a:ln>
              <a:noFill/>
            </a:ln>
            <a:effectLst/>
          </c:spPr>
          <c:invertIfNegative val="0"/>
          <c:dLbls>
            <c:dLbl>
              <c:idx val="0"/>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altLang="en-US"/>
                      <a:t>9</a:t>
                    </a:r>
                    <a:r>
                      <a:rPr lang="en-US" altLang="zh-CN"/>
                      <a:t>74.06</a:t>
                    </a:r>
                    <a:endParaRPr altLang="en-US"/>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c:f>
              <c:strCache>
                <c:ptCount val="1"/>
                <c:pt idx="0">
                  <c:v>收支决算总体情况</c:v>
                </c:pt>
              </c:strCache>
            </c:strRef>
          </c:cat>
          <c:val>
            <c:numRef>
              <c:f>Sheet1!$C$2</c:f>
              <c:numCache>
                <c:formatCode>General</c:formatCode>
                <c:ptCount val="1"/>
                <c:pt idx="0">
                  <c:v>975.11</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strRef>
              <c:f>Sheet1!$A$2</c:f>
              <c:strCache>
                <c:ptCount val="1"/>
                <c:pt idx="0">
                  <c:v>收支决算总体情况</c:v>
                </c:pt>
              </c:strCache>
            </c:strRef>
          </c:cat>
          <c:val>
            <c:numRef>
              <c:f>Sheet1!#REF!</c:f>
              <c:numCache>
                <c:formatCode>General</c:formatCode>
                <c:ptCount val="1"/>
                <c:pt idx="0">
                  <c:v>1</c:v>
                </c:pt>
              </c:numCache>
            </c:numRef>
          </c:val>
        </c:ser>
        <c:dLbls>
          <c:showLegendKey val="0"/>
          <c:showVal val="0"/>
          <c:showCatName val="0"/>
          <c:showSerName val="0"/>
          <c:showPercent val="0"/>
          <c:showBubbleSize val="0"/>
        </c:dLbls>
        <c:gapWidth val="219"/>
        <c:overlap val="-27"/>
        <c:axId val="189991168"/>
        <c:axId val="190026496"/>
      </c:barChart>
      <c:catAx>
        <c:axId val="189991168"/>
        <c:scaling>
          <c:orientation val="minMax"/>
        </c:scaling>
        <c:delete val="1"/>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90026496"/>
        <c:crosses val="autoZero"/>
        <c:auto val="1"/>
        <c:lblAlgn val="ctr"/>
        <c:lblOffset val="100"/>
        <c:noMultiLvlLbl val="0"/>
      </c:catAx>
      <c:valAx>
        <c:axId val="19002649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9991168"/>
        <c:crosses val="autoZero"/>
        <c:crossBetween val="between"/>
      </c:valAx>
      <c:spPr>
        <a:noFill/>
        <a:ln>
          <a:noFill/>
        </a:ln>
        <a:effectLst/>
      </c:spPr>
    </c:plotArea>
    <c:legend>
      <c:legendPos val="b"/>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59923273657289"/>
          <c:y val="0.0266999615827891"/>
          <c:w val="0.905175"/>
          <c:h val="0.7169"/>
        </c:manualLayout>
      </c:layout>
      <c:barChart>
        <c:barDir val="col"/>
        <c:grouping val="clustered"/>
        <c:varyColors val="0"/>
        <c:ser>
          <c:idx val="0"/>
          <c:order val="0"/>
          <c:tx>
            <c:strRef>
              <c:f>Sheet1!$B$1</c:f>
              <c:strCache>
                <c:ptCount val="1"/>
                <c:pt idx="0">
                  <c:v>一般公共预算财政拨款支出</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2018年</c:v>
                </c:pt>
                <c:pt idx="1">
                  <c:v>2017年</c:v>
                </c:pt>
              </c:strCache>
            </c:strRef>
          </c:cat>
          <c:val>
            <c:numRef>
              <c:f>Sheet1!$B$2:$B$3</c:f>
              <c:numCache>
                <c:formatCode>General</c:formatCode>
                <c:ptCount val="2"/>
                <c:pt idx="0">
                  <c:v>821.27</c:v>
                </c:pt>
                <c:pt idx="1">
                  <c:v>706.07</c:v>
                </c:pt>
              </c:numCache>
            </c:numRef>
          </c:val>
        </c:ser>
        <c:ser>
          <c:idx val="1"/>
          <c:order val="1"/>
          <c:tx>
            <c:strRef>
              <c:f>Sheet1!#REF!</c:f>
              <c:strCache>
                <c:ptCount val="1"/>
                <c:pt idx="0">
                  <c:v/>
                </c:pt>
              </c:strCache>
            </c:strRef>
          </c:tx>
          <c:spPr>
            <a:solidFill>
              <a:schemeClr val="accent2"/>
            </a:solidFill>
            <a:ln>
              <a:noFill/>
            </a:ln>
            <a:effectLst/>
          </c:spPr>
          <c:invertIfNegative val="0"/>
          <c:dLbls>
            <c:delete val="1"/>
          </c:dLbls>
          <c:cat>
            <c:strRef>
              <c:f>Sheet1!$A$2:$A$3</c:f>
              <c:strCache>
                <c:ptCount val="2"/>
                <c:pt idx="0">
                  <c:v>2018年</c:v>
                </c:pt>
                <c:pt idx="1">
                  <c:v>2017年</c:v>
                </c:pt>
              </c:strCache>
            </c:strRef>
          </c:cat>
          <c:val>
            <c:numRef>
              <c:f>Sheet1!#REF!</c:f>
              <c:numCache>
                <c:formatCode>General</c:formatCode>
                <c:ptCount val="1"/>
                <c:pt idx="0">
                  <c:v>1</c:v>
                </c:pt>
              </c:numCache>
            </c:numRef>
          </c:val>
        </c:ser>
        <c:dLbls>
          <c:showLegendKey val="0"/>
          <c:showVal val="1"/>
          <c:showCatName val="0"/>
          <c:showSerName val="0"/>
          <c:showPercent val="0"/>
          <c:showBubbleSize val="0"/>
        </c:dLbls>
        <c:gapWidth val="219"/>
        <c:overlap val="-27"/>
        <c:axId val="191570688"/>
        <c:axId val="191572608"/>
      </c:barChart>
      <c:catAx>
        <c:axId val="191570688"/>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1572608"/>
        <c:crosses val="autoZero"/>
        <c:auto val="1"/>
        <c:lblAlgn val="ctr"/>
        <c:lblOffset val="100"/>
        <c:noMultiLvlLbl val="0"/>
      </c:catAx>
      <c:valAx>
        <c:axId val="19157260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1570688"/>
        <c:crosses val="autoZero"/>
        <c:crossBetween val="between"/>
      </c:valAx>
      <c:spPr>
        <a:noFill/>
        <a:ln>
          <a:noFill/>
        </a:ln>
        <a:effectLst/>
      </c:spPr>
    </c:plotArea>
    <c:legend>
      <c:legendPos val="b"/>
      <c:legendEntry>
        <c:idx val="1"/>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一般公共预算财政拨款支出</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dLbl>
              <c:idx val="2"/>
              <c:layout>
                <c:manualLayout>
                  <c:x val="0.0347895443133998"/>
                  <c:y val="0.0152511760152215"/>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650679134145975"/>
                  <c:y val="-0.050691461334868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122216517795778"/>
                  <c:y val="0.05017304953501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Sheet1!$A$2:$A$8</c:f>
              <c:strCache>
                <c:ptCount val="7"/>
                <c:pt idx="0">
                  <c:v>一般公共服务支出</c:v>
                </c:pt>
                <c:pt idx="1">
                  <c:v>社会保障和就业支出</c:v>
                </c:pt>
                <c:pt idx="2">
                  <c:v>医疗卫生与计划生育支出</c:v>
                </c:pt>
                <c:pt idx="3">
                  <c:v>节能环保支出</c:v>
                </c:pt>
                <c:pt idx="4">
                  <c:v>城乡社区支出</c:v>
                </c:pt>
                <c:pt idx="5">
                  <c:v>农林水支出</c:v>
                </c:pt>
                <c:pt idx="6">
                  <c:v>住房保障支出</c:v>
                </c:pt>
              </c:strCache>
            </c:strRef>
          </c:cat>
          <c:val>
            <c:numRef>
              <c:f>Sheet1!$B$2:$B$8</c:f>
              <c:numCache>
                <c:formatCode>0.00%</c:formatCode>
                <c:ptCount val="7"/>
                <c:pt idx="0">
                  <c:v>0.2973</c:v>
                </c:pt>
                <c:pt idx="1">
                  <c:v>0.0983</c:v>
                </c:pt>
                <c:pt idx="2">
                  <c:v>0.0119</c:v>
                </c:pt>
                <c:pt idx="3">
                  <c:v>0.0013</c:v>
                </c:pt>
                <c:pt idx="4">
                  <c:v>0.0104</c:v>
                </c:pt>
                <c:pt idx="5">
                  <c:v>0.5355</c:v>
                </c:pt>
                <c:pt idx="6">
                  <c:v>0.0453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“三公”经费</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Sheet1!$A$2:$A$3</c:f>
              <c:strCache>
                <c:ptCount val="2"/>
                <c:pt idx="0">
                  <c:v>公务用车购置及运行维护费</c:v>
                </c:pt>
                <c:pt idx="1">
                  <c:v>公务接待费</c:v>
                </c:pt>
              </c:strCache>
            </c:strRef>
          </c:cat>
          <c:val>
            <c:numRef>
              <c:f>Sheet1!$B$2:$B$3</c:f>
              <c:numCache>
                <c:formatCode>General</c:formatCode>
                <c:ptCount val="2"/>
                <c:pt idx="0">
                  <c:v>1.78</c:v>
                </c:pt>
                <c:pt idx="1">
                  <c:v>1.2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33</Pages>
  <Words>11441</Words>
  <Characters>12190</Characters>
  <Lines>97</Lines>
  <Paragraphs>27</Paragraphs>
  <TotalTime>58</TotalTime>
  <ScaleCrop>false</ScaleCrop>
  <LinksUpToDate>false</LinksUpToDate>
  <CharactersWithSpaces>12326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2019-11-01T01:14:00Z</dcterms:created>
  <dc:creator>Administrator</dc:creator>
  <cp:lastModifiedBy>M..y.</cp:lastModifiedBy>
  <dcterms:modified xsi:type="dcterms:W3CDTF">2023-08-30T02:20:16Z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89DDC43F74F843FF8AE63BF275B6B2C2</vt:lpwstr>
  </property>
</Properties>
</file>