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96475"/>
      <w:bookmarkStart w:id="1" w:name="_Toc15377193"/>
      <w:bookmarkStart w:id="2" w:name="_Toc15306267"/>
      <w:bookmarkStart w:id="3" w:name="_Toc15396597"/>
      <w:bookmarkStart w:id="4" w:name="_Toc15378441"/>
      <w:bookmarkStart w:id="5" w:name="_Toc15377425"/>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p>
    <w:p>
      <w:pPr>
        <w:pStyle w:val="8"/>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四川省井研县人民政府研城街道办事处</w:t>
      </w:r>
    </w:p>
    <w:p>
      <w:pPr>
        <w:pStyle w:val="8"/>
        <w:jc w:val="center"/>
        <w:rPr>
          <w:rFonts w:ascii="Times New Roman" w:hAnsi="Times New Roman"/>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r>
        <w:rPr>
          <w:rFonts w:hint="eastAsia" w:ascii="Times New Roman" w:eastAsia="方正小标宋简体" w:cs="Times New Roman"/>
          <w:color w:val="auto"/>
          <w:kern w:val="2"/>
          <w:sz w:val="44"/>
          <w:szCs w:val="44"/>
          <w:highlight w:val="none"/>
          <w:lang w:val="en-US" w:eastAsia="zh-CN" w:bidi="ar-SA"/>
        </w:rPr>
        <w:t>单位</w:t>
      </w:r>
      <w:r>
        <w:rPr>
          <w:rFonts w:hint="eastAsia" w:ascii="Times New Roman" w:hAnsi="Times New Roman" w:eastAsia="方正小标宋简体" w:cs="Times New Roman"/>
          <w:color w:val="auto"/>
          <w:kern w:val="2"/>
          <w:sz w:val="44"/>
          <w:szCs w:val="44"/>
          <w:highlight w:val="none"/>
          <w:lang w:val="en-US" w:eastAsia="zh-CN" w:bidi="ar-SA"/>
        </w:rPr>
        <w:t>决算</w:t>
      </w:r>
    </w:p>
    <w:bookmarkEnd w:id="0"/>
    <w:bookmarkEnd w:id="1"/>
    <w:bookmarkEnd w:id="2"/>
    <w:bookmarkEnd w:id="3"/>
    <w:bookmarkEnd w:id="4"/>
    <w:bookmarkEnd w:id="5"/>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4"/>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15</w:t>
      </w:r>
      <w:r>
        <w:rPr>
          <w:rFonts w:hint="eastAsia" w:ascii="Times New Roman" w:hAnsi="Times New Roman" w:eastAsia="仿宋_GB2312" w:cs="仿宋_GB2312"/>
          <w:color w:val="auto"/>
          <w:sz w:val="32"/>
          <w:szCs w:val="32"/>
          <w:highlight w:val="none"/>
        </w:rPr>
        <w:t>日</w:t>
      </w:r>
    </w:p>
    <w:sdt>
      <w:sdtPr>
        <w:rPr>
          <w:rFonts w:ascii="宋体" w:hAnsi="宋体" w:eastAsia="宋体" w:cs="Times New Roman"/>
          <w:kern w:val="2"/>
          <w:sz w:val="21"/>
          <w:szCs w:val="24"/>
          <w:lang w:val="en-US" w:eastAsia="zh-CN" w:bidi="ar-SA"/>
        </w:rPr>
        <w:id w:val="147482937"/>
        <w15:color w:val="DBDBDB"/>
        <w:docPartObj>
          <w:docPartGallery w:val="Table of Contents"/>
          <w:docPartUnique/>
        </w:docPartObj>
      </w:sdtPr>
      <w:sdtEndPr>
        <w:rPr>
          <w:rFonts w:hint="eastAsia" w:ascii="Times New Roman" w:hAnsi="Times New Roman" w:eastAsia="方正小标宋简体" w:cs="方正小标宋简体"/>
          <w:b/>
          <w:bCs/>
          <w:color w:val="auto"/>
          <w:kern w:val="44"/>
          <w:sz w:val="44"/>
          <w:szCs w:val="44"/>
          <w:highlight w:val="none"/>
          <w:lang w:val="en-US" w:eastAsia="zh-CN" w:bidi="ar-SA"/>
        </w:rPr>
      </w:sdtEndPr>
      <w:sdtContent>
        <w:p>
          <w:pPr>
            <w:spacing w:before="0" w:beforeLines="0" w:after="0" w:afterLines="0" w:line="240" w:lineRule="auto"/>
            <w:ind w:left="0" w:leftChars="0" w:right="0" w:rightChars="0" w:firstLine="0" w:firstLineChars="0"/>
            <w:jc w:val="center"/>
          </w:pPr>
          <w:bookmarkStart w:id="6" w:name="_Toc14445_WPSOffice_Level1"/>
          <w:bookmarkStart w:id="7" w:name="_Toc15377196"/>
          <w:bookmarkStart w:id="8" w:name="_Toc15396599"/>
          <w:r>
            <w:rPr>
              <w:rFonts w:ascii="宋体" w:hAnsi="宋体" w:eastAsia="宋体"/>
              <w:sz w:val="21"/>
            </w:rPr>
            <w:t>目录</w:t>
          </w:r>
        </w:p>
        <w:p>
          <w:pPr>
            <w:pStyle w:val="14"/>
            <w:tabs>
              <w:tab w:val="right" w:leader="dot" w:pos="8306"/>
              <w:tab w:val="clear" w:pos="8296"/>
            </w:tabs>
          </w:pPr>
          <w:r>
            <w:rPr>
              <w:rFonts w:hint="eastAsia" w:ascii="Times New Roman" w:hAnsi="Times New Roman" w:eastAsia="方正小标宋简体" w:cs="方正小标宋简体"/>
              <w:b w:val="0"/>
              <w:color w:val="auto"/>
              <w:highlight w:val="none"/>
            </w:rPr>
            <w:fldChar w:fldCharType="begin"/>
          </w:r>
          <w:r>
            <w:rPr>
              <w:rFonts w:hint="eastAsia" w:ascii="Times New Roman" w:hAnsi="Times New Roman" w:eastAsia="方正小标宋简体" w:cs="方正小标宋简体"/>
              <w:b w:val="0"/>
              <w:color w:val="auto"/>
              <w:highlight w:val="none"/>
            </w:rPr>
            <w:instrText xml:space="preserve">TOC \o "1-3" \h \u </w:instrText>
          </w:r>
          <w:r>
            <w:rPr>
              <w:rFonts w:hint="eastAsia" w:ascii="Times New Roman" w:hAnsi="Times New Roman" w:eastAsia="方正小标宋简体" w:cs="方正小标宋简体"/>
              <w:b w:val="0"/>
              <w:color w:val="auto"/>
              <w:highlight w:val="none"/>
            </w:rPr>
            <w:fldChar w:fldCharType="separate"/>
          </w:r>
          <w:r>
            <w:rPr>
              <w:rFonts w:hint="eastAsia" w:ascii="黑体" w:hAnsi="黑体" w:eastAsia="黑体" w:cs="黑体"/>
              <w:color w:val="auto"/>
              <w:sz w:val="32"/>
              <w:szCs w:val="32"/>
              <w:highlight w:val="none"/>
            </w:rPr>
            <w:fldChar w:fldCharType="begin"/>
          </w:r>
          <w:r>
            <w:rPr>
              <w:rFonts w:hint="eastAsia" w:ascii="黑体" w:hAnsi="黑体" w:eastAsia="黑体" w:cs="黑体"/>
              <w:sz w:val="32"/>
              <w:szCs w:val="32"/>
              <w:highlight w:val="none"/>
            </w:rPr>
            <w:instrText xml:space="preserve"> HYPERLINK \l _Toc9947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lang w:val="en-US" w:eastAsia="zh-CN" w:bidi="ar-SA"/>
            </w:rPr>
            <w:t>第一部分  单位概况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_Toc9947 </w:instrText>
          </w:r>
          <w:r>
            <w:rPr>
              <w:rFonts w:hint="eastAsia" w:ascii="黑体" w:hAnsi="黑体" w:eastAsia="黑体" w:cs="黑体"/>
              <w:sz w:val="32"/>
              <w:szCs w:val="32"/>
            </w:rPr>
            <w:fldChar w:fldCharType="separate"/>
          </w:r>
          <w:r>
            <w:rPr>
              <w:rFonts w:hint="eastAsia" w:ascii="黑体" w:hAnsi="黑体" w:eastAsia="黑体" w:cs="黑体"/>
              <w:sz w:val="32"/>
              <w:szCs w:val="32"/>
            </w:rPr>
            <w:t>- 3 -</w:t>
          </w:r>
          <w:r>
            <w:rPr>
              <w:rFonts w:hint="eastAsia" w:ascii="黑体" w:hAnsi="黑体" w:eastAsia="黑体" w:cs="黑体"/>
              <w:sz w:val="32"/>
              <w:szCs w:val="32"/>
            </w:rPr>
            <w:fldChar w:fldCharType="end"/>
          </w:r>
          <w:r>
            <w:rPr>
              <w:rFonts w:hint="eastAsia" w:ascii="黑体" w:hAnsi="黑体" w:eastAsia="黑体" w:cs="黑体"/>
              <w:color w:val="auto"/>
              <w:sz w:val="32"/>
              <w:szCs w:val="32"/>
              <w:highlight w:val="none"/>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_Toc26340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一、 单位职责</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_Toc26340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- 3 -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_Toc2141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二、 机构设置</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_Toc2141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- 4 -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4"/>
            <w:tabs>
              <w:tab w:val="right" w:leader="dot" w:pos="8306"/>
              <w:tab w:val="clear" w:pos="8296"/>
            </w:tabs>
          </w:pPr>
          <w:r>
            <w:rPr>
              <w:rFonts w:hint="eastAsia" w:ascii="Times New Roman" w:hAnsi="Times New Roman" w:eastAsia="方正小标宋简体" w:cs="方正小标宋简体"/>
              <w:color w:val="auto"/>
              <w:highlight w:val="none"/>
            </w:rPr>
            <w:fldChar w:fldCharType="begin"/>
          </w:r>
          <w:r>
            <w:rPr>
              <w:rFonts w:hint="eastAsia" w:ascii="Times New Roman" w:hAnsi="Times New Roman" w:eastAsia="方正小标宋简体" w:cs="方正小标宋简体"/>
              <w:highlight w:val="none"/>
            </w:rPr>
            <w:instrText xml:space="preserve"> HYPERLINK \l _Toc10219 </w:instrText>
          </w:r>
          <w:r>
            <w:rPr>
              <w:rFonts w:hint="eastAsia" w:ascii="Times New Roman" w:hAnsi="Times New Roman" w:eastAsia="方正小标宋简体" w:cs="方正小标宋简体"/>
              <w:highlight w:val="none"/>
            </w:rPr>
            <w:fldChar w:fldCharType="separate"/>
          </w:r>
          <w:r>
            <w:rPr>
              <w:rFonts w:hint="eastAsia" w:ascii="黑体" w:hAnsi="黑体" w:eastAsia="黑体" w:cs="黑体"/>
              <w:color w:val="auto"/>
              <w:sz w:val="32"/>
              <w:szCs w:val="32"/>
              <w:highlight w:val="none"/>
              <w:lang w:eastAsia="zh-CN"/>
            </w:rPr>
            <w:t xml:space="preserve">第二部分 </w:t>
          </w:r>
          <w:r>
            <w:rPr>
              <w:rFonts w:hint="eastAsia" w:ascii="黑体" w:hAnsi="黑体" w:eastAsia="黑体" w:cs="黑体"/>
              <w:color w:val="auto"/>
              <w:sz w:val="32"/>
              <w:szCs w:val="32"/>
              <w:highlight w:val="none"/>
              <w:lang w:val="en-US" w:eastAsia="zh-CN"/>
            </w:rPr>
            <w:t>2024年度</w:t>
          </w:r>
          <w:r>
            <w:rPr>
              <w:rFonts w:hint="eastAsia" w:ascii="黑体" w:hAnsi="黑体" w:eastAsia="黑体" w:cs="黑体"/>
              <w:color w:val="auto"/>
              <w:sz w:val="32"/>
              <w:szCs w:val="32"/>
              <w:highlight w:val="none"/>
              <w:lang w:eastAsia="zh-CN"/>
            </w:rPr>
            <w:t>单位决算情况说明</w:t>
          </w:r>
          <w:r>
            <w:tab/>
          </w:r>
          <w:r>
            <w:fldChar w:fldCharType="begin"/>
          </w:r>
          <w:r>
            <w:instrText xml:space="preserve"> PAGEREF _Toc10219 </w:instrText>
          </w:r>
          <w:r>
            <w:fldChar w:fldCharType="separate"/>
          </w:r>
          <w:r>
            <w:t>- 6 -</w:t>
          </w:r>
          <w:r>
            <w:fldChar w:fldCharType="end"/>
          </w:r>
          <w:r>
            <w:rPr>
              <w:rFonts w:hint="eastAsia" w:ascii="Times New Roman" w:hAnsi="Times New Roman" w:eastAsia="方正小标宋简体" w:cs="方正小标宋简体"/>
              <w:color w:val="auto"/>
              <w:highlight w:val="none"/>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_Toc838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一、收入支出决算总体情况说明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_Toc838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- 6 -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_Toc23614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二、收入决算情况说明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_Toc23614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- 6 -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_Toc15466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三、支出决算情况说明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_Toc15466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_Toc28533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四、财政拨款收入支出决算总体情况说明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_Toc28533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- 8 -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_Toc27838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五、一般公共预算财政拨款支出决算情况说明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_Toc27838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- 8 -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_Toc25333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六、一般公共预算财政拨款基本支出决算情况说明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_Toc25333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- 13 -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_Toc12877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七、财政拨款“三公”经费支出决算情况说明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_Toc12877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- 13 -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_Toc31169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八、政府性基金预算支出决算情况说明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_Toc31169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- 15 -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_Toc24738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九、国有资本经营预算支出决算情况说明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_Toc24738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- 15 -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_Toc6967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十、其他重要事项的情况说明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_Toc6967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- 15 -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4"/>
            <w:tabs>
              <w:tab w:val="right" w:leader="dot" w:pos="8306"/>
              <w:tab w:val="clear" w:pos="8296"/>
            </w:tabs>
          </w:pPr>
          <w:r>
            <w:rPr>
              <w:rFonts w:hint="eastAsia" w:ascii="Times New Roman" w:hAnsi="Times New Roman" w:eastAsia="方正小标宋简体" w:cs="方正小标宋简体"/>
              <w:color w:val="auto"/>
              <w:highlight w:val="none"/>
            </w:rPr>
            <w:fldChar w:fldCharType="begin"/>
          </w:r>
          <w:r>
            <w:rPr>
              <w:rFonts w:hint="eastAsia" w:ascii="Times New Roman" w:hAnsi="Times New Roman" w:eastAsia="方正小标宋简体" w:cs="方正小标宋简体"/>
              <w:highlight w:val="none"/>
            </w:rPr>
            <w:instrText xml:space="preserve"> HYPERLINK \l _Toc26878 </w:instrText>
          </w:r>
          <w:r>
            <w:rPr>
              <w:rFonts w:hint="eastAsia" w:ascii="Times New Roman" w:hAnsi="Times New Roman" w:eastAsia="方正小标宋简体" w:cs="方正小标宋简体"/>
              <w:highlight w:val="none"/>
            </w:rPr>
            <w:fldChar w:fldCharType="separate"/>
          </w:r>
          <w:r>
            <w:rPr>
              <w:rFonts w:hint="eastAsia" w:ascii="黑体" w:hAnsi="黑体" w:eastAsia="黑体" w:cs="黑体"/>
              <w:color w:val="auto"/>
              <w:sz w:val="32"/>
              <w:szCs w:val="32"/>
              <w:highlight w:val="none"/>
              <w:lang w:eastAsia="zh-CN"/>
            </w:rPr>
            <w:t>第三部分</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名词解释</w:t>
          </w:r>
          <w:r>
            <w:tab/>
          </w:r>
          <w:r>
            <w:fldChar w:fldCharType="begin"/>
          </w:r>
          <w:r>
            <w:instrText xml:space="preserve"> PAGEREF _Toc26878 </w:instrText>
          </w:r>
          <w:r>
            <w:fldChar w:fldCharType="separate"/>
          </w:r>
          <w:r>
            <w:t>- 18 -</w:t>
          </w:r>
          <w:r>
            <w:fldChar w:fldCharType="end"/>
          </w:r>
          <w:r>
            <w:rPr>
              <w:rFonts w:hint="eastAsia" w:ascii="Times New Roman" w:hAnsi="Times New Roman" w:eastAsia="方正小标宋简体" w:cs="方正小标宋简体"/>
              <w:color w:val="auto"/>
              <w:highlight w:val="none"/>
            </w:rPr>
            <w:fldChar w:fldCharType="end"/>
          </w:r>
        </w:p>
        <w:p>
          <w:pPr>
            <w:pStyle w:val="14"/>
            <w:tabs>
              <w:tab w:val="right" w:leader="dot" w:pos="8306"/>
              <w:tab w:val="clear" w:pos="8296"/>
            </w:tabs>
          </w:pPr>
          <w:r>
            <w:rPr>
              <w:rFonts w:hint="eastAsia" w:ascii="Times New Roman" w:hAnsi="Times New Roman" w:eastAsia="方正小标宋简体" w:cs="方正小标宋简体"/>
              <w:color w:val="auto"/>
              <w:highlight w:val="none"/>
            </w:rPr>
            <w:fldChar w:fldCharType="begin"/>
          </w:r>
          <w:r>
            <w:rPr>
              <w:rFonts w:hint="eastAsia" w:ascii="Times New Roman" w:hAnsi="Times New Roman" w:eastAsia="方正小标宋简体" w:cs="方正小标宋简体"/>
              <w:highlight w:val="none"/>
            </w:rPr>
            <w:instrText xml:space="preserve"> HYPERLINK \l _Toc25993 </w:instrText>
          </w:r>
          <w:r>
            <w:rPr>
              <w:rFonts w:hint="eastAsia" w:ascii="Times New Roman" w:hAnsi="Times New Roman" w:eastAsia="方正小标宋简体" w:cs="方正小标宋简体"/>
              <w:highlight w:val="none"/>
            </w:rPr>
            <w:fldChar w:fldCharType="separate"/>
          </w:r>
          <w:r>
            <w:rPr>
              <w:rFonts w:hint="eastAsia" w:ascii="黑体" w:hAnsi="黑体" w:eastAsia="黑体" w:cs="黑体"/>
              <w:color w:val="auto"/>
              <w:sz w:val="32"/>
              <w:szCs w:val="32"/>
              <w:highlight w:val="none"/>
              <w:lang w:eastAsia="zh-CN"/>
            </w:rPr>
            <w:t>第四部分</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 xml:space="preserve"> 附件</w:t>
          </w:r>
          <w:r>
            <w:tab/>
          </w:r>
          <w:r>
            <w:fldChar w:fldCharType="begin"/>
          </w:r>
          <w:r>
            <w:instrText xml:space="preserve"> PAGEREF _Toc25993 </w:instrText>
          </w:r>
          <w:r>
            <w:fldChar w:fldCharType="separate"/>
          </w:r>
          <w:r>
            <w:t>- 24 -</w:t>
          </w:r>
          <w:r>
            <w:fldChar w:fldCharType="end"/>
          </w:r>
          <w:r>
            <w:rPr>
              <w:rFonts w:hint="eastAsia" w:ascii="Times New Roman" w:hAnsi="Times New Roman" w:eastAsia="方正小标宋简体" w:cs="方正小标宋简体"/>
              <w:color w:val="auto"/>
              <w:highlight w:val="none"/>
            </w:rPr>
            <w:fldChar w:fldCharType="end"/>
          </w:r>
        </w:p>
        <w:p>
          <w:pPr>
            <w:pStyle w:val="14"/>
            <w:tabs>
              <w:tab w:val="right" w:leader="dot" w:pos="8306"/>
              <w:tab w:val="clear" w:pos="8296"/>
            </w:tabs>
          </w:pPr>
          <w:r>
            <w:rPr>
              <w:rFonts w:hint="eastAsia" w:ascii="Times New Roman" w:hAnsi="Times New Roman" w:eastAsia="方正小标宋简体" w:cs="方正小标宋简体"/>
              <w:color w:val="auto"/>
              <w:highlight w:val="none"/>
            </w:rPr>
            <w:fldChar w:fldCharType="begin"/>
          </w:r>
          <w:r>
            <w:rPr>
              <w:rFonts w:hint="eastAsia" w:ascii="Times New Roman" w:hAnsi="Times New Roman" w:eastAsia="方正小标宋简体" w:cs="方正小标宋简体"/>
              <w:highlight w:val="none"/>
            </w:rPr>
            <w:instrText xml:space="preserve"> HYPERLINK \l _Toc25331 </w:instrText>
          </w:r>
          <w:r>
            <w:rPr>
              <w:rFonts w:hint="eastAsia" w:ascii="Times New Roman" w:hAnsi="Times New Roman" w:eastAsia="方正小标宋简体" w:cs="方正小标宋简体"/>
              <w:highlight w:val="none"/>
            </w:rPr>
            <w:fldChar w:fldCharType="separate"/>
          </w:r>
          <w:r>
            <w:rPr>
              <w:rFonts w:hint="eastAsia" w:ascii="黑体" w:hAnsi="黑体" w:eastAsia="黑体" w:cs="黑体"/>
              <w:color w:val="auto"/>
              <w:sz w:val="32"/>
              <w:szCs w:val="32"/>
              <w:highlight w:val="none"/>
              <w:lang w:eastAsia="zh-CN"/>
            </w:rPr>
            <w:t>第五部分 附表</w:t>
          </w:r>
          <w:r>
            <w:tab/>
          </w:r>
          <w:r>
            <w:fldChar w:fldCharType="begin"/>
          </w:r>
          <w:r>
            <w:instrText xml:space="preserve"> PAGEREF _Toc25331 </w:instrText>
          </w:r>
          <w:r>
            <w:fldChar w:fldCharType="separate"/>
          </w:r>
          <w:r>
            <w:t>- 147 -</w:t>
          </w:r>
          <w:r>
            <w:fldChar w:fldCharType="end"/>
          </w:r>
          <w:r>
            <w:rPr>
              <w:rFonts w:hint="eastAsia" w:ascii="Times New Roman" w:hAnsi="Times New Roman" w:eastAsia="方正小标宋简体" w:cs="方正小标宋简体"/>
              <w:color w:val="auto"/>
              <w:highlight w:val="none"/>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_Toc25475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一、收入支出决算总表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_Toc25475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_Toc16795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二、收入决算表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_Toc16795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_Toc26984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三、支出决算表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_Toc26984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_Toc18294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四、财政拨款收入支出决算总表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_Toc18294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_Toc6617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五、财政拨款支出决算明细表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_Toc6617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_Toc22074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六、一般公共预算财政拨款支出决算表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_Toc22074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_Toc23273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七、一般公共预算财政拨款支出决算明细表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_Toc23273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_Toc25112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八、一般公共预算财政拨款基本支出决算表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_Toc25112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_Toc1219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九、一般公共预算财政拨款项目支出决算表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_Toc1219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_Toc19530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十、政府性基金预算财政拨款收入支出决算表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_Toc19530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_Toc7823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十一、国有资本经营预算财政拨款收入支出决算表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_Toc7823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_Toc18144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十二、国有资本经营预算财政拨款支出决算表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_Toc18144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_Toc25469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十三、财政拨款“三公”经费支出决算表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_Toc25469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5"/>
            <w:jc w:val="center"/>
            <w:rPr>
              <w:rFonts w:hint="eastAsia" w:ascii="Times New Roman" w:hAnsi="Times New Roman" w:eastAsia="方正小标宋简体" w:cs="方正小标宋简体"/>
              <w:b w:val="0"/>
              <w:color w:val="auto"/>
              <w:highlight w:val="none"/>
            </w:rPr>
          </w:pPr>
          <w:r>
            <w:rPr>
              <w:rFonts w:hint="eastAsia" w:ascii="Times New Roman" w:hAnsi="Times New Roman" w:eastAsia="方正小标宋简体" w:cs="方正小标宋简体"/>
              <w:color w:val="auto"/>
              <w:highlight w:val="none"/>
            </w:rPr>
            <w:fldChar w:fldCharType="end"/>
          </w:r>
        </w:p>
      </w:sdtContent>
    </w:sdt>
    <w:p>
      <w:pPr>
        <w:pStyle w:val="14"/>
        <w:bidi w:val="0"/>
        <w:rPr>
          <w:rStyle w:val="29"/>
          <w:rFonts w:hint="eastAsia" w:ascii="Calibri" w:hAnsi="Calibri" w:eastAsia="宋体" w:cs="Times New Roman"/>
          <w:color w:val="auto"/>
          <w:lang w:val="en-US" w:eastAsia="zh-CN" w:bidi="ar-SA"/>
        </w:rPr>
      </w:pPr>
    </w:p>
    <w:p>
      <w:pPr>
        <w:pStyle w:val="14"/>
        <w:bidi w:val="0"/>
        <w:rPr>
          <w:rStyle w:val="29"/>
          <w:rFonts w:hint="eastAsia" w:ascii="Calibri" w:hAnsi="Calibri" w:eastAsia="宋体" w:cs="Times New Roman"/>
          <w:color w:val="auto"/>
          <w:lang w:val="en-US" w:eastAsia="zh-CN" w:bidi="ar-SA"/>
        </w:rPr>
      </w:pPr>
    </w:p>
    <w:p>
      <w:pPr>
        <w:pStyle w:val="14"/>
        <w:bidi w:val="0"/>
        <w:rPr>
          <w:rStyle w:val="29"/>
          <w:rFonts w:hint="eastAsia" w:ascii="Calibri" w:hAnsi="Calibri" w:eastAsia="宋体" w:cs="Times New Roman"/>
          <w:color w:val="auto"/>
          <w:lang w:val="en-US" w:eastAsia="zh-CN" w:bidi="ar-SA"/>
        </w:rPr>
      </w:pPr>
    </w:p>
    <w:p>
      <w:pPr>
        <w:pStyle w:val="14"/>
        <w:bidi w:val="0"/>
        <w:rPr>
          <w:rStyle w:val="29"/>
          <w:rFonts w:hint="eastAsia" w:ascii="Calibri" w:hAnsi="Calibri" w:eastAsia="宋体" w:cs="Times New Roman"/>
          <w:color w:val="auto"/>
          <w:lang w:val="en-US" w:eastAsia="zh-CN" w:bidi="ar-SA"/>
        </w:rPr>
      </w:pPr>
    </w:p>
    <w:p>
      <w:pPr>
        <w:pStyle w:val="14"/>
        <w:bidi w:val="0"/>
        <w:rPr>
          <w:rStyle w:val="29"/>
          <w:rFonts w:hint="eastAsia" w:ascii="Calibri" w:hAnsi="Calibri" w:eastAsia="宋体" w:cs="Times New Roman"/>
          <w:color w:val="auto"/>
          <w:lang w:val="en-US" w:eastAsia="zh-CN" w:bidi="ar-SA"/>
        </w:rPr>
      </w:pPr>
    </w:p>
    <w:p>
      <w:pPr>
        <w:pStyle w:val="14"/>
        <w:bidi w:val="0"/>
        <w:rPr>
          <w:rStyle w:val="29"/>
          <w:rFonts w:hint="eastAsia" w:ascii="Calibri" w:hAnsi="Calibri" w:eastAsia="宋体" w:cs="Times New Roman"/>
          <w:color w:val="auto"/>
          <w:lang w:val="en-US" w:eastAsia="zh-CN" w:bidi="ar-SA"/>
        </w:rPr>
      </w:pPr>
    </w:p>
    <w:p>
      <w:pPr>
        <w:pStyle w:val="14"/>
        <w:bidi w:val="0"/>
        <w:jc w:val="both"/>
        <w:rPr>
          <w:rStyle w:val="29"/>
          <w:rFonts w:hint="eastAsia" w:ascii="Calibri" w:hAnsi="Calibri" w:eastAsia="宋体" w:cs="Times New Roman"/>
          <w:color w:val="auto"/>
          <w:lang w:val="en-US" w:eastAsia="zh-CN" w:bidi="ar-SA"/>
        </w:rPr>
      </w:pPr>
    </w:p>
    <w:p>
      <w:pPr>
        <w:pStyle w:val="14"/>
        <w:bidi w:val="0"/>
        <w:rPr>
          <w:rFonts w:ascii="Times New Roman" w:hAnsi="Times New Roman" w:eastAsia="黑体"/>
          <w:color w:val="auto"/>
          <w:sz w:val="32"/>
          <w:szCs w:val="32"/>
          <w:highlight w:val="none"/>
        </w:rPr>
      </w:pPr>
      <w:bookmarkStart w:id="9" w:name="_Toc9947"/>
      <w:r>
        <w:rPr>
          <w:rStyle w:val="29"/>
          <w:rFonts w:hint="eastAsia" w:ascii="Calibri" w:hAnsi="Calibri" w:eastAsia="宋体" w:cs="Times New Roman"/>
          <w:color w:val="auto"/>
          <w:lang w:val="en-US" w:eastAsia="zh-CN" w:bidi="ar-SA"/>
        </w:rPr>
        <w:t>第一部分  单位概况</w:t>
      </w:r>
      <w:bookmarkEnd w:id="6"/>
      <w:bookmarkEnd w:id="7"/>
      <w:bookmarkEnd w:id="8"/>
      <w:bookmarkEnd w:id="9"/>
    </w:p>
    <w:p>
      <w:pPr>
        <w:pStyle w:val="6"/>
        <w:keepNext/>
        <w:keepLines/>
        <w:pageBreakBefore w:val="0"/>
        <w:widowControl w:val="0"/>
        <w:numPr>
          <w:ilvl w:val="0"/>
          <w:numId w:val="1"/>
        </w:numPr>
        <w:suppressAutoHyphens/>
        <w:kinsoku/>
        <w:wordWrap/>
        <w:overflowPunct/>
        <w:topLinePunct w:val="0"/>
        <w:autoSpaceDE/>
        <w:autoSpaceDN/>
        <w:bidi w:val="0"/>
        <w:adjustRightInd/>
        <w:snapToGrid/>
        <w:spacing w:before="0" w:after="0" w:line="640" w:lineRule="exact"/>
        <w:ind w:firstLine="643" w:firstLineChars="200"/>
        <w:textAlignment w:val="auto"/>
        <w:rPr>
          <w:rFonts w:hint="eastAsia" w:ascii="Cambria" w:hAnsi="Cambria" w:eastAsia="宋体" w:cs="Times New Roman"/>
          <w:color w:val="auto"/>
          <w:lang w:eastAsia="zh-CN"/>
        </w:rPr>
      </w:pPr>
      <w:bookmarkStart w:id="10" w:name="_Toc26340"/>
      <w:bookmarkStart w:id="11" w:name="_Toc27181_WPSOffice_Level2"/>
      <w:r>
        <w:rPr>
          <w:rFonts w:hint="eastAsia" w:ascii="Cambria" w:hAnsi="Cambria" w:eastAsia="宋体" w:cs="Times New Roman"/>
          <w:color w:val="auto"/>
          <w:lang w:eastAsia="zh-CN"/>
        </w:rPr>
        <w:t>单位职责</w:t>
      </w:r>
      <w:bookmarkEnd w:id="10"/>
      <w:bookmarkEnd w:id="11"/>
    </w:p>
    <w:p>
      <w:pPr>
        <w:keepNext w:val="0"/>
        <w:keepLines w:val="0"/>
        <w:pageBreakBefore w:val="0"/>
        <w:widowControl w:val="0"/>
        <w:suppressAutoHyphens/>
        <w:kinsoku/>
        <w:wordWrap/>
        <w:overflowPunct/>
        <w:topLinePunct w:val="0"/>
        <w:autoSpaceDE/>
        <w:autoSpaceDN/>
        <w:bidi w:val="0"/>
        <w:adjustRightInd/>
        <w:snapToGrid/>
        <w:spacing w:line="640" w:lineRule="exact"/>
        <w:ind w:left="0" w:leftChars="0" w:firstLine="0" w:firstLineChars="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执依据法律法规和上级党委、政府授权，代表县委和县政府依法履行辖区内加强党的建设、统筹区域发展、组织公共服务、优化营商环境、实施公共管理、动员社会参与、指导社区（村）自治、维护公共安全等职责，全面负责辖区内地区性、社会性、群众性工作的统筹协调。（一）加强党的建设。强化党的政治建设、思想建设、组织建设、作风建设、纪律建设，把制度建设贯穿其中，深入推进反腐败斗争。落实基层党建工作责任制，加强基层意识形态工作。推进街道社区（村）党建、单位党建、行业党建互联互动。（二）统筹区域发展。统筹落实辖区发展的重大决策，参与辖区建设规划和公共服务设施布局，推动辖区健康、有序、可持续发展。（三）组织公共服务。组织实施与居（村）民生活密切相关的各项公共服务，落实民生保障政策，加强社区（村）服务配套设施和综合服务平台建设，完善社区（村）综合服务功能。切实加强农业农村工作。（四）优化营商环境。优化投资、经营环境，推进重点项目建设和发展，联系和服务驻辖区单位、企业及市场主体，保护各种经济组织的合法权益。（五）实施公共管理。组织领导、推进实施、综合协调辖区内城市管理、人口管理等综合性工作。组织开展辖区内环境综合治理，协助相关部门做好绿化美化、市政公共设施维护管理等工作。（六）动员社会参与。动员指导辖区内各类单位、社会组织和社区居民、村民等社会力量参与社会治理，引导辖区单位履行社会责任，整合辖区内各种社会力量资源为街道社区（村）发展服务。（七）指导社区（村）自治。完善党组织主导的基层民主选举、民主决策、民主管理、民主监督的规则、程序、办法。建立党建引领下的社区居民（村民）委员会、业主委员会、业主监督委员会、物业服务企业协调运行机制。（八）维护公共安全。负责辖区平安建设、社会治安综合治理、公共安全及安全生产监管等相关工作，处理群众来信来访，化解矛盾纠纷。（九）承担法律、法规、规章规定的其他职责和县委、县政府交办的其他任务。</w:t>
      </w:r>
      <w:bookmarkStart w:id="12" w:name="_Toc15377200"/>
      <w:bookmarkStart w:id="13" w:name="_Toc11919_WPSOffice_Level2"/>
      <w:bookmarkStart w:id="14" w:name="_Toc15396601"/>
    </w:p>
    <w:p>
      <w:pPr>
        <w:pStyle w:val="6"/>
        <w:keepNext/>
        <w:keepLines/>
        <w:pageBreakBefore w:val="0"/>
        <w:widowControl w:val="0"/>
        <w:numPr>
          <w:ilvl w:val="0"/>
          <w:numId w:val="1"/>
        </w:numPr>
        <w:suppressAutoHyphens/>
        <w:kinsoku/>
        <w:wordWrap/>
        <w:overflowPunct/>
        <w:topLinePunct w:val="0"/>
        <w:autoSpaceDE/>
        <w:autoSpaceDN/>
        <w:bidi w:val="0"/>
        <w:adjustRightInd/>
        <w:snapToGrid/>
        <w:spacing w:before="0" w:after="0" w:line="640" w:lineRule="exact"/>
        <w:ind w:firstLine="640" w:firstLineChars="200"/>
        <w:textAlignment w:val="auto"/>
        <w:rPr>
          <w:rFonts w:hint="eastAsia" w:ascii="黑体" w:hAnsi="黑体" w:eastAsia="黑体" w:cs="Times New Roman"/>
          <w:b w:val="0"/>
          <w:color w:val="auto"/>
          <w:highlight w:val="none"/>
          <w:lang w:eastAsia="zh-CN"/>
        </w:rPr>
      </w:pPr>
      <w:bookmarkStart w:id="15" w:name="_Toc2141"/>
      <w:r>
        <w:rPr>
          <w:rFonts w:hint="eastAsia" w:ascii="黑体" w:hAnsi="黑体" w:eastAsia="黑体" w:cs="Times New Roman"/>
          <w:b w:val="0"/>
          <w:color w:val="auto"/>
          <w:highlight w:val="none"/>
          <w:lang w:val="en-US" w:eastAsia="zh-CN"/>
        </w:rPr>
        <w:t>机构设置</w:t>
      </w:r>
      <w:bookmarkEnd w:id="12"/>
      <w:bookmarkEnd w:id="13"/>
      <w:bookmarkEnd w:id="14"/>
      <w:bookmarkEnd w:id="15"/>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井研县人民政府研城街道办事处下属二级预算单位7个，其中行政单位1个，参照公务员法管理的事业单位6个，其他事业单位0个。</w:t>
      </w:r>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纳入井研县人民政府研城街道办事处2024年度单位决算编制范围的二级预算单位包括：</w:t>
      </w:r>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bookmarkStart w:id="16" w:name="_Toc15377433"/>
      <w:bookmarkStart w:id="17" w:name="_Toc15378449"/>
      <w:bookmarkStart w:id="18" w:name="_Toc15377202"/>
      <w:bookmarkStart w:id="19" w:name="_Toc15306276"/>
      <w:r>
        <w:rPr>
          <w:rFonts w:hint="eastAsia" w:ascii="仿宋_GB2312" w:hAnsi="仿宋" w:eastAsia="仿宋_GB2312" w:cs="Times New Roman"/>
          <w:color w:val="auto"/>
          <w:sz w:val="32"/>
          <w:szCs w:val="32"/>
          <w:lang w:val="en-US" w:eastAsia="zh-CN"/>
        </w:rPr>
        <w:t>1.井研县人民政府研城街道办事处</w:t>
      </w:r>
      <w:bookmarkEnd w:id="16"/>
      <w:bookmarkEnd w:id="17"/>
      <w:bookmarkEnd w:id="18"/>
      <w:bookmarkEnd w:id="19"/>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2.井研县研城街道便民服务中心</w:t>
      </w:r>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3.井研县研城街道社区（村）治理服务中心</w:t>
      </w:r>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4.井研县高家寺水库管理所</w:t>
      </w:r>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5.井研县霁虹桥水坝管理所</w:t>
      </w:r>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6.井研县新桥水坝管理所</w:t>
      </w:r>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7.井研县研城街道畜牧兽医站</w:t>
      </w: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5"/>
        <w:numPr>
          <w:ilvl w:val="0"/>
          <w:numId w:val="2"/>
        </w:numPr>
        <w:suppressAutoHyphens/>
        <w:bidi w:val="0"/>
        <w:ind w:right="440"/>
        <w:jc w:val="center"/>
        <w:rPr>
          <w:rStyle w:val="29"/>
          <w:rFonts w:hint="eastAsia" w:ascii="黑体" w:hAnsi="黑体" w:eastAsia="黑体" w:cs="Times New Roman"/>
          <w:b w:val="0"/>
          <w:bCs/>
          <w:color w:val="auto"/>
          <w:highlight w:val="none"/>
          <w:lang w:eastAsia="zh-CN"/>
        </w:rPr>
      </w:pPr>
      <w:bookmarkStart w:id="20" w:name="_Toc21746_WPSOffice_Level1"/>
      <w:bookmarkStart w:id="21" w:name="_Toc15377204"/>
      <w:bookmarkStart w:id="22" w:name="_Toc15396602"/>
      <w:bookmarkStart w:id="23" w:name="_Toc10219"/>
      <w:r>
        <w:rPr>
          <w:rStyle w:val="29"/>
          <w:rFonts w:hint="eastAsia" w:ascii="黑体" w:hAnsi="黑体" w:eastAsia="黑体" w:cs="Times New Roman"/>
          <w:b w:val="0"/>
          <w:bCs/>
          <w:color w:val="auto"/>
          <w:highlight w:val="none"/>
          <w:lang w:val="en-US" w:eastAsia="zh-CN"/>
        </w:rPr>
        <w:t>2024年度</w:t>
      </w:r>
      <w:r>
        <w:rPr>
          <w:rStyle w:val="29"/>
          <w:rFonts w:hint="eastAsia" w:ascii="黑体" w:hAnsi="黑体" w:eastAsia="黑体" w:cs="Times New Roman"/>
          <w:b w:val="0"/>
          <w:bCs/>
          <w:color w:val="auto"/>
          <w:highlight w:val="none"/>
          <w:lang w:eastAsia="zh-CN"/>
        </w:rPr>
        <w:t>单位决算情况说明</w:t>
      </w:r>
      <w:bookmarkEnd w:id="20"/>
      <w:bookmarkEnd w:id="21"/>
      <w:bookmarkEnd w:id="22"/>
      <w:bookmarkEnd w:id="23"/>
    </w:p>
    <w:p>
      <w:pPr>
        <w:pStyle w:val="6"/>
        <w:keepNext/>
        <w:keepLines/>
        <w:pageBreakBefore w:val="0"/>
        <w:widowControl w:val="0"/>
        <w:numPr>
          <w:ilvl w:val="0"/>
          <w:numId w:val="0"/>
        </w:numPr>
        <w:suppressAutoHyphens/>
        <w:kinsoku/>
        <w:wordWrap/>
        <w:overflowPunct/>
        <w:topLinePunct w:val="0"/>
        <w:autoSpaceDE/>
        <w:autoSpaceDN/>
        <w:bidi w:val="0"/>
        <w:adjustRightInd/>
        <w:snapToGrid/>
        <w:spacing w:before="0" w:after="0" w:line="640" w:lineRule="exact"/>
        <w:ind w:firstLine="640" w:firstLineChars="200"/>
        <w:textAlignment w:val="auto"/>
        <w:rPr>
          <w:rFonts w:hint="eastAsia" w:ascii="黑体" w:hAnsi="黑体" w:eastAsia="黑体" w:cs="Times New Roman"/>
          <w:b w:val="0"/>
          <w:color w:val="auto"/>
          <w:highlight w:val="none"/>
          <w:lang w:val="en-US" w:eastAsia="zh-CN"/>
        </w:rPr>
      </w:pPr>
      <w:bookmarkStart w:id="24" w:name="_Toc15377205"/>
      <w:bookmarkStart w:id="25" w:name="_Toc15396603"/>
      <w:bookmarkStart w:id="26" w:name="_Toc15819_WPSOffice_Level2"/>
      <w:bookmarkStart w:id="27" w:name="_Toc838"/>
      <w:r>
        <w:rPr>
          <w:rFonts w:hint="eastAsia" w:ascii="黑体" w:hAnsi="黑体" w:eastAsia="黑体" w:cs="Times New Roman"/>
          <w:b w:val="0"/>
          <w:color w:val="auto"/>
          <w:highlight w:val="none"/>
          <w:lang w:val="en-US" w:eastAsia="zh-CN"/>
        </w:rPr>
        <w:t>一、收入支出决算总体情况说明</w:t>
      </w:r>
      <w:bookmarkEnd w:id="24"/>
      <w:bookmarkEnd w:id="25"/>
      <w:bookmarkEnd w:id="26"/>
      <w:bookmarkEnd w:id="27"/>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2024年度收入、支出总计均为3753.13万元。与2023年度相比，收入、支出总计各减少303.18万元，下降7.47%。主要变动原因是2024年的存量资金。</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default" w:eastAsia="仿宋_GB2312" w:cs="仿宋_GB2312"/>
          <w:color w:val="auto"/>
          <w:sz w:val="32"/>
          <w:szCs w:val="32"/>
          <w:highlight w:val="none"/>
          <w:lang w:val="en-US" w:eastAsia="zh-CN"/>
        </w:rPr>
      </w:pPr>
      <w:r>
        <w:drawing>
          <wp:anchor distT="0" distB="0" distL="114300" distR="114300" simplePos="0" relativeHeight="251658240" behindDoc="0" locked="0" layoutInCell="1" allowOverlap="1">
            <wp:simplePos x="0" y="0"/>
            <wp:positionH relativeFrom="column">
              <wp:posOffset>271145</wp:posOffset>
            </wp:positionH>
            <wp:positionV relativeFrom="paragraph">
              <wp:posOffset>-2453005</wp:posOffset>
            </wp:positionV>
            <wp:extent cx="4572000" cy="2743200"/>
            <wp:effectExtent l="4445" t="4445" r="14605" b="14605"/>
            <wp:wrapSquare wrapText="bothSides"/>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pStyle w:val="6"/>
        <w:keepNext/>
        <w:keepLines/>
        <w:pageBreakBefore w:val="0"/>
        <w:widowControl w:val="0"/>
        <w:numPr>
          <w:ilvl w:val="0"/>
          <w:numId w:val="0"/>
        </w:numPr>
        <w:suppressAutoHyphens/>
        <w:kinsoku/>
        <w:wordWrap/>
        <w:overflowPunct/>
        <w:topLinePunct w:val="0"/>
        <w:autoSpaceDE/>
        <w:autoSpaceDN/>
        <w:bidi w:val="0"/>
        <w:adjustRightInd/>
        <w:snapToGrid/>
        <w:spacing w:before="0" w:after="0" w:line="640" w:lineRule="exact"/>
        <w:ind w:firstLine="640" w:firstLineChars="200"/>
        <w:textAlignment w:val="auto"/>
        <w:rPr>
          <w:rFonts w:hint="eastAsia" w:ascii="黑体" w:hAnsi="黑体" w:eastAsia="黑体" w:cs="Times New Roman"/>
          <w:b w:val="0"/>
          <w:color w:val="auto"/>
          <w:highlight w:val="none"/>
          <w:lang w:val="en-US" w:eastAsia="zh-CN"/>
        </w:rPr>
      </w:pPr>
      <w:bookmarkStart w:id="28" w:name="_Toc15396604"/>
      <w:bookmarkStart w:id="29" w:name="_Toc15377206"/>
      <w:bookmarkStart w:id="30" w:name="_Toc24161_WPSOffice_Level2"/>
      <w:bookmarkStart w:id="31" w:name="_Toc23614"/>
      <w:r>
        <w:rPr>
          <w:rFonts w:hint="eastAsia" w:ascii="黑体" w:hAnsi="黑体" w:eastAsia="黑体" w:cs="Times New Roman"/>
          <w:b w:val="0"/>
          <w:color w:val="auto"/>
          <w:highlight w:val="none"/>
          <w:lang w:val="en-US" w:eastAsia="zh-CN"/>
        </w:rPr>
        <w:t>二、收入决算情况说明</w:t>
      </w:r>
      <w:bookmarkEnd w:id="28"/>
      <w:bookmarkEnd w:id="29"/>
      <w:bookmarkEnd w:id="30"/>
      <w:bookmarkEnd w:id="31"/>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2024年度本年收入合计3753.13万元，其中：一般公共预算财政拨款收入3684.05万元，占98.16%；政府性基金预算财政拨款收入69.08万元，占1.84%；国有资本经营预算财政拨款收入0万元，占0%；上级补助收入0万元，占0%；事业收入0万元，占0%；经营收入0万元，占0%；附属单位上缴收入0万元，占0%；其他收入0万元，占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 w:eastAsia="仿宋_GB2312" w:cs="Times New Roman"/>
          <w:color w:val="auto"/>
          <w:kern w:val="2"/>
          <w:sz w:val="32"/>
          <w:szCs w:val="32"/>
          <w:lang w:val="en-US" w:eastAsia="zh-CN" w:bidi="ar-SA"/>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eastAsia" w:ascii="仿宋_GB2312" w:hAnsi="仿宋" w:eastAsia="仿宋_GB2312" w:cs="Times New Roman"/>
          <w:color w:val="auto"/>
          <w:kern w:val="2"/>
          <w:sz w:val="32"/>
          <w:szCs w:val="32"/>
          <w:lang w:val="en-US" w:eastAsia="zh-CN" w:bidi="ar-SA"/>
        </w:rPr>
      </w:pPr>
      <w:r>
        <w:drawing>
          <wp:anchor distT="0" distB="0" distL="114300" distR="114300" simplePos="0" relativeHeight="251659264" behindDoc="0" locked="0" layoutInCell="1" allowOverlap="1">
            <wp:simplePos x="0" y="0"/>
            <wp:positionH relativeFrom="column">
              <wp:posOffset>309245</wp:posOffset>
            </wp:positionH>
            <wp:positionV relativeFrom="paragraph">
              <wp:posOffset>33020</wp:posOffset>
            </wp:positionV>
            <wp:extent cx="4572000" cy="2743200"/>
            <wp:effectExtent l="4445" t="4445" r="14605" b="14605"/>
            <wp:wrapSquare wrapText="bothSides"/>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仿宋_GB2312" w:hAnsi="仿宋" w:eastAsia="仿宋_GB2312" w:cs="Times New Roman"/>
          <w:color w:val="auto"/>
          <w:kern w:val="2"/>
          <w:sz w:val="32"/>
          <w:szCs w:val="32"/>
          <w:lang w:val="en-US" w:eastAsia="zh-CN" w:bidi="ar-SA"/>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 w:eastAsia="仿宋_GB2312" w:cs="Times New Roman"/>
          <w:color w:val="auto"/>
          <w:kern w:val="2"/>
          <w:sz w:val="32"/>
          <w:szCs w:val="32"/>
          <w:lang w:val="en-US" w:eastAsia="zh-CN" w:bidi="ar-SA"/>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 w:eastAsia="仿宋_GB2312" w:cs="Times New Roman"/>
          <w:color w:val="auto"/>
          <w:kern w:val="2"/>
          <w:sz w:val="32"/>
          <w:szCs w:val="32"/>
          <w:lang w:val="en-US" w:eastAsia="zh-CN" w:bidi="ar-SA"/>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 w:eastAsia="仿宋_GB2312" w:cs="Times New Roman"/>
          <w:color w:val="auto"/>
          <w:kern w:val="2"/>
          <w:sz w:val="32"/>
          <w:szCs w:val="32"/>
          <w:lang w:val="en-US" w:eastAsia="zh-CN" w:bidi="ar-SA"/>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pStyle w:val="6"/>
        <w:keepNext/>
        <w:keepLines/>
        <w:pageBreakBefore w:val="0"/>
        <w:widowControl w:val="0"/>
        <w:numPr>
          <w:ilvl w:val="0"/>
          <w:numId w:val="0"/>
        </w:numPr>
        <w:suppressAutoHyphens/>
        <w:kinsoku/>
        <w:wordWrap/>
        <w:overflowPunct/>
        <w:topLinePunct w:val="0"/>
        <w:autoSpaceDE/>
        <w:autoSpaceDN/>
        <w:bidi w:val="0"/>
        <w:adjustRightInd/>
        <w:snapToGrid/>
        <w:spacing w:before="0" w:after="0" w:line="640" w:lineRule="exact"/>
        <w:ind w:firstLine="640" w:firstLineChars="200"/>
        <w:textAlignment w:val="auto"/>
        <w:rPr>
          <w:rFonts w:hint="eastAsia" w:ascii="黑体" w:hAnsi="黑体" w:eastAsia="黑体" w:cs="Times New Roman"/>
          <w:b w:val="0"/>
          <w:color w:val="auto"/>
          <w:highlight w:val="none"/>
          <w:lang w:val="en-US" w:eastAsia="zh-CN"/>
        </w:rPr>
      </w:pPr>
      <w:bookmarkStart w:id="32" w:name="_Toc15466"/>
      <w:bookmarkStart w:id="33" w:name="_Toc15396605"/>
      <w:bookmarkStart w:id="34" w:name="_Toc10097_WPSOffice_Level2"/>
      <w:bookmarkStart w:id="35" w:name="_Toc15377207"/>
      <w:r>
        <w:rPr>
          <w:rFonts w:hint="eastAsia" w:ascii="黑体" w:hAnsi="黑体" w:eastAsia="黑体" w:cs="Times New Roman"/>
          <w:b w:val="0"/>
          <w:color w:val="auto"/>
          <w:highlight w:val="none"/>
          <w:lang w:val="en-US" w:eastAsia="zh-CN"/>
        </w:rPr>
        <w:t>三、支出决算情况说明</w:t>
      </w:r>
      <w:bookmarkEnd w:id="32"/>
      <w:bookmarkEnd w:id="33"/>
      <w:bookmarkEnd w:id="34"/>
      <w:bookmarkEnd w:id="35"/>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2024年度本年支出合计3753.13万元，其中：基本支出1972.69万元，占52.56%；项目支出1780.44万元，占47.44%；上缴上级支出0万元，占0%；经营支出0万元，占0%；对附属单位补助支出0万元，占0%。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outlineLvl w:val="1"/>
        <w:rPr>
          <w:rFonts w:hint="eastAsia" w:ascii="仿宋_GB2312" w:hAnsi="仿宋_GB2312" w:eastAsia="仿宋_GB2312" w:cs="仿宋_GB2312"/>
          <w:color w:val="auto"/>
          <w:sz w:val="32"/>
          <w:szCs w:val="32"/>
          <w:highlight w:val="none"/>
          <w:lang w:eastAsia="zh-CN"/>
        </w:rPr>
      </w:pPr>
      <w:r>
        <w:drawing>
          <wp:anchor distT="0" distB="0" distL="114300" distR="114300" simplePos="0" relativeHeight="251660288" behindDoc="0" locked="0" layoutInCell="1" allowOverlap="1">
            <wp:simplePos x="0" y="0"/>
            <wp:positionH relativeFrom="column">
              <wp:posOffset>404495</wp:posOffset>
            </wp:positionH>
            <wp:positionV relativeFrom="paragraph">
              <wp:posOffset>118745</wp:posOffset>
            </wp:positionV>
            <wp:extent cx="4143375" cy="2476500"/>
            <wp:effectExtent l="4445" t="4445" r="5080" b="14605"/>
            <wp:wrapSquare wrapText="bothSides"/>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pStyle w:val="6"/>
        <w:keepNext/>
        <w:keepLines/>
        <w:pageBreakBefore w:val="0"/>
        <w:widowControl w:val="0"/>
        <w:numPr>
          <w:ilvl w:val="0"/>
          <w:numId w:val="0"/>
        </w:numPr>
        <w:suppressAutoHyphens/>
        <w:kinsoku/>
        <w:wordWrap/>
        <w:overflowPunct/>
        <w:topLinePunct w:val="0"/>
        <w:autoSpaceDE/>
        <w:autoSpaceDN/>
        <w:bidi w:val="0"/>
        <w:adjustRightInd/>
        <w:snapToGrid/>
        <w:spacing w:before="0" w:after="0" w:line="640" w:lineRule="exact"/>
        <w:ind w:firstLine="640" w:firstLineChars="200"/>
        <w:textAlignment w:val="auto"/>
        <w:rPr>
          <w:rFonts w:hint="eastAsia" w:ascii="黑体" w:hAnsi="黑体" w:eastAsia="黑体" w:cs="Times New Roman"/>
          <w:b w:val="0"/>
          <w:color w:val="auto"/>
          <w:highlight w:val="none"/>
          <w:lang w:val="en-US" w:eastAsia="zh-CN"/>
        </w:rPr>
      </w:pPr>
      <w:bookmarkStart w:id="36" w:name="_Toc15377208"/>
      <w:bookmarkStart w:id="37" w:name="_Toc15396606"/>
      <w:bookmarkStart w:id="38" w:name="_Toc19128_WPSOffice_Level2"/>
      <w:bookmarkStart w:id="39" w:name="_Toc28533"/>
      <w:r>
        <w:rPr>
          <w:rFonts w:hint="eastAsia" w:ascii="黑体" w:hAnsi="黑体" w:eastAsia="黑体" w:cs="Times New Roman"/>
          <w:b w:val="0"/>
          <w:color w:val="auto"/>
          <w:highlight w:val="none"/>
          <w:lang w:val="en-US" w:eastAsia="zh-CN"/>
        </w:rPr>
        <w:t>四、财政拨款收入支出决算总体情况说明</w:t>
      </w:r>
      <w:bookmarkEnd w:id="36"/>
      <w:bookmarkEnd w:id="37"/>
      <w:bookmarkEnd w:id="38"/>
      <w:bookmarkEnd w:id="39"/>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2024年度财政拨款收入、支出总计均为3753.13万元。与2023年度相比，财政拨款收入总计、支出总计各减少303.18万元，下降7.47%。主要变动原因是2024年的存量资金。</w:t>
      </w:r>
    </w:p>
    <w:p>
      <w:pPr>
        <w:pStyle w:val="14"/>
        <w:rPr>
          <w:rFonts w:hint="eastAsia"/>
          <w:lang w:val="en-US" w:eastAsia="zh-CN"/>
        </w:rPr>
      </w:pPr>
      <w:r>
        <w:drawing>
          <wp:inline distT="0" distB="0" distL="114300" distR="114300">
            <wp:extent cx="4572000" cy="2743200"/>
            <wp:effectExtent l="4445" t="4445" r="14605" b="1460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pStyle w:val="6"/>
        <w:keepNext/>
        <w:keepLines/>
        <w:pageBreakBefore w:val="0"/>
        <w:widowControl w:val="0"/>
        <w:numPr>
          <w:ilvl w:val="0"/>
          <w:numId w:val="0"/>
        </w:numPr>
        <w:suppressAutoHyphens/>
        <w:kinsoku/>
        <w:wordWrap/>
        <w:overflowPunct/>
        <w:topLinePunct w:val="0"/>
        <w:autoSpaceDE/>
        <w:autoSpaceDN/>
        <w:bidi w:val="0"/>
        <w:adjustRightInd/>
        <w:snapToGrid/>
        <w:spacing w:before="0" w:after="0" w:line="640" w:lineRule="exact"/>
        <w:ind w:firstLine="640" w:firstLineChars="200"/>
        <w:textAlignment w:val="auto"/>
        <w:rPr>
          <w:rFonts w:hint="eastAsia" w:ascii="黑体" w:hAnsi="黑体" w:eastAsia="黑体" w:cs="Times New Roman"/>
          <w:b w:val="0"/>
          <w:color w:val="auto"/>
          <w:highlight w:val="none"/>
          <w:lang w:val="en-US" w:eastAsia="zh-CN"/>
        </w:rPr>
      </w:pPr>
      <w:bookmarkStart w:id="40" w:name="_Toc10415_WPSOffice_Level2"/>
      <w:bookmarkStart w:id="41" w:name="_Toc15396607"/>
      <w:bookmarkStart w:id="42" w:name="_Toc15377209"/>
      <w:bookmarkStart w:id="43" w:name="_Toc27838"/>
      <w:r>
        <w:rPr>
          <w:rFonts w:hint="eastAsia" w:ascii="黑体" w:hAnsi="黑体" w:eastAsia="黑体" w:cs="Times New Roman"/>
          <w:b w:val="0"/>
          <w:color w:val="auto"/>
          <w:highlight w:val="none"/>
          <w:lang w:val="en-US" w:eastAsia="zh-CN"/>
        </w:rPr>
        <w:t>五、一般公共预算财政拨款支出决算情况说明</w:t>
      </w:r>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b/>
          <w:bCs/>
          <w:sz w:val="32"/>
          <w:szCs w:val="32"/>
        </w:rPr>
      </w:pPr>
      <w:bookmarkStart w:id="44" w:name="_Toc15377210"/>
      <w:r>
        <w:rPr>
          <w:rFonts w:hint="eastAsia"/>
          <w:b/>
          <w:bCs/>
          <w:sz w:val="32"/>
          <w:szCs w:val="32"/>
        </w:rPr>
        <w:t>（一）一般公共预算财政拨款支出决算总体情况</w:t>
      </w:r>
      <w:bookmarkEnd w:id="44"/>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2024年度一般公共预算财政拨款支出3684.05万元，占本年支出合计的98.16%。与2023年度相比，一般公共预算财政拨款支出减少301.19万元，下降7.56%。主要变动原因是2024年的存量资金。</w:t>
      </w:r>
    </w:p>
    <w:p>
      <w:pPr>
        <w:pStyle w:val="14"/>
        <w:rPr>
          <w:rFonts w:hint="eastAsia" w:ascii="仿宋_GB2312" w:hAnsi="仿宋" w:eastAsia="仿宋_GB2312" w:cs="Times New Roman"/>
          <w:color w:val="auto"/>
          <w:sz w:val="32"/>
          <w:szCs w:val="32"/>
          <w:lang w:val="en-US" w:eastAsia="zh-CN"/>
        </w:rPr>
      </w:pPr>
    </w:p>
    <w:p>
      <w:pPr>
        <w:rPr>
          <w:rFonts w:hint="eastAsia" w:ascii="仿宋_GB2312" w:hAnsi="仿宋" w:eastAsia="仿宋_GB2312" w:cs="Times New Roman"/>
          <w:color w:val="auto"/>
          <w:sz w:val="32"/>
          <w:szCs w:val="32"/>
          <w:lang w:val="en-US" w:eastAsia="zh-CN"/>
        </w:rPr>
      </w:pPr>
    </w:p>
    <w:p>
      <w:pPr>
        <w:pStyle w:val="14"/>
        <w:rPr>
          <w:rFonts w:hint="default"/>
          <w:lang w:val="en-US" w:eastAsia="zh-CN"/>
        </w:rPr>
      </w:pPr>
      <w:r>
        <w:drawing>
          <wp:inline distT="0" distB="0" distL="114300" distR="114300">
            <wp:extent cx="4572000" cy="2743200"/>
            <wp:effectExtent l="4445" t="4445" r="14605" b="14605"/>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（柱状图）</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宋体" w:cs="Times New Roman"/>
          <w:b/>
          <w:bCs/>
          <w:sz w:val="32"/>
          <w:szCs w:val="32"/>
        </w:rPr>
      </w:pPr>
      <w:bookmarkStart w:id="45" w:name="_Toc15377211"/>
      <w:r>
        <w:rPr>
          <w:rFonts w:hint="eastAsia" w:ascii="Times New Roman" w:hAnsi="Times New Roman" w:eastAsia="宋体" w:cs="Times New Roman"/>
          <w:b/>
          <w:bCs/>
          <w:sz w:val="32"/>
          <w:szCs w:val="32"/>
        </w:rPr>
        <w:t>（二）一般公共预算财政拨款支出决算结构情况</w:t>
      </w:r>
      <w:bookmarkEnd w:id="45"/>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2024年度一般公共预算财政拨款支出3684.05万元，主要用于以下方面：一般公共服务支出1655.52万元，占44.94%；社会保障和就业支出315.23万元，占8.56%；卫生健康支出62.39万元，占1.69%；节能环保支出23.36万元，占0.63%；城乡社区支出37.77万元，占1.03%；农林水支出1441.6万元，占39.13%；住房保障支出148.16万元，占4.02%。</w:t>
      </w:r>
    </w:p>
    <w:p>
      <w:pPr>
        <w:pStyle w:val="14"/>
        <w:rPr>
          <w:rFonts w:hint="default"/>
          <w:lang w:val="en-US" w:eastAsia="zh-CN"/>
        </w:rPr>
      </w:pPr>
      <w:r>
        <w:drawing>
          <wp:inline distT="0" distB="0" distL="114300" distR="114300">
            <wp:extent cx="4848225" cy="2743200"/>
            <wp:effectExtent l="4445" t="4445" r="5080" b="1460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（饼状图）</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宋体" w:cs="Times New Roman"/>
          <w:b/>
          <w:bCs/>
          <w:sz w:val="32"/>
          <w:szCs w:val="32"/>
        </w:rPr>
      </w:pPr>
      <w:bookmarkStart w:id="46" w:name="_Toc15377212"/>
      <w:r>
        <w:rPr>
          <w:rFonts w:hint="eastAsia" w:ascii="Times New Roman" w:hAnsi="Times New Roman" w:eastAsia="宋体" w:cs="Times New Roman"/>
          <w:b/>
          <w:bCs/>
          <w:sz w:val="32"/>
          <w:szCs w:val="32"/>
        </w:rPr>
        <w:t>（三）一般公共预算财政拨款支出决算具体情况</w:t>
      </w:r>
      <w:bookmarkEnd w:id="46"/>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bookmarkStart w:id="47" w:name="_Toc15377444"/>
      <w:bookmarkStart w:id="48" w:name="_Toc15378460"/>
      <w:bookmarkStart w:id="49" w:name="_Toc15377213"/>
      <w:r>
        <w:rPr>
          <w:rFonts w:hint="eastAsia" w:ascii="仿宋_GB2312" w:hAnsi="仿宋" w:eastAsia="仿宋_GB2312" w:cs="Times New Roman"/>
          <w:color w:val="auto"/>
          <w:sz w:val="32"/>
          <w:szCs w:val="32"/>
          <w:lang w:val="en-US" w:eastAsia="zh-CN"/>
        </w:rPr>
        <w:t>2024年度一般公共预算财政拨款支出决算数为3684.05</w:t>
      </w:r>
      <w:r>
        <w:rPr>
          <w:rFonts w:hint="eastAsia" w:ascii="仿宋_GB2312" w:hAnsi="仿宋" w:eastAsia="仿宋_GB2312" w:cs="Times New Roman"/>
          <w:color w:val="auto"/>
          <w:sz w:val="32"/>
          <w:szCs w:val="32"/>
          <w:highlight w:val="none"/>
          <w:lang w:val="en-US" w:eastAsia="zh-CN"/>
        </w:rPr>
        <w:t>万元，完成预算99.98%。</w:t>
      </w:r>
      <w:r>
        <w:rPr>
          <w:rFonts w:hint="eastAsia" w:ascii="仿宋_GB2312" w:hAnsi="仿宋" w:eastAsia="仿宋_GB2312" w:cs="Times New Roman"/>
          <w:color w:val="auto"/>
          <w:sz w:val="32"/>
          <w:szCs w:val="32"/>
          <w:lang w:val="en-US" w:eastAsia="zh-CN"/>
        </w:rPr>
        <w:t>其中：</w:t>
      </w:r>
      <w:bookmarkEnd w:id="47"/>
      <w:bookmarkEnd w:id="48"/>
      <w:bookmarkEnd w:id="49"/>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lang w:val="zh-CN" w:eastAsia="zh-CN"/>
        </w:rPr>
        <w:t>一般公共服务（类）人大事务（款）其他人大事务支出（项）: 支出决算为</w:t>
      </w:r>
      <w:r>
        <w:rPr>
          <w:rFonts w:hint="eastAsia" w:ascii="仿宋_GB2312" w:hAnsi="仿宋" w:eastAsia="仿宋_GB2312" w:cs="Times New Roman"/>
          <w:sz w:val="32"/>
          <w:szCs w:val="32"/>
          <w:lang w:val="en-US" w:eastAsia="zh-CN"/>
        </w:rPr>
        <w:t>4.54万元，完成预算100%。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lang w:val="zh-CN" w:eastAsia="zh-CN"/>
        </w:rPr>
        <w:t>一般公共服务（类）政府办公厅（室）及相关机构事务（款）行政运行（项）: 支出决算</w:t>
      </w:r>
      <w:r>
        <w:rPr>
          <w:rFonts w:hint="eastAsia" w:ascii="仿宋_GB2312" w:hAnsi="仿宋" w:eastAsia="仿宋_GB2312" w:cs="Times New Roman"/>
          <w:sz w:val="32"/>
          <w:szCs w:val="32"/>
          <w:lang w:val="en-US" w:eastAsia="zh-CN"/>
        </w:rPr>
        <w:t>551.34</w:t>
      </w:r>
      <w:r>
        <w:rPr>
          <w:rFonts w:hint="eastAsia" w:ascii="仿宋_GB2312" w:hAnsi="仿宋" w:eastAsia="仿宋_GB2312" w:cs="Times New Roman"/>
          <w:sz w:val="32"/>
          <w:szCs w:val="32"/>
          <w:lang w:val="zh-CN" w:eastAsia="zh-CN"/>
        </w:rPr>
        <w:t>万元，完成预算</w:t>
      </w:r>
      <w:r>
        <w:rPr>
          <w:rFonts w:hint="eastAsia" w:ascii="仿宋_GB2312" w:hAnsi="仿宋" w:eastAsia="仿宋_GB2312" w:cs="Times New Roman"/>
          <w:sz w:val="32"/>
          <w:szCs w:val="32"/>
          <w:lang w:val="en-US" w:eastAsia="zh-CN"/>
        </w:rPr>
        <w:t>99.86</w:t>
      </w:r>
      <w:r>
        <w:rPr>
          <w:rFonts w:hint="eastAsia" w:ascii="仿宋_GB2312" w:hAnsi="仿宋" w:eastAsia="仿宋_GB2312" w:cs="Times New Roman"/>
          <w:sz w:val="32"/>
          <w:szCs w:val="32"/>
          <w:lang w:val="zh-CN" w:eastAsia="zh-CN"/>
        </w:rPr>
        <w:t>%，</w:t>
      </w:r>
      <w:r>
        <w:rPr>
          <w:rFonts w:hint="eastAsia" w:ascii="仿宋_GB2312" w:hAnsi="仿宋" w:eastAsia="仿宋_GB2312" w:cs="Times New Roman"/>
          <w:sz w:val="32"/>
          <w:szCs w:val="32"/>
          <w:lang w:val="en-US" w:eastAsia="zh-CN"/>
        </w:rPr>
        <w:t>预算数大于决算数的主要原因是公务用车保险、加油服务纳入框架协议采购，公务用车维修进行定点维修，剩余指标为非采购指标。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lang w:val="zh-CN" w:eastAsia="zh-CN"/>
        </w:rPr>
        <w:t>一般公共服务（类）政府办公厅（室）及相关机构事务（款）一般行政管理事务（项）支出决算为</w:t>
      </w:r>
      <w:r>
        <w:rPr>
          <w:rFonts w:hint="eastAsia" w:ascii="仿宋_GB2312" w:hAnsi="仿宋" w:eastAsia="仿宋_GB2312" w:cs="Times New Roman"/>
          <w:sz w:val="32"/>
          <w:szCs w:val="32"/>
          <w:lang w:val="en-US" w:eastAsia="zh-CN"/>
        </w:rPr>
        <w:t>163.18</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lang w:val="zh-CN" w:eastAsia="zh-CN"/>
        </w:rPr>
        <w:t>一般公共服务（类）政府办公厅（室）及相关机构事务（款）事业运行（项）支出决算为</w:t>
      </w:r>
      <w:r>
        <w:rPr>
          <w:rFonts w:hint="eastAsia" w:ascii="仿宋_GB2312" w:hAnsi="仿宋" w:eastAsia="仿宋_GB2312" w:cs="Times New Roman"/>
          <w:sz w:val="32"/>
          <w:szCs w:val="32"/>
          <w:lang w:val="en-US" w:eastAsia="zh-CN"/>
        </w:rPr>
        <w:t>933.94</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lang w:val="zh-CN" w:eastAsia="zh-CN"/>
        </w:rPr>
        <w:t>一般公共服务（类）政府办公厅（室）及相关机构事务（款）其他政府办公厅（室）及相关机构事务支出（项）支出决算为</w:t>
      </w:r>
      <w:r>
        <w:rPr>
          <w:rFonts w:hint="eastAsia" w:ascii="仿宋_GB2312" w:hAnsi="仿宋" w:eastAsia="仿宋_GB2312" w:cs="Times New Roman"/>
          <w:sz w:val="32"/>
          <w:szCs w:val="32"/>
          <w:lang w:val="en-US" w:eastAsia="zh-CN"/>
        </w:rPr>
        <w:t>2.52</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6.</w:t>
      </w:r>
      <w:r>
        <w:rPr>
          <w:rFonts w:hint="eastAsia" w:ascii="仿宋_GB2312" w:hAnsi="仿宋" w:eastAsia="仿宋_GB2312" w:cs="Times New Roman"/>
          <w:sz w:val="32"/>
          <w:szCs w:val="32"/>
          <w:lang w:val="zh-CN" w:eastAsia="zh-CN"/>
        </w:rPr>
        <w:t>社会保障和就业支出（类）民政管理事务（款）基层政权建设和社区治理（项）支出决算为</w:t>
      </w:r>
      <w:r>
        <w:rPr>
          <w:rFonts w:hint="eastAsia" w:ascii="仿宋_GB2312" w:hAnsi="仿宋" w:eastAsia="仿宋_GB2312" w:cs="Times New Roman"/>
          <w:sz w:val="32"/>
          <w:szCs w:val="32"/>
          <w:lang w:val="en-US" w:eastAsia="zh-CN"/>
        </w:rPr>
        <w:t>37.73</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7.</w:t>
      </w:r>
      <w:r>
        <w:rPr>
          <w:rFonts w:hint="eastAsia" w:ascii="仿宋_GB2312" w:hAnsi="仿宋" w:eastAsia="仿宋_GB2312" w:cs="Times New Roman"/>
          <w:sz w:val="32"/>
          <w:szCs w:val="32"/>
          <w:lang w:val="zh-CN" w:eastAsia="zh-CN"/>
        </w:rPr>
        <w:t>社会保障和就业支出（类）行政事业单位养老支出（款）机关事业单位基本养老保险缴费支出（项）支出决算为</w:t>
      </w:r>
      <w:r>
        <w:rPr>
          <w:rFonts w:hint="eastAsia" w:ascii="仿宋_GB2312" w:hAnsi="仿宋" w:eastAsia="仿宋_GB2312" w:cs="Times New Roman"/>
          <w:sz w:val="32"/>
          <w:szCs w:val="32"/>
          <w:lang w:val="en-US" w:eastAsia="zh-CN"/>
        </w:rPr>
        <w:t>169.17</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8.</w:t>
      </w:r>
      <w:r>
        <w:rPr>
          <w:rFonts w:hint="eastAsia" w:ascii="仿宋_GB2312" w:hAnsi="仿宋" w:eastAsia="仿宋_GB2312" w:cs="Times New Roman"/>
          <w:sz w:val="32"/>
          <w:szCs w:val="32"/>
          <w:lang w:val="zh-CN" w:eastAsia="zh-CN"/>
        </w:rPr>
        <w:t>社会保障和就业支出（类）行政事业单位养老支出（款）机关事业单位职业年金缴费支出（项）支出决算为</w:t>
      </w:r>
      <w:r>
        <w:rPr>
          <w:rFonts w:hint="eastAsia" w:ascii="仿宋_GB2312" w:hAnsi="仿宋" w:eastAsia="仿宋_GB2312" w:cs="Times New Roman"/>
          <w:sz w:val="32"/>
          <w:szCs w:val="32"/>
          <w:lang w:val="en-US" w:eastAsia="zh-CN"/>
        </w:rPr>
        <w:t>107.68</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9.</w:t>
      </w:r>
      <w:r>
        <w:rPr>
          <w:rFonts w:hint="eastAsia" w:ascii="仿宋_GB2312" w:hAnsi="仿宋" w:eastAsia="仿宋_GB2312" w:cs="Times New Roman"/>
          <w:sz w:val="32"/>
          <w:szCs w:val="32"/>
          <w:lang w:val="zh-CN" w:eastAsia="zh-CN"/>
        </w:rPr>
        <w:t>社会保障和就业支出（类）其他生活救助（款）其他农村生活救助（项）支出决算为</w:t>
      </w:r>
      <w:r>
        <w:rPr>
          <w:rFonts w:hint="eastAsia" w:ascii="仿宋_GB2312" w:hAnsi="仿宋" w:eastAsia="仿宋_GB2312" w:cs="Times New Roman"/>
          <w:sz w:val="32"/>
          <w:szCs w:val="32"/>
          <w:lang w:val="en-US" w:eastAsia="zh-CN"/>
        </w:rPr>
        <w:t>0.65</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10.</w:t>
      </w:r>
      <w:r>
        <w:rPr>
          <w:rFonts w:hint="eastAsia" w:ascii="仿宋_GB2312" w:hAnsi="仿宋" w:eastAsia="仿宋_GB2312" w:cs="Times New Roman"/>
          <w:sz w:val="32"/>
          <w:szCs w:val="32"/>
          <w:lang w:val="zh-CN" w:eastAsia="zh-CN"/>
        </w:rPr>
        <w:t>卫生健康支出（类）行政事业单位医疗（款）行政单位医疗（项）支出决算为</w:t>
      </w:r>
      <w:r>
        <w:rPr>
          <w:rFonts w:hint="eastAsia" w:ascii="仿宋_GB2312" w:hAnsi="仿宋" w:eastAsia="仿宋_GB2312" w:cs="Times New Roman"/>
          <w:sz w:val="32"/>
          <w:szCs w:val="32"/>
          <w:lang w:val="en-US" w:eastAsia="zh-CN"/>
        </w:rPr>
        <w:t>17.88</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11.</w:t>
      </w:r>
      <w:r>
        <w:rPr>
          <w:rFonts w:hint="eastAsia" w:ascii="仿宋_GB2312" w:hAnsi="仿宋" w:eastAsia="仿宋_GB2312" w:cs="Times New Roman"/>
          <w:sz w:val="32"/>
          <w:szCs w:val="32"/>
          <w:lang w:val="zh-CN" w:eastAsia="zh-CN"/>
        </w:rPr>
        <w:t>卫生健康支出（类）行政事业单位医疗（款）事业单位医疗（项）支出决算为</w:t>
      </w:r>
      <w:r>
        <w:rPr>
          <w:rFonts w:hint="eastAsia" w:ascii="仿宋_GB2312" w:hAnsi="仿宋" w:eastAsia="仿宋_GB2312" w:cs="Times New Roman"/>
          <w:sz w:val="32"/>
          <w:szCs w:val="32"/>
          <w:lang w:val="en-US" w:eastAsia="zh-CN"/>
        </w:rPr>
        <w:t>32.33</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12.</w:t>
      </w:r>
      <w:r>
        <w:rPr>
          <w:rFonts w:hint="eastAsia" w:ascii="仿宋_GB2312" w:hAnsi="仿宋" w:eastAsia="仿宋_GB2312" w:cs="Times New Roman"/>
          <w:sz w:val="32"/>
          <w:szCs w:val="32"/>
          <w:lang w:val="zh-CN" w:eastAsia="zh-CN"/>
        </w:rPr>
        <w:t>卫生健康支出（类）行政事业单位医疗（款）公务员医疗补助（项）支出决算为</w:t>
      </w:r>
      <w:r>
        <w:rPr>
          <w:rFonts w:hint="eastAsia" w:ascii="仿宋_GB2312" w:hAnsi="仿宋" w:eastAsia="仿宋_GB2312" w:cs="Times New Roman"/>
          <w:sz w:val="32"/>
          <w:szCs w:val="32"/>
          <w:lang w:val="en-US" w:eastAsia="zh-CN"/>
        </w:rPr>
        <w:t>4.92</w:t>
      </w:r>
      <w:r>
        <w:rPr>
          <w:rFonts w:hint="eastAsia" w:ascii="仿宋_GB2312" w:hAnsi="仿宋" w:eastAsia="仿宋_GB2312" w:cs="Times New Roman"/>
          <w:sz w:val="32"/>
          <w:szCs w:val="32"/>
          <w:lang w:val="zh-CN" w:eastAsia="zh-CN"/>
        </w:rPr>
        <w:t>万元，完成预算</w:t>
      </w:r>
      <w:r>
        <w:rPr>
          <w:rFonts w:hint="eastAsia" w:ascii="仿宋_GB2312" w:hAnsi="仿宋" w:eastAsia="仿宋_GB2312" w:cs="Times New Roman"/>
          <w:sz w:val="32"/>
          <w:szCs w:val="32"/>
          <w:lang w:val="en-US" w:eastAsia="zh-CN"/>
        </w:rPr>
        <w:t>100</w:t>
      </w:r>
      <w:r>
        <w:rPr>
          <w:rFonts w:hint="eastAsia" w:ascii="仿宋_GB2312" w:hAnsi="仿宋" w:eastAsia="仿宋_GB2312" w:cs="Times New Roman"/>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13.</w:t>
      </w:r>
      <w:r>
        <w:rPr>
          <w:rFonts w:hint="eastAsia" w:ascii="仿宋_GB2312" w:hAnsi="仿宋" w:eastAsia="仿宋_GB2312" w:cs="Times New Roman"/>
          <w:sz w:val="32"/>
          <w:szCs w:val="32"/>
          <w:lang w:val="zh-CN" w:eastAsia="zh-CN"/>
        </w:rPr>
        <w:t>卫生健康支出（类）行政事业单位医疗（款）其他行政事业单位医疗支出（项）支出决算为</w:t>
      </w:r>
      <w:r>
        <w:rPr>
          <w:rFonts w:hint="eastAsia" w:ascii="仿宋_GB2312" w:hAnsi="仿宋" w:eastAsia="仿宋_GB2312" w:cs="Times New Roman"/>
          <w:sz w:val="32"/>
          <w:szCs w:val="32"/>
          <w:lang w:val="en-US" w:eastAsia="zh-CN"/>
        </w:rPr>
        <w:t>7.26</w:t>
      </w:r>
      <w:r>
        <w:rPr>
          <w:rFonts w:hint="eastAsia" w:ascii="仿宋_GB2312" w:hAnsi="仿宋" w:eastAsia="仿宋_GB2312" w:cs="Times New Roman"/>
          <w:sz w:val="32"/>
          <w:szCs w:val="32"/>
          <w:lang w:val="zh-CN" w:eastAsia="zh-CN"/>
        </w:rPr>
        <w:t>万元，完成预算</w:t>
      </w:r>
      <w:r>
        <w:rPr>
          <w:rFonts w:hint="eastAsia" w:ascii="仿宋_GB2312" w:hAnsi="仿宋" w:eastAsia="仿宋_GB2312" w:cs="Times New Roman"/>
          <w:sz w:val="32"/>
          <w:szCs w:val="32"/>
          <w:lang w:val="en-US" w:eastAsia="zh-CN"/>
        </w:rPr>
        <w:t>100</w:t>
      </w:r>
      <w:r>
        <w:rPr>
          <w:rFonts w:hint="eastAsia" w:ascii="仿宋_GB2312" w:hAnsi="仿宋" w:eastAsia="仿宋_GB2312" w:cs="Times New Roman"/>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14.</w:t>
      </w:r>
      <w:r>
        <w:rPr>
          <w:rFonts w:hint="eastAsia" w:ascii="仿宋_GB2312" w:hAnsi="仿宋" w:eastAsia="仿宋_GB2312" w:cs="Times New Roman"/>
          <w:sz w:val="32"/>
          <w:szCs w:val="32"/>
          <w:lang w:val="zh-CN" w:eastAsia="zh-CN"/>
        </w:rPr>
        <w:t>节能环保支出（类）污染防治（款）水体（项）支出决算为</w:t>
      </w:r>
      <w:r>
        <w:rPr>
          <w:rFonts w:hint="eastAsia" w:ascii="仿宋_GB2312" w:hAnsi="仿宋" w:eastAsia="仿宋_GB2312" w:cs="Times New Roman"/>
          <w:sz w:val="32"/>
          <w:szCs w:val="32"/>
          <w:lang w:val="en-US" w:eastAsia="zh-CN"/>
        </w:rPr>
        <w:t>23.36</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15.</w:t>
      </w:r>
      <w:r>
        <w:rPr>
          <w:rFonts w:hint="eastAsia" w:ascii="仿宋_GB2312" w:hAnsi="仿宋" w:eastAsia="仿宋_GB2312" w:cs="Times New Roman"/>
          <w:sz w:val="32"/>
          <w:szCs w:val="32"/>
          <w:lang w:val="zh-CN" w:eastAsia="zh-CN"/>
        </w:rPr>
        <w:t>城乡社区支出（类）城乡社区环境卫生（款）城乡社区环境卫生（项）支出决算为</w:t>
      </w:r>
      <w:r>
        <w:rPr>
          <w:rFonts w:hint="eastAsia" w:ascii="仿宋_GB2312" w:hAnsi="仿宋" w:eastAsia="仿宋_GB2312" w:cs="Times New Roman"/>
          <w:sz w:val="32"/>
          <w:szCs w:val="32"/>
          <w:lang w:val="en-US" w:eastAsia="zh-CN"/>
        </w:rPr>
        <w:t>37.77</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16.</w:t>
      </w:r>
      <w:r>
        <w:rPr>
          <w:rFonts w:hint="eastAsia" w:ascii="仿宋_GB2312" w:hAnsi="仿宋" w:eastAsia="仿宋_GB2312" w:cs="Times New Roman"/>
          <w:sz w:val="32"/>
          <w:szCs w:val="32"/>
          <w:lang w:val="zh-CN" w:eastAsia="zh-CN"/>
        </w:rPr>
        <w:t>农林水支出（类）农业农村（款）对高效毕业生到基层任职补助（项）支出决算为</w:t>
      </w:r>
      <w:r>
        <w:rPr>
          <w:rFonts w:hint="eastAsia" w:ascii="仿宋_GB2312" w:hAnsi="仿宋" w:eastAsia="仿宋_GB2312" w:cs="Times New Roman"/>
          <w:sz w:val="32"/>
          <w:szCs w:val="32"/>
          <w:lang w:val="en-US" w:eastAsia="zh-CN"/>
        </w:rPr>
        <w:t>75.56</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17.</w:t>
      </w:r>
      <w:r>
        <w:rPr>
          <w:rFonts w:hint="eastAsia" w:ascii="仿宋_GB2312" w:hAnsi="仿宋" w:eastAsia="仿宋_GB2312" w:cs="Times New Roman"/>
          <w:sz w:val="32"/>
          <w:szCs w:val="32"/>
          <w:lang w:val="zh-CN" w:eastAsia="zh-CN"/>
        </w:rPr>
        <w:t>农林水支出（类）农业农村（款）其他农业农村支出（项）支出决算为</w:t>
      </w:r>
      <w:r>
        <w:rPr>
          <w:rFonts w:hint="eastAsia" w:ascii="仿宋_GB2312" w:hAnsi="仿宋" w:eastAsia="仿宋_GB2312" w:cs="Times New Roman"/>
          <w:sz w:val="32"/>
          <w:szCs w:val="32"/>
          <w:lang w:val="en-US" w:eastAsia="zh-CN"/>
        </w:rPr>
        <w:t>100.08</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18.</w:t>
      </w:r>
      <w:r>
        <w:rPr>
          <w:rFonts w:hint="eastAsia" w:ascii="仿宋_GB2312" w:hAnsi="仿宋" w:eastAsia="仿宋_GB2312" w:cs="Times New Roman"/>
          <w:sz w:val="32"/>
          <w:szCs w:val="32"/>
          <w:lang w:val="zh-CN" w:eastAsia="zh-CN"/>
        </w:rPr>
        <w:t>农林水支出（类）巩固脱贫衔接乡村振兴（款）其他巩固脱贫攻坚成果衔接乡村振兴支出（项）支出决算为</w:t>
      </w:r>
      <w:r>
        <w:rPr>
          <w:rFonts w:hint="eastAsia" w:ascii="仿宋_GB2312" w:hAnsi="仿宋" w:eastAsia="仿宋_GB2312" w:cs="Times New Roman"/>
          <w:sz w:val="32"/>
          <w:szCs w:val="32"/>
          <w:lang w:val="en-US" w:eastAsia="zh-CN"/>
        </w:rPr>
        <w:t>86.17</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19.</w:t>
      </w:r>
      <w:r>
        <w:rPr>
          <w:rFonts w:hint="eastAsia" w:ascii="仿宋_GB2312" w:hAnsi="仿宋" w:eastAsia="仿宋_GB2312" w:cs="Times New Roman"/>
          <w:sz w:val="32"/>
          <w:szCs w:val="32"/>
          <w:lang w:val="zh-CN" w:eastAsia="zh-CN"/>
        </w:rPr>
        <w:t>农林水支出（类）农村综合改革（款）对村级公益事业建设的补助（项）支出决算为</w:t>
      </w:r>
      <w:r>
        <w:rPr>
          <w:rFonts w:hint="eastAsia" w:ascii="仿宋_GB2312" w:hAnsi="仿宋" w:eastAsia="仿宋_GB2312" w:cs="Times New Roman"/>
          <w:sz w:val="32"/>
          <w:szCs w:val="32"/>
          <w:lang w:val="en-US" w:eastAsia="zh-CN"/>
        </w:rPr>
        <w:t>265.71</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20.</w:t>
      </w:r>
      <w:r>
        <w:rPr>
          <w:rFonts w:hint="eastAsia" w:ascii="仿宋_GB2312" w:hAnsi="仿宋" w:eastAsia="仿宋_GB2312" w:cs="Times New Roman"/>
          <w:sz w:val="32"/>
          <w:szCs w:val="32"/>
          <w:lang w:val="zh-CN" w:eastAsia="zh-CN"/>
        </w:rPr>
        <w:t>农林水支出（类）农村综合改革（款）对村民委员会和村党支部的补助（项）支出决算为</w:t>
      </w:r>
      <w:r>
        <w:rPr>
          <w:rFonts w:hint="eastAsia" w:ascii="仿宋_GB2312" w:hAnsi="仿宋" w:eastAsia="仿宋_GB2312" w:cs="Times New Roman"/>
          <w:sz w:val="32"/>
          <w:szCs w:val="32"/>
          <w:lang w:val="en-US" w:eastAsia="zh-CN"/>
        </w:rPr>
        <w:t>914.08</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21.</w:t>
      </w:r>
      <w:r>
        <w:rPr>
          <w:rFonts w:hint="eastAsia" w:ascii="仿宋_GB2312" w:hAnsi="仿宋" w:eastAsia="仿宋_GB2312" w:cs="Times New Roman"/>
          <w:sz w:val="32"/>
          <w:szCs w:val="32"/>
          <w:lang w:val="zh-CN" w:eastAsia="zh-CN"/>
        </w:rPr>
        <w:t>住房保障支出（类）住房改革支出（款）住房公积金（项）支出决算为</w:t>
      </w:r>
      <w:r>
        <w:rPr>
          <w:rFonts w:hint="eastAsia" w:ascii="仿宋_GB2312" w:hAnsi="仿宋" w:eastAsia="仿宋_GB2312" w:cs="Times New Roman"/>
          <w:sz w:val="32"/>
          <w:szCs w:val="32"/>
          <w:lang w:val="en-US" w:eastAsia="zh-CN"/>
        </w:rPr>
        <w:t>148.16</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r>
        <w:rPr>
          <w:rFonts w:hint="eastAsia" w:ascii="仿宋_GB2312" w:hAnsi="仿宋" w:eastAsia="仿宋_GB2312" w:cs="Times New Roman"/>
          <w:sz w:val="32"/>
          <w:szCs w:val="32"/>
          <w:lang w:val="zh-CN" w:eastAsia="zh-CN"/>
        </w:rPr>
        <w:t>。</w:t>
      </w:r>
    </w:p>
    <w:p>
      <w:pPr>
        <w:tabs>
          <w:tab w:val="right" w:pos="8306"/>
        </w:tabs>
        <w:spacing w:line="600" w:lineRule="exact"/>
        <w:ind w:firstLine="640"/>
        <w:outlineLvl w:val="1"/>
        <w:rPr>
          <w:rStyle w:val="30"/>
          <w:rFonts w:ascii="Times New Roman" w:hAnsi="Times New Roman"/>
          <w:color w:val="auto"/>
          <w:highlight w:val="none"/>
        </w:rPr>
      </w:pPr>
      <w:bookmarkStart w:id="50" w:name="_Toc15396608"/>
      <w:bookmarkStart w:id="51" w:name="_Toc15377214"/>
      <w:bookmarkStart w:id="52" w:name="_Toc11735_WPSOffice_Level2"/>
      <w:bookmarkStart w:id="53" w:name="_Toc25333"/>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50"/>
      <w:bookmarkEnd w:id="51"/>
      <w:bookmarkEnd w:id="52"/>
      <w:bookmarkEnd w:id="53"/>
      <w:r>
        <w:rPr>
          <w:rStyle w:val="30"/>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1972.69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lang w:val="en-US" w:eastAsia="zh-CN"/>
        </w:rPr>
        <w:t>1846.22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元，主要包括：基本工资、津贴补贴、奖金、伙食补助费、绩效工资、机关事业单位基本养老保险缴费、职业年金缴费、其他社会保障缴费、生活补助、奖励金、住房公积金。</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126.47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元，主要包括：办公费、印刷费、咨询费、水费、电费、邮电费、差旅费、维修（护）费、劳务费、工会经费、福利费、公务用车运行维护费、其他交通费、其他商品和服务支出。</w:t>
      </w:r>
    </w:p>
    <w:p>
      <w:pPr>
        <w:spacing w:line="600" w:lineRule="exact"/>
        <w:ind w:firstLine="640"/>
        <w:outlineLvl w:val="1"/>
        <w:rPr>
          <w:rStyle w:val="30"/>
          <w:rFonts w:ascii="Times New Roman" w:hAnsi="Times New Roman" w:eastAsia="黑体"/>
          <w:b w:val="0"/>
          <w:color w:val="auto"/>
          <w:highlight w:val="none"/>
        </w:rPr>
      </w:pPr>
      <w:bookmarkStart w:id="54" w:name="_Toc15396609"/>
      <w:bookmarkStart w:id="55" w:name="_Toc15377215"/>
      <w:bookmarkStart w:id="56" w:name="_Toc7649_WPSOffice_Level2"/>
      <w:bookmarkStart w:id="57" w:name="_Toc12877"/>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b/>
          <w:bCs/>
          <w:sz w:val="32"/>
          <w:szCs w:val="32"/>
        </w:rPr>
      </w:pPr>
      <w:bookmarkStart w:id="58" w:name="_Toc15377216"/>
      <w:r>
        <w:rPr>
          <w:rFonts w:hint="eastAsia"/>
          <w:b/>
          <w:bCs/>
          <w:sz w:val="32"/>
          <w:szCs w:val="32"/>
        </w:rPr>
        <w:t>（一）“三公”经费财政拨款支出决算总体情况说明</w:t>
      </w:r>
      <w:bookmarkEnd w:id="58"/>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9.2</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92.09</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较上年减少</w:t>
      </w:r>
      <w:r>
        <w:rPr>
          <w:rFonts w:hint="eastAsia" w:eastAsia="仿宋_GB2312" w:cs="仿宋_GB2312"/>
          <w:color w:val="auto"/>
          <w:kern w:val="2"/>
          <w:sz w:val="32"/>
          <w:szCs w:val="32"/>
          <w:highlight w:val="none"/>
          <w:lang w:val="en-US" w:eastAsia="zh-CN" w:bidi="ar-SA"/>
        </w:rPr>
        <w:t>4.94</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34.94</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w:t>
      </w:r>
      <w:r>
        <w:rPr>
          <w:rFonts w:hint="eastAsia" w:ascii="仿宋_GB2312" w:hAnsi="仿宋" w:eastAsia="仿宋_GB2312" w:cs="Times New Roman"/>
          <w:sz w:val="32"/>
          <w:szCs w:val="32"/>
          <w:lang w:val="en-US" w:eastAsia="zh-CN"/>
        </w:rPr>
        <w:t>公务用车保险、加油服务纳入框架协议采购，公务用车维修进行定点维修，剩余指标为非采购指标。</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宋体" w:cs="Times New Roman"/>
          <w:b/>
          <w:bCs/>
          <w:sz w:val="32"/>
          <w:szCs w:val="32"/>
        </w:rPr>
      </w:pPr>
      <w:bookmarkStart w:id="59" w:name="_Toc15377217"/>
      <w:r>
        <w:rPr>
          <w:rFonts w:hint="eastAsia" w:ascii="Times New Roman" w:hAnsi="Times New Roman" w:eastAsia="宋体" w:cs="Times New Roman"/>
          <w:b/>
          <w:bCs/>
          <w:sz w:val="32"/>
          <w:szCs w:val="32"/>
        </w:rPr>
        <w:t>（二）“三公”经费财政拨款支出决算具体情况说明</w:t>
      </w:r>
      <w:bookmarkEnd w:id="59"/>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9.2</w:t>
      </w:r>
      <w:r>
        <w:rPr>
          <w:rFonts w:hint="eastAsia" w:ascii="仿宋_GB2312" w:hAnsi="仿宋_GB2312" w:eastAsia="仿宋_GB2312" w:cs="仿宋_GB2312"/>
          <w:color w:val="auto"/>
          <w:kern w:val="2"/>
          <w:sz w:val="32"/>
          <w:szCs w:val="32"/>
          <w:highlight w:val="none"/>
          <w:lang w:val="en-US" w:eastAsia="zh-CN" w:bidi="ar-SA"/>
        </w:rPr>
        <w:t>万元，占100%；公务接待费支出决算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万元，占0%。具体情况如下：</w:t>
      </w:r>
    </w:p>
    <w:p>
      <w:pPr>
        <w:pStyle w:val="14"/>
        <w:rPr>
          <w:rFonts w:hint="eastAsia"/>
          <w:lang w:val="en-US" w:eastAsia="zh-CN"/>
        </w:rPr>
      </w:pPr>
      <w:r>
        <w:drawing>
          <wp:inline distT="0" distB="0" distL="114300" distR="114300">
            <wp:extent cx="3752850" cy="2315210"/>
            <wp:effectExtent l="5080" t="4445" r="13970" b="23495"/>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keepNext w:val="0"/>
        <w:keepLines w:val="0"/>
        <w:pageBreakBefore w:val="0"/>
        <w:widowControl w:val="0"/>
        <w:kinsoku/>
        <w:wordWrap/>
        <w:overflowPunct/>
        <w:topLinePunct w:val="0"/>
        <w:autoSpaceDE/>
        <w:autoSpaceDN/>
        <w:bidi w:val="0"/>
        <w:adjustRightInd/>
        <w:snapToGrid/>
        <w:spacing w:line="640" w:lineRule="exact"/>
        <w:ind w:left="0" w:firstLine="643"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w:t>
      </w:r>
      <w:r>
        <w:rPr>
          <w:rFonts w:hint="eastAsia" w:eastAsia="仿宋_GB2312" w:cs="仿宋_GB2312"/>
          <w:color w:val="auto"/>
          <w:kern w:val="2"/>
          <w:sz w:val="32"/>
          <w:szCs w:val="32"/>
          <w:highlight w:val="none"/>
          <w:lang w:val="en-US" w:eastAsia="zh-CN" w:bidi="ar-SA"/>
        </w:rPr>
        <w:t>持平。</w:t>
      </w:r>
    </w:p>
    <w:p>
      <w:pPr>
        <w:keepNext w:val="0"/>
        <w:keepLines w:val="0"/>
        <w:pageBreakBefore w:val="0"/>
        <w:widowControl w:val="0"/>
        <w:kinsoku/>
        <w:wordWrap/>
        <w:overflowPunct/>
        <w:topLinePunct w:val="0"/>
        <w:autoSpaceDE/>
        <w:autoSpaceDN/>
        <w:bidi w:val="0"/>
        <w:adjustRightInd/>
        <w:snapToGrid/>
        <w:spacing w:line="640" w:lineRule="exact"/>
        <w:ind w:left="0" w:firstLine="641"/>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9.2万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92.1</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4.94</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34.94</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hAnsi="仿宋" w:eastAsia="仿宋_GB2312" w:cs="Times New Roman"/>
          <w:sz w:val="32"/>
          <w:szCs w:val="32"/>
          <w:lang w:val="en-US" w:eastAsia="zh-CN"/>
        </w:rPr>
        <w:t>公务用车保险、加油服务纳入框架协议采购，公务用车维修进行定点维修，剩余指标为非采购指标。</w:t>
      </w:r>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9.2</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重推等部门</w:t>
      </w:r>
      <w:r>
        <w:rPr>
          <w:rFonts w:hint="eastAsia" w:ascii="Times New Roman" w:hAnsi="Times New Roman" w:eastAsia="仿宋_GB2312" w:cs="仿宋_GB2312"/>
          <w:color w:val="auto"/>
          <w:kern w:val="2"/>
          <w:sz w:val="32"/>
          <w:szCs w:val="32"/>
          <w:highlight w:val="none"/>
          <w:lang w:val="en-US" w:eastAsia="zh-CN" w:bidi="ar-SA"/>
        </w:rPr>
        <w:t>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厉行节约原则，减少公务接待</w:t>
      </w:r>
      <w:r>
        <w:rPr>
          <w:rFonts w:hint="eastAsia" w:ascii="Times New Roman" w:hAnsi="Times New Roman" w:eastAsia="仿宋_GB2312" w:cs="仿宋_GB2312"/>
          <w:color w:val="auto"/>
          <w:kern w:val="2"/>
          <w:sz w:val="32"/>
          <w:szCs w:val="32"/>
          <w:highlight w:val="none"/>
          <w:lang w:val="en-US" w:eastAsia="zh-CN" w:bidi="ar-SA"/>
        </w:rPr>
        <w:t>。</w:t>
      </w:r>
      <w:bookmarkStart w:id="60" w:name="_Toc15377218"/>
      <w:bookmarkStart w:id="61" w:name="_Toc15396610"/>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outlineLvl w:val="1"/>
        <w:rPr>
          <w:rStyle w:val="30"/>
          <w:rFonts w:ascii="Times New Roman" w:hAnsi="Times New Roman" w:eastAsia="黑体"/>
          <w:color w:val="auto"/>
          <w:highlight w:val="none"/>
        </w:rPr>
      </w:pPr>
      <w:bookmarkStart w:id="62" w:name="_Toc31169"/>
      <w:bookmarkStart w:id="63" w:name="_Toc31023_WPSOffice_Level2"/>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69.08</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1.84</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。与2023年度相比，政府性基金预算财政拨款支出减少</w:t>
      </w:r>
      <w:r>
        <w:rPr>
          <w:rFonts w:hint="eastAsia" w:eastAsia="仿宋_GB2312" w:cs="仿宋_GB2312"/>
          <w:color w:val="auto"/>
          <w:kern w:val="2"/>
          <w:sz w:val="32"/>
          <w:szCs w:val="32"/>
          <w:highlight w:val="none"/>
          <w:lang w:val="en-US" w:eastAsia="zh-CN" w:bidi="ar-SA"/>
        </w:rPr>
        <w:t>1.99</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2.8</w:t>
      </w:r>
      <w:r>
        <w:rPr>
          <w:rFonts w:hint="eastAsia" w:ascii="Times New Roman" w:hAnsi="Times New Roman" w:eastAsia="仿宋_GB2312" w:cs="仿宋_GB2312"/>
          <w:color w:val="auto"/>
          <w:kern w:val="2"/>
          <w:sz w:val="32"/>
          <w:szCs w:val="32"/>
          <w:highlight w:val="none"/>
          <w:lang w:val="en-US" w:eastAsia="zh-CN" w:bidi="ar-SA"/>
        </w:rPr>
        <w:t>%。主要变动原因是因征地，几户农户不再享受土地流转费</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textAlignment w:val="auto"/>
        <w:outlineLvl w:val="1"/>
        <w:rPr>
          <w:rStyle w:val="30"/>
          <w:rFonts w:ascii="Times New Roman" w:hAnsi="Times New Roman" w:eastAsia="黑体"/>
          <w:b w:val="0"/>
          <w:color w:val="auto"/>
          <w:highlight w:val="none"/>
        </w:rPr>
      </w:pPr>
      <w:bookmarkStart w:id="64" w:name="_Toc15396611"/>
      <w:bookmarkStart w:id="65" w:name="_Toc10035_WPSOffice_Level2"/>
      <w:bookmarkStart w:id="66" w:name="_Toc24738"/>
      <w:bookmarkStart w:id="67" w:name="_Toc15377219"/>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64"/>
      <w:bookmarkEnd w:id="65"/>
      <w:bookmarkEnd w:id="66"/>
      <w:bookmarkEnd w:id="67"/>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%。与2023年度相比，国有资本经营预算财政拨款支出</w:t>
      </w:r>
      <w:bookmarkStart w:id="68" w:name="_Toc22217_WPSOffice_Level2"/>
      <w:bookmarkStart w:id="69" w:name="_Toc15377221"/>
      <w:bookmarkStart w:id="70" w:name="_Toc15396612"/>
      <w:r>
        <w:rPr>
          <w:rFonts w:hint="eastAsia" w:ascii="仿宋_GB2312" w:hAnsi="仿宋_GB2312" w:eastAsia="仿宋_GB2312" w:cs="仿宋_GB2312"/>
          <w:sz w:val="32"/>
          <w:szCs w:val="32"/>
          <w:lang w:val="en-US" w:eastAsia="zh-CN"/>
        </w:rPr>
        <w:t>决算数持平。</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textAlignment w:val="auto"/>
        <w:outlineLvl w:val="1"/>
        <w:rPr>
          <w:rStyle w:val="30"/>
          <w:rFonts w:hint="eastAsia" w:ascii="Times New Roman" w:hAnsi="Times New Roman" w:eastAsia="黑体"/>
          <w:b w:val="0"/>
          <w:color w:val="auto"/>
          <w:highlight w:val="none"/>
        </w:rPr>
      </w:pPr>
      <w:bookmarkStart w:id="71" w:name="_Toc6967"/>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line="640" w:lineRule="exact"/>
        <w:ind w:left="0" w:firstLine="643" w:firstLineChars="200"/>
        <w:textAlignment w:val="auto"/>
        <w:rPr>
          <w:rFonts w:hint="eastAsia"/>
          <w:b/>
          <w:bCs/>
          <w:sz w:val="32"/>
          <w:szCs w:val="32"/>
        </w:rPr>
      </w:pPr>
      <w:bookmarkStart w:id="72" w:name="_Toc15377222"/>
      <w:r>
        <w:rPr>
          <w:rFonts w:hint="eastAsia"/>
          <w:b/>
          <w:bCs/>
          <w:sz w:val="32"/>
          <w:szCs w:val="32"/>
        </w:rPr>
        <w:t>（一）机关运行经费支出情况</w:t>
      </w:r>
      <w:bookmarkEnd w:id="72"/>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井研县人民政府研城街道办事处</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126.47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103.03</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44.89</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2024年的存量资金。</w:t>
      </w:r>
    </w:p>
    <w:p>
      <w:pPr>
        <w:keepNext w:val="0"/>
        <w:keepLines w:val="0"/>
        <w:pageBreakBefore w:val="0"/>
        <w:widowControl w:val="0"/>
        <w:kinsoku/>
        <w:wordWrap/>
        <w:overflowPunct/>
        <w:topLinePunct w:val="0"/>
        <w:autoSpaceDE/>
        <w:autoSpaceDN/>
        <w:bidi w:val="0"/>
        <w:adjustRightInd/>
        <w:snapToGrid/>
        <w:spacing w:line="640" w:lineRule="exact"/>
        <w:ind w:left="0" w:firstLine="643" w:firstLineChars="200"/>
        <w:textAlignment w:val="auto"/>
        <w:rPr>
          <w:rFonts w:hint="eastAsia"/>
          <w:b/>
          <w:bCs/>
          <w:sz w:val="32"/>
          <w:szCs w:val="32"/>
        </w:rPr>
      </w:pPr>
      <w:bookmarkStart w:id="73" w:name="_Toc15377223"/>
      <w:r>
        <w:rPr>
          <w:rFonts w:hint="eastAsia"/>
          <w:b/>
          <w:bCs/>
          <w:sz w:val="32"/>
          <w:szCs w:val="32"/>
        </w:rPr>
        <w:t>（二）政府采购支出情况</w:t>
      </w:r>
      <w:bookmarkEnd w:id="73"/>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井研县人民政府研城街道办事处</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85.87</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81.17</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4.7</w:t>
      </w:r>
      <w:r>
        <w:rPr>
          <w:rFonts w:hint="eastAsia" w:ascii="仿宋_GB2312" w:hAnsi="仿宋_GB2312" w:eastAsia="仿宋_GB2312" w:cs="仿宋_GB2312"/>
          <w:color w:val="auto"/>
          <w:kern w:val="2"/>
          <w:sz w:val="32"/>
          <w:szCs w:val="32"/>
          <w:highlight w:val="none"/>
          <w:lang w:val="en-US" w:eastAsia="zh-CN" w:bidi="ar-SA"/>
        </w:rPr>
        <w:t>万元。主要用于公务用车保险费和加油费、五谷农耕文化研学服务中心建设。授予中小企业合同金额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40" w:lineRule="exact"/>
        <w:ind w:left="0" w:firstLine="643" w:firstLineChars="200"/>
        <w:textAlignment w:val="auto"/>
        <w:rPr>
          <w:rFonts w:hint="eastAsia"/>
          <w:b/>
          <w:bCs/>
          <w:sz w:val="32"/>
          <w:szCs w:val="32"/>
        </w:rPr>
      </w:pPr>
      <w:bookmarkStart w:id="74" w:name="_Toc15377224"/>
      <w:r>
        <w:rPr>
          <w:rFonts w:hint="eastAsia"/>
          <w:b/>
          <w:bCs/>
          <w:sz w:val="32"/>
          <w:szCs w:val="32"/>
        </w:rPr>
        <w:t>（三）国有资产占有使用情况</w:t>
      </w:r>
      <w:bookmarkEnd w:id="74"/>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井研县人民政府研城街道办事处</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6</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2</w:t>
      </w:r>
      <w:r>
        <w:rPr>
          <w:rFonts w:hint="eastAsia" w:ascii="仿宋_GB2312" w:hAnsi="仿宋_GB2312" w:eastAsia="仿宋_GB2312" w:cs="仿宋_GB2312"/>
          <w:color w:val="auto"/>
          <w:kern w:val="2"/>
          <w:sz w:val="32"/>
          <w:szCs w:val="32"/>
          <w:highlight w:val="none"/>
          <w:lang w:val="en-US" w:eastAsia="zh-CN" w:bidi="ar-SA"/>
        </w:rPr>
        <w:t>辆，其他用车主要是用于</w:t>
      </w:r>
      <w:r>
        <w:rPr>
          <w:rFonts w:hint="eastAsia" w:ascii="仿宋_GB2312" w:hAnsi="仿宋" w:eastAsia="仿宋_GB2312" w:cs="Times New Roman"/>
          <w:sz w:val="32"/>
          <w:szCs w:val="32"/>
          <w:lang w:val="zh-CN" w:eastAsia="zh-CN"/>
        </w:rPr>
        <w:t>下村开展工作，重点项目推进等</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40" w:lineRule="exact"/>
        <w:ind w:left="0" w:firstLine="643" w:firstLineChars="200"/>
        <w:textAlignment w:val="auto"/>
        <w:rPr>
          <w:rFonts w:hint="eastAsia"/>
          <w:b/>
          <w:bCs/>
          <w:sz w:val="32"/>
          <w:szCs w:val="32"/>
        </w:rPr>
      </w:pPr>
      <w:r>
        <w:rPr>
          <w:rFonts w:hint="eastAsia"/>
          <w:b/>
          <w:bCs/>
          <w:sz w:val="32"/>
          <w:szCs w:val="32"/>
        </w:rPr>
        <w:t>（四）预算绩效管理情况</w:t>
      </w:r>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井</w:t>
      </w:r>
      <w:r>
        <w:rPr>
          <w:rFonts w:hint="eastAsia" w:ascii="仿宋_GB2312" w:hAnsi="仿宋_GB2312" w:eastAsia="仿宋_GB2312" w:cs="仿宋_GB2312"/>
          <w:color w:val="auto"/>
          <w:kern w:val="2"/>
          <w:sz w:val="32"/>
          <w:szCs w:val="32"/>
          <w:highlight w:val="none"/>
          <w:lang w:val="en-US" w:eastAsia="zh-CN" w:bidi="ar-SA"/>
        </w:rPr>
        <w:t>研县人民政府研城街道办事处在2024年度预算编制阶段，组织对2022年井沙路延伸线景观打造土地流转（研城段）等11个项目开展了预算事前绩效评估，对28个项目编制了绩效目标，预算执行</w:t>
      </w:r>
      <w:r>
        <w:rPr>
          <w:rFonts w:hint="eastAsia" w:ascii="Times New Roman" w:hAnsi="Times New Roman" w:eastAsia="仿宋_GB2312" w:cs="仿宋_GB2312"/>
          <w:color w:val="auto"/>
          <w:kern w:val="2"/>
          <w:sz w:val="32"/>
          <w:szCs w:val="32"/>
          <w:highlight w:val="none"/>
          <w:lang w:val="en-US" w:eastAsia="zh-CN" w:bidi="ar-SA"/>
        </w:rPr>
        <w:t>过程中，选取</w:t>
      </w:r>
      <w:r>
        <w:rPr>
          <w:rFonts w:hint="eastAsia" w:eastAsia="仿宋_GB2312" w:cs="仿宋_GB2312"/>
          <w:color w:val="auto"/>
          <w:kern w:val="2"/>
          <w:sz w:val="32"/>
          <w:szCs w:val="32"/>
          <w:highlight w:val="none"/>
          <w:lang w:val="en-US" w:eastAsia="zh-CN" w:bidi="ar-SA"/>
        </w:rPr>
        <w:t>28</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640" w:firstLineChars="200"/>
        <w:textAlignment w:val="auto"/>
        <w:outlineLvl w:val="9"/>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eastAsia="仿宋_GB2312" w:cs="仿宋_GB2312"/>
          <w:color w:val="auto"/>
          <w:kern w:val="2"/>
          <w:sz w:val="32"/>
          <w:szCs w:val="32"/>
          <w:highlight w:val="none"/>
          <w:lang w:val="en-US" w:eastAsia="zh-CN" w:bidi="ar-SA"/>
        </w:rPr>
        <w:t>井</w:t>
      </w:r>
      <w:r>
        <w:rPr>
          <w:rFonts w:hint="eastAsia" w:ascii="仿宋_GB2312" w:hAnsi="仿宋" w:eastAsia="仿宋_GB2312" w:cs="Times New Roman"/>
          <w:sz w:val="32"/>
          <w:szCs w:val="32"/>
          <w:lang w:val="en-US" w:eastAsia="zh-CN"/>
        </w:rPr>
        <w:t>研县人民政府研城街道办事处</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整体（含</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预算项目）绩效自评报告，研城街道高坡村2024年新型农村集体经济专项资金绩效自评报告，其中井研县人民政府研城街道办事处单位整体（含单位预算项目）绩效自评得分为82分，绩效自评综述：年度预算绩效管理工作运行有效，预算执行规范，绩效目标基本实现，资金使用效益总体达到预期；研城街道高坡村2024年新型农村集体经济专项资金绩效自评得分100分，研城街道高坡村2024年新型农村集体经济专项资金绩效自评综述：资金使用无重大违规违纪问题；</w:t>
      </w:r>
      <w:r>
        <w:rPr>
          <w:rFonts w:hint="eastAsia" w:ascii="Times New Roman" w:hAnsi="Times New Roman" w:eastAsia="仿宋_GB2312" w:cs="仿宋_GB2312"/>
          <w:color w:val="auto"/>
          <w:kern w:val="2"/>
          <w:sz w:val="32"/>
          <w:szCs w:val="32"/>
          <w:highlight w:val="none"/>
          <w:lang w:val="zh-CN" w:eastAsia="zh-CN" w:bidi="ar-SA"/>
        </w:rPr>
        <w:t>发展壮大村级集体经济实力，增强农村集体经济内生动力</w:t>
      </w:r>
      <w:r>
        <w:rPr>
          <w:rFonts w:hint="eastAsia" w:ascii="Times New Roman" w:hAnsi="Times New Roman" w:eastAsia="仿宋_GB2312" w:cs="仿宋_GB2312"/>
          <w:color w:val="auto"/>
          <w:kern w:val="2"/>
          <w:sz w:val="32"/>
          <w:szCs w:val="32"/>
          <w:highlight w:val="none"/>
          <w:lang w:val="en-US" w:eastAsia="zh-CN" w:bidi="ar-SA"/>
        </w:rPr>
        <w:t>；服务对象对中央财政补助经费使用情况的满意度≥90%。完成</w:t>
      </w:r>
      <w:r>
        <w:rPr>
          <w:rFonts w:hint="eastAsia" w:ascii="Times New Roman" w:hAnsi="Times New Roman" w:eastAsia="仿宋_GB2312" w:cs="仿宋_GB2312"/>
          <w:color w:val="auto"/>
          <w:kern w:val="2"/>
          <w:sz w:val="32"/>
          <w:szCs w:val="32"/>
          <w:highlight w:val="none"/>
          <w:lang w:val="zh-CN" w:eastAsia="zh-CN" w:bidi="ar-SA"/>
        </w:rPr>
        <w:t>项目个性指标任务。</w:t>
      </w:r>
      <w:r>
        <w:rPr>
          <w:rFonts w:hint="eastAsia" w:ascii="Times New Roman" w:hAnsi="Times New Roman" w:eastAsia="仿宋_GB2312" w:cs="仿宋_GB2312"/>
          <w:color w:val="auto"/>
          <w:kern w:val="2"/>
          <w:sz w:val="32"/>
          <w:szCs w:val="32"/>
          <w:highlight w:val="none"/>
          <w:lang w:val="en-US" w:eastAsia="zh-CN" w:bidi="ar-SA"/>
        </w:rPr>
        <w:t>绩效自评报告详见附件。</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14"/>
        <w:rPr>
          <w:rFonts w:hint="eastAsia" w:ascii="Times New Roman" w:hAnsi="Times New Roman" w:eastAsia="仿宋_GB2312" w:cs="仿宋_GB2312"/>
          <w:color w:val="auto"/>
          <w:kern w:val="2"/>
          <w:sz w:val="32"/>
          <w:szCs w:val="32"/>
          <w:highlight w:val="none"/>
          <w:lang w:val="en-US" w:eastAsia="zh-CN" w:bidi="ar-SA"/>
        </w:rPr>
      </w:pPr>
    </w:p>
    <w:p>
      <w:pPr>
        <w:rPr>
          <w:rFonts w:hint="eastAsia" w:ascii="Times New Roman" w:hAnsi="Times New Roman" w:eastAsia="仿宋_GB2312" w:cs="仿宋_GB2312"/>
          <w:color w:val="auto"/>
          <w:kern w:val="2"/>
          <w:sz w:val="32"/>
          <w:szCs w:val="32"/>
          <w:highlight w:val="none"/>
          <w:lang w:val="en-US" w:eastAsia="zh-CN" w:bidi="ar-SA"/>
        </w:rPr>
      </w:pPr>
    </w:p>
    <w:p>
      <w:pPr>
        <w:pStyle w:val="14"/>
        <w:rPr>
          <w:rFonts w:hint="eastAsia" w:ascii="Times New Roman" w:hAnsi="Times New Roman" w:eastAsia="仿宋_GB2312" w:cs="仿宋_GB2312"/>
          <w:color w:val="auto"/>
          <w:kern w:val="2"/>
          <w:sz w:val="32"/>
          <w:szCs w:val="32"/>
          <w:highlight w:val="none"/>
          <w:lang w:val="en-US" w:eastAsia="zh-CN" w:bidi="ar-SA"/>
        </w:rPr>
      </w:pPr>
    </w:p>
    <w:p>
      <w:pPr>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lang w:val="en-US" w:eastAsia="zh-CN"/>
        </w:rPr>
      </w:pP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75" w:name="_Toc15377225"/>
      <w:bookmarkStart w:id="76" w:name="_Toc15396613"/>
      <w:bookmarkStart w:id="77" w:name="_Toc12736_WPSOffice_Level1"/>
      <w:bookmarkStart w:id="78" w:name="_Toc26878"/>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75"/>
      <w:bookmarkEnd w:id="76"/>
      <w:bookmarkEnd w:id="77"/>
      <w:bookmarkEnd w:id="78"/>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bookmarkStart w:id="79" w:name="_Toc23823"/>
      <w:bookmarkStart w:id="80" w:name="_Toc26880"/>
      <w:bookmarkStart w:id="81" w:name="_Toc12672"/>
      <w:bookmarkStart w:id="82" w:name="_Toc22640"/>
      <w:r>
        <w:rPr>
          <w:rFonts w:hint="eastAsia" w:ascii="仿宋_GB2312" w:hAnsi="仿宋" w:eastAsia="仿宋_GB2312" w:cs="Times New Roman"/>
          <w:sz w:val="32"/>
          <w:szCs w:val="32"/>
          <w:lang w:val="en-US" w:eastAsia="zh-CN"/>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4.其他收入：指单位取得的除上述收入以外的各项收入。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5.使用非财政拨款结余：指事业单位使用以前年度积累的非财政拨款结余弥补当年收支差额的金额。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6.年初结转和结余：指以前年度尚未完成、结转到本年按有关规定继续使用的资金。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7.结余分配：指事业单位按照会计制度规定缴纳的所得税、提取的专用结余以及转入非财政拨款结余的金额等。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8.年末结转和结余：指单位按有关规定结转到下年或以后年度继续使用的资金。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9.</w:t>
      </w:r>
      <w:r>
        <w:rPr>
          <w:rFonts w:hint="eastAsia" w:ascii="仿宋_GB2312" w:hAnsi="仿宋" w:eastAsia="仿宋_GB2312" w:cs="Times New Roman"/>
          <w:sz w:val="32"/>
          <w:szCs w:val="32"/>
          <w:lang w:val="zh-CN" w:eastAsia="zh-CN"/>
        </w:rPr>
        <w:t>一般公共服务（类）人大事务（款）其他人大事务支出（项）：指其他人大事务支出。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10.一般公共服务（类）政府办公厅（室）及相关机构事务（款）行政运行（项）：指行政单位（包括实行公务员管理的事业单位）的基本支出。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11.一般公共服务（类）政府办公厅（室）及相关机构事务（款）一般行政管理事务（项）：指行政单位（包括实行公务员管理的事业单位）为单独设置项级科目的其他项目支出。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12.一般公共服务（类）政府办公厅（室）及相关机构事务（款）事业运行（项）：指事业单位的基本支出，不包括行政单位（包括实行公务管理的事业单位）后勤服务中心、医务室等附属事业单位。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13.</w:t>
      </w:r>
      <w:r>
        <w:rPr>
          <w:rFonts w:hint="eastAsia" w:ascii="仿宋_GB2312" w:hAnsi="仿宋" w:eastAsia="仿宋_GB2312" w:cs="Times New Roman"/>
          <w:sz w:val="32"/>
          <w:szCs w:val="32"/>
          <w:lang w:val="zh-CN" w:eastAsia="zh-CN"/>
        </w:rPr>
        <w:t>一般公共服务（类）政府办公厅（室）及相关机构事务（款）其他政府办公厅（室）及相关机构事务支出（项）：其他政府办公厅（室）及相关机构事务支出。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14.</w:t>
      </w:r>
      <w:r>
        <w:rPr>
          <w:rFonts w:hint="eastAsia" w:ascii="仿宋_GB2312" w:hAnsi="仿宋" w:eastAsia="仿宋_GB2312" w:cs="Times New Roman"/>
          <w:sz w:val="32"/>
          <w:szCs w:val="32"/>
          <w:lang w:val="zh-CN" w:eastAsia="zh-CN"/>
        </w:rPr>
        <w:t>社会保障和就业支出（类）民政管理事务（款）基层政权建设和社区治理（项）：开展城乡社区治理、城乡社区服务（乡村便民服务）、村（居）民自治、村（居）务公开、乡镇（街道）服务能力建设等基层政权建设和社区治理工作的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15.社会保障和就业支出（类）行政事业单位养老支出（款）机关事业单位基本养老保险缴费支出（项）：指机关事业单位实施养老保险制度由单位缴纳的基本养老保险费支出。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16.社会保障和就业支出（类）行政事业单位养老支出（款）机关事业单位职业年金缴费支出（项）：指机关事业单位职业年金记账利息的补助。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17.社会保障和就业支出（类）其他生活救助（款）其他农村生活救助（项）：指除最低生活保障、临时救助、特困人员救助供养外，用于农村生活困难居民生活救助的其他支出，包括用于除优抚对象、失业人员之外农村生活困难居民的价格临时补贴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18.卫生健康支出（类）行政事业单位医疗（款）行政单位医疗（项）：指行政单位（包括实行公务员管理的事业单位）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19.卫生健康支出（类）行政事业单位医疗（款）事业单位医疗（项）：指财政部门安排的事业单位基本医疗保险缴费经费，未参加医疗保险的事业单位的公费医疗经费，按国家规定享受离休人员待遇的医疗经费。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20.卫生健康支出（类）行政事业单位医疗（款）公务员医疗补助（项）：指财政部门安排的公务员医疗补助经费。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21.卫生健康支出（类）行政事业单位医疗（款）其他行政事业单位医疗支出（项）：指其他用于行政事业单位医疗方面的支出。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22.节能环保支出（类）污染防治（款）水体（项）：指政府在排水、污水处理、水污染防治、湖库生态环境保护、水源地保护、国土江河综合整治、河流治理与保护、地下水修复与保护等方面的支出。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23.城乡社区支出（类）城乡社区环境卫生（款）城乡社区环境卫生（项）：指城乡社区道路清扫、垃圾清运与处理、公厕建设与维护、园林绿化等方面的支出。</w:t>
      </w:r>
    </w:p>
    <w:p>
      <w:pPr>
        <w:pStyle w:val="8"/>
        <w:keepNext w:val="0"/>
        <w:keepLines w:val="0"/>
        <w:pageBreakBefore w:val="0"/>
        <w:widowControl w:val="0"/>
        <w:kinsoku/>
        <w:wordWrap/>
        <w:overflowPunct/>
        <w:topLinePunct w:val="0"/>
        <w:autoSpaceDE/>
        <w:autoSpaceDN/>
        <w:bidi w:val="0"/>
        <w:adjustRightInd/>
        <w:snapToGrid/>
        <w:spacing w:after="0" w:line="640" w:lineRule="exact"/>
        <w:ind w:firstLine="640" w:firstLineChars="200"/>
        <w:textAlignment w:val="auto"/>
        <w:rPr>
          <w:rFonts w:hint="default"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24.</w:t>
      </w:r>
      <w:r>
        <w:rPr>
          <w:rFonts w:hint="eastAsia" w:ascii="仿宋_GB2312" w:hAnsi="仿宋" w:eastAsia="仿宋_GB2312" w:cs="Times New Roman"/>
          <w:color w:val="auto"/>
          <w:kern w:val="2"/>
          <w:sz w:val="32"/>
          <w:szCs w:val="32"/>
          <w:lang w:val="zh-CN" w:eastAsia="zh-CN" w:bidi="ar-SA"/>
        </w:rPr>
        <w:t>农林水支出（类）农业农村（款）对高效毕业生到基层任职补助（项）：按规定对高校毕业生到基层任职的补助支出。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25.农林水支出（类）农业农村（款）其他农业农村支出（项）：指其他用于农业农村方面的支出。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26.</w:t>
      </w:r>
      <w:r>
        <w:rPr>
          <w:rFonts w:hint="eastAsia" w:ascii="仿宋_GB2312" w:hAnsi="仿宋" w:eastAsia="仿宋_GB2312" w:cs="Times New Roman"/>
          <w:sz w:val="32"/>
          <w:szCs w:val="32"/>
          <w:lang w:val="zh-CN" w:eastAsia="zh-CN"/>
        </w:rPr>
        <w:t>农林水支出（类）巩固脱贫衔接乡村振兴（款）其他巩固脱贫攻坚成果衔接乡村振兴支出（项）：指其他用于巩固拓展脱贫攻坚成果通乡村振兴衔接方面的支出。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kern w:val="2"/>
          <w:sz w:val="32"/>
          <w:szCs w:val="32"/>
          <w:lang w:val="zh-CN" w:eastAsia="zh-CN" w:bidi="ar-SA"/>
        </w:rPr>
      </w:pPr>
      <w:r>
        <w:rPr>
          <w:rFonts w:hint="eastAsia" w:ascii="仿宋_GB2312" w:hAnsi="仿宋" w:eastAsia="仿宋_GB2312" w:cs="Times New Roman"/>
          <w:color w:val="auto"/>
          <w:kern w:val="2"/>
          <w:sz w:val="32"/>
          <w:szCs w:val="32"/>
          <w:lang w:val="en-US" w:eastAsia="zh-CN" w:bidi="ar-SA"/>
        </w:rPr>
        <w:t>27.</w:t>
      </w:r>
      <w:r>
        <w:rPr>
          <w:rFonts w:hint="eastAsia" w:ascii="仿宋_GB2312" w:hAnsi="仿宋" w:eastAsia="仿宋_GB2312" w:cs="Times New Roman"/>
          <w:color w:val="auto"/>
          <w:kern w:val="2"/>
          <w:sz w:val="32"/>
          <w:szCs w:val="32"/>
          <w:lang w:val="zh-CN" w:eastAsia="zh-CN" w:bidi="ar-SA"/>
        </w:rPr>
        <w:t>农林水支出（类）农村综合改革（款）对村级公益事业建设的补助（项）：指农村税费改革后对村级公益事业建设的补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color w:val="auto"/>
          <w:kern w:val="2"/>
          <w:sz w:val="32"/>
          <w:szCs w:val="32"/>
          <w:lang w:val="en-US" w:eastAsia="zh-CN" w:bidi="ar-SA"/>
        </w:rPr>
        <w:t>28</w:t>
      </w:r>
      <w:r>
        <w:rPr>
          <w:rFonts w:hint="eastAsia" w:ascii="仿宋_GB2312" w:hAnsi="仿宋" w:eastAsia="仿宋_GB2312" w:cs="Times New Roman"/>
          <w:sz w:val="32"/>
          <w:szCs w:val="32"/>
          <w:lang w:val="en-US" w:eastAsia="zh-CN"/>
        </w:rPr>
        <w:t>.农林水支出（类）农村综合改革（款）对村民委员会和村党支部的补助（项）：指各级财政对村民委员会和村党支部的补助支出，以及支持建立县级基本财力保障机制安排的村级组织运转奖补资金。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29.住房保障支出（类）住房改革支出（款）住房公积金（项）：指行政事业单位按人力资源和社会保障部、财政部规定的基本工资和津贴补贴以及规定的比例为职工缴纳的住房公积金。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38.基本支出：指为保障机构正常运转、完成日常工作任务而发生的人员支出和公用支出。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39.项目支出：指在基本支出之外为完成特定行政任务和事业发展目标所发生的支出。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40.经营支出：指事业单位在专业业务活动及其辅助活动之外开展非独立核算经营活动发生的支出。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79"/>
      <w:bookmarkEnd w:id="80"/>
      <w:bookmarkEnd w:id="81"/>
      <w:bookmarkEnd w:id="82"/>
    </w:p>
    <w:p>
      <w:pPr>
        <w:spacing w:line="600" w:lineRule="exact"/>
        <w:jc w:val="left"/>
        <w:rPr>
          <w:rFonts w:ascii="Times New Roman" w:hAnsi="Times New Roman"/>
          <w:b/>
          <w:color w:val="auto"/>
          <w:sz w:val="44"/>
          <w:szCs w:val="44"/>
          <w:highlight w:val="none"/>
        </w:rPr>
      </w:pPr>
    </w:p>
    <w:p>
      <w:pPr>
        <w:spacing w:line="600" w:lineRule="exact"/>
        <w:jc w:val="center"/>
        <w:rPr>
          <w:rFonts w:hint="eastAsia" w:ascii="Times New Roman" w:hAnsi="Times New Roman" w:eastAsia="黑体" w:cs="黑体"/>
          <w:color w:val="FF0000"/>
          <w:sz w:val="32"/>
          <w:szCs w:val="32"/>
          <w:highlight w:val="none"/>
        </w:rPr>
      </w:pPr>
      <w:bookmarkStart w:id="83"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84" w:name="_Toc15396614"/>
      <w:bookmarkStart w:id="85" w:name="_Toc15729_WPSOffice_Level1"/>
      <w:bookmarkStart w:id="86" w:name="_Toc25993"/>
      <w:r>
        <w:rPr>
          <w:rStyle w:val="29"/>
          <w:rFonts w:hint="eastAsia"/>
        </w:rPr>
        <w:t>第四部分</w:t>
      </w:r>
      <w:r>
        <w:rPr>
          <w:rStyle w:val="29"/>
          <w:rFonts w:hint="eastAsia"/>
          <w:lang w:val="en-US" w:eastAsia="zh-CN"/>
        </w:rPr>
        <w:t xml:space="preserve"> </w:t>
      </w:r>
      <w:r>
        <w:rPr>
          <w:rStyle w:val="29"/>
          <w:rFonts w:hint="eastAsia"/>
        </w:rPr>
        <w:t xml:space="preserve"> 附件</w:t>
      </w:r>
      <w:bookmarkEnd w:id="84"/>
      <w:bookmarkEnd w:id="85"/>
      <w:bookmarkEnd w:id="86"/>
    </w:p>
    <w:p>
      <w:pPr>
        <w:bidi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pStyle w:val="2"/>
        <w:rPr>
          <w:rFonts w:hint="eastAsia"/>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eastAsia="方正小标宋简体" w:cs="Times New Roman"/>
          <w:b w:val="0"/>
          <w:bCs/>
          <w:sz w:val="44"/>
          <w:szCs w:val="44"/>
          <w:highlight w:val="none"/>
          <w:shd w:val="clear" w:color="auto" w:fill="FFFFFF"/>
          <w:lang w:eastAsia="zh-CN"/>
        </w:rPr>
      </w:pPr>
      <w:r>
        <w:rPr>
          <w:rFonts w:hint="eastAsia" w:eastAsia="方正小标宋简体" w:cs="Times New Roman"/>
          <w:b w:val="0"/>
          <w:bCs/>
          <w:sz w:val="44"/>
          <w:szCs w:val="44"/>
          <w:highlight w:val="none"/>
          <w:shd w:val="clear" w:color="auto" w:fill="FFFFFF"/>
          <w:lang w:eastAsia="zh-CN"/>
        </w:rPr>
        <w:t>井研县人民政府研城街道办事处</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lang w:eastAsia="zh-CN"/>
        </w:rPr>
        <w:t>整体支出自评报告范本</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60" w:firstLineChars="200"/>
        <w:contextualSpacing/>
        <w:jc w:val="both"/>
        <w:textAlignment w:val="auto"/>
        <w:outlineLvl w:val="9"/>
        <w:rPr>
          <w:rFonts w:hint="default" w:ascii="Times New Roman" w:hAnsi="Times New Roman" w:eastAsia="黑体" w:cs="Times New Roman"/>
          <w:color w:val="000000"/>
          <w:kern w:val="0"/>
          <w:sz w:val="33"/>
          <w:szCs w:val="33"/>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default" w:ascii="Times New Roman" w:hAnsi="Times New Roman" w:cs="Times New Roman"/>
          <w:sz w:val="33"/>
          <w:szCs w:val="33"/>
        </w:rPr>
      </w:pPr>
      <w:r>
        <w:rPr>
          <w:rFonts w:hint="eastAsia" w:ascii="Times New Roman" w:hAnsi="Times New Roman" w:eastAsia="黑体" w:cs="Times New Roman"/>
          <w:color w:val="000000"/>
          <w:kern w:val="0"/>
          <w:sz w:val="33"/>
          <w:szCs w:val="33"/>
          <w:highlight w:val="none"/>
          <w:shd w:val="clear" w:color="auto" w:fill="FFFFFF"/>
          <w:lang w:val="zh-CN"/>
        </w:rPr>
        <w:t>一、</w:t>
      </w:r>
      <w:r>
        <w:rPr>
          <w:rFonts w:hint="default" w:ascii="Times New Roman" w:hAnsi="Times New Roman" w:eastAsia="黑体" w:cs="Times New Roman"/>
          <w:color w:val="000000"/>
          <w:kern w:val="0"/>
          <w:sz w:val="33"/>
          <w:szCs w:val="33"/>
          <w:highlight w:val="none"/>
          <w:shd w:val="clear" w:color="auto" w:fill="FFFFFF"/>
          <w:lang w:val="zh-CN"/>
        </w:rPr>
        <w:t>单位基本情况</w:t>
      </w:r>
    </w:p>
    <w:p>
      <w:pPr>
        <w:keepNext w:val="0"/>
        <w:keepLines w:val="0"/>
        <w:pageBreakBefore w:val="0"/>
        <w:widowControl w:val="0"/>
        <w:kinsoku/>
        <w:wordWrap/>
        <w:overflowPunct/>
        <w:topLinePunct w:val="0"/>
        <w:autoSpaceDE/>
        <w:autoSpaceDN/>
        <w:bidi w:val="0"/>
        <w:adjustRightInd/>
        <w:snapToGrid w:val="0"/>
        <w:spacing w:line="640" w:lineRule="exact"/>
        <w:ind w:firstLine="663" w:firstLineChars="200"/>
        <w:textAlignment w:val="auto"/>
        <w:rPr>
          <w:rFonts w:hint="default" w:ascii="仿宋_GB2312" w:hAnsi="仿宋" w:eastAsia="仿宋_GB2312"/>
          <w:sz w:val="32"/>
          <w:szCs w:val="32"/>
          <w:highlight w:val="none"/>
          <w:lang w:val="en-US" w:eastAsia="zh-CN"/>
        </w:rPr>
      </w:pPr>
      <w:r>
        <w:rPr>
          <w:rFonts w:hint="eastAsia" w:ascii="Times New Roman" w:hAnsi="Times New Roman" w:eastAsia="楷体_GB2312" w:cs="Times New Roman"/>
          <w:b/>
          <w:bCs/>
          <w:color w:val="000000"/>
          <w:kern w:val="0"/>
          <w:sz w:val="33"/>
          <w:szCs w:val="33"/>
          <w:highlight w:val="none"/>
          <w:shd w:val="clear" w:color="auto" w:fill="FFFFFF"/>
          <w:lang w:val="zh-CN"/>
        </w:rPr>
        <w:t>（一）</w:t>
      </w:r>
      <w:r>
        <w:rPr>
          <w:rFonts w:hint="default" w:ascii="Times New Roman" w:hAnsi="Times New Roman" w:eastAsia="楷体_GB2312" w:cs="Times New Roman"/>
          <w:b/>
          <w:bCs/>
          <w:color w:val="000000"/>
          <w:kern w:val="0"/>
          <w:sz w:val="33"/>
          <w:szCs w:val="33"/>
          <w:highlight w:val="none"/>
          <w:shd w:val="clear" w:color="auto" w:fill="FFFFFF"/>
          <w:lang w:val="zh-CN"/>
        </w:rPr>
        <w:t>机构组成。</w:t>
      </w:r>
      <w:r>
        <w:rPr>
          <w:rFonts w:hint="eastAsia" w:ascii="仿宋_GB2312" w:hAnsi="仿宋" w:eastAsia="仿宋_GB2312" w:cs="Times New Roman"/>
          <w:sz w:val="32"/>
          <w:szCs w:val="32"/>
          <w:lang w:val="zh-CN" w:eastAsia="zh-CN"/>
        </w:rPr>
        <w:t>研城</w:t>
      </w:r>
      <w:r>
        <w:rPr>
          <w:rFonts w:hint="eastAsia" w:ascii="仿宋_GB2312" w:hAnsi="仿宋" w:eastAsia="仿宋_GB2312" w:cs="Times New Roman"/>
          <w:sz w:val="32"/>
          <w:szCs w:val="32"/>
          <w:lang w:val="en-US" w:eastAsia="zh-CN"/>
        </w:rPr>
        <w:t>街道办事处现有7个独立编制机构，分别为：井研县人民政府研城</w:t>
      </w:r>
      <w:r>
        <w:rPr>
          <w:rFonts w:hint="eastAsia" w:ascii="仿宋_GB2312" w:hAnsi="仿宋" w:eastAsia="仿宋_GB2312"/>
          <w:sz w:val="32"/>
          <w:szCs w:val="32"/>
          <w:lang w:val="en-US" w:eastAsia="zh-CN"/>
        </w:rPr>
        <w:t>街道办事处、井研县研城街道便民服务中心、井研县研城街道社区（村）治理服务中心、井研县高家寺水库管理所、井研县霁虹水坝管理所、井研县新桥水坝管理所、井研县研城镇畜牧兽医站,因按照上级安排，较上年减少2个单位。</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63" w:firstLineChars="200"/>
        <w:contextualSpacing/>
        <w:jc w:val="both"/>
        <w:textAlignment w:val="auto"/>
        <w:outlineLvl w:val="9"/>
        <w:rPr>
          <w:rFonts w:hint="default" w:ascii="仿宋_GB2312" w:hAnsi="仿宋" w:eastAsia="仿宋_GB2312" w:cs="Times New Roman"/>
          <w:sz w:val="32"/>
          <w:szCs w:val="32"/>
          <w:lang w:val="zh-CN" w:eastAsia="zh-CN"/>
        </w:rPr>
      </w:pPr>
      <w:r>
        <w:rPr>
          <w:rFonts w:hint="default" w:ascii="Times New Roman" w:hAnsi="Times New Roman" w:eastAsia="楷体_GB2312" w:cs="Times New Roman"/>
          <w:b/>
          <w:bCs/>
          <w:color w:val="000000"/>
          <w:kern w:val="0"/>
          <w:sz w:val="33"/>
          <w:szCs w:val="33"/>
          <w:highlight w:val="none"/>
          <w:shd w:val="clear" w:color="auto" w:fill="FFFFFF"/>
          <w:lang w:val="zh-CN"/>
        </w:rPr>
        <w:t>（二）机构职能</w:t>
      </w:r>
      <w:r>
        <w:rPr>
          <w:rFonts w:hint="eastAsia" w:ascii="Times New Roman" w:hAnsi="Times New Roman" w:eastAsia="楷体_GB2312" w:cs="Times New Roman"/>
          <w:b/>
          <w:bCs/>
          <w:color w:val="000000"/>
          <w:kern w:val="0"/>
          <w:sz w:val="33"/>
          <w:szCs w:val="33"/>
          <w:highlight w:val="none"/>
          <w:shd w:val="clear" w:color="auto" w:fill="FFFFFF"/>
          <w:lang w:val="zh-CN"/>
        </w:rPr>
        <w:t>。</w:t>
      </w:r>
      <w:r>
        <w:rPr>
          <w:rFonts w:hint="eastAsia" w:ascii="仿宋_GB2312" w:hAnsi="仿宋" w:eastAsia="仿宋_GB2312" w:cs="Times New Roman"/>
          <w:sz w:val="32"/>
          <w:szCs w:val="32"/>
          <w:lang w:val="zh-CN" w:eastAsia="zh-CN"/>
        </w:rPr>
        <w:t>研城街道办事处</w:t>
      </w:r>
      <w:r>
        <w:rPr>
          <w:rFonts w:hint="eastAsia" w:ascii="仿宋_GB2312" w:hAnsi="仿宋" w:eastAsia="仿宋_GB2312" w:cs="Times New Roman"/>
          <w:sz w:val="32"/>
          <w:szCs w:val="32"/>
          <w:lang w:val="en-US" w:eastAsia="zh-CN"/>
        </w:rPr>
        <w:t>依据法律法规和上级党委、政府授权，代表县委和县政府依法履行辖区内加强党的建设、统筹区域发展、组织公共服务、优化营商环境、实施公共管理、动员社会参与、指导社区（村）自治、维护公共安全等职责，全面负责辖区内地区性、社会性、群众性工作的统筹协调。</w:t>
      </w:r>
    </w:p>
    <w:p>
      <w:pPr>
        <w:keepNext w:val="0"/>
        <w:keepLines w:val="0"/>
        <w:pageBreakBefore w:val="0"/>
        <w:kinsoku/>
        <w:wordWrap/>
        <w:overflowPunct/>
        <w:topLinePunct w:val="0"/>
        <w:autoSpaceDE/>
        <w:autoSpaceDN/>
        <w:bidi w:val="0"/>
        <w:snapToGrid w:val="0"/>
        <w:spacing w:line="640" w:lineRule="exact"/>
        <w:ind w:firstLine="663" w:firstLineChars="200"/>
        <w:textAlignment w:val="auto"/>
        <w:rPr>
          <w:rFonts w:hint="default" w:ascii="Times New Roman" w:hAnsi="Times New Roman" w:cs="Times New Roman"/>
          <w:sz w:val="33"/>
          <w:szCs w:val="33"/>
        </w:rPr>
      </w:pPr>
      <w:r>
        <w:rPr>
          <w:rFonts w:hint="default" w:ascii="Times New Roman" w:hAnsi="Times New Roman" w:eastAsia="楷体_GB2312" w:cs="Times New Roman"/>
          <w:b/>
          <w:bCs/>
          <w:color w:val="000000"/>
          <w:kern w:val="0"/>
          <w:sz w:val="33"/>
          <w:szCs w:val="33"/>
          <w:highlight w:val="none"/>
          <w:shd w:val="clear" w:color="auto" w:fill="FFFFFF"/>
          <w:lang w:val="zh-CN"/>
        </w:rPr>
        <w:t>（</w:t>
      </w:r>
      <w:r>
        <w:rPr>
          <w:rFonts w:hint="eastAsia" w:ascii="Times New Roman" w:hAnsi="Times New Roman" w:eastAsia="楷体_GB2312" w:cs="Times New Roman"/>
          <w:b/>
          <w:bCs/>
          <w:color w:val="000000"/>
          <w:kern w:val="0"/>
          <w:sz w:val="33"/>
          <w:szCs w:val="33"/>
          <w:highlight w:val="none"/>
          <w:shd w:val="clear" w:color="auto" w:fill="FFFFFF"/>
          <w:lang w:val="zh-CN"/>
        </w:rPr>
        <w:t>三</w:t>
      </w:r>
      <w:r>
        <w:rPr>
          <w:rFonts w:hint="default" w:ascii="Times New Roman" w:hAnsi="Times New Roman" w:eastAsia="楷体_GB2312" w:cs="Times New Roman"/>
          <w:b/>
          <w:bCs/>
          <w:color w:val="000000"/>
          <w:kern w:val="0"/>
          <w:sz w:val="33"/>
          <w:szCs w:val="33"/>
          <w:highlight w:val="none"/>
          <w:shd w:val="clear" w:color="auto" w:fill="FFFFFF"/>
          <w:lang w:val="zh-CN"/>
        </w:rPr>
        <w:t>）人员概况</w:t>
      </w:r>
      <w:r>
        <w:rPr>
          <w:rFonts w:hint="eastAsia" w:ascii="Times New Roman" w:hAnsi="Times New Roman" w:eastAsia="楷体_GB2312" w:cs="Times New Roman"/>
          <w:b/>
          <w:bCs/>
          <w:color w:val="000000"/>
          <w:kern w:val="0"/>
          <w:sz w:val="33"/>
          <w:szCs w:val="33"/>
          <w:highlight w:val="none"/>
          <w:shd w:val="clear" w:color="auto" w:fill="FFFFFF"/>
          <w:lang w:val="zh-CN"/>
        </w:rPr>
        <w:t>。</w:t>
      </w:r>
      <w:r>
        <w:rPr>
          <w:rFonts w:hint="eastAsia" w:ascii="仿宋_GB2312" w:hAnsi="仿宋" w:eastAsia="仿宋_GB2312" w:cs="Times New Roman"/>
          <w:sz w:val="32"/>
          <w:szCs w:val="32"/>
          <w:lang w:val="zh-CN" w:eastAsia="zh-CN"/>
        </w:rPr>
        <w:t>研城街道办事处</w:t>
      </w:r>
      <w:r>
        <w:rPr>
          <w:rFonts w:hint="default" w:ascii="仿宋_GB2312" w:hAnsi="仿宋" w:eastAsia="仿宋_GB2312" w:cs="Times New Roman"/>
          <w:sz w:val="32"/>
          <w:szCs w:val="32"/>
          <w:lang w:val="en-US" w:eastAsia="zh-CN"/>
        </w:rPr>
        <w:t>截至202</w:t>
      </w:r>
      <w:r>
        <w:rPr>
          <w:rFonts w:hint="eastAsia" w:ascii="仿宋_GB2312" w:hAnsi="仿宋" w:eastAsia="仿宋_GB2312" w:cs="Times New Roman"/>
          <w:sz w:val="32"/>
          <w:szCs w:val="32"/>
          <w:lang w:val="en-US" w:eastAsia="zh-CN"/>
        </w:rPr>
        <w:t>4</w:t>
      </w:r>
      <w:r>
        <w:rPr>
          <w:rFonts w:hint="default" w:ascii="仿宋_GB2312" w:hAnsi="仿宋" w:eastAsia="仿宋_GB2312" w:cs="Times New Roman"/>
          <w:sz w:val="32"/>
          <w:szCs w:val="32"/>
          <w:lang w:val="en-US" w:eastAsia="zh-CN"/>
        </w:rPr>
        <w:t>年末，</w:t>
      </w:r>
      <w:r>
        <w:rPr>
          <w:rFonts w:hint="eastAsia" w:ascii="仿宋_GB2312" w:hAnsi="仿宋" w:eastAsia="仿宋_GB2312" w:cs="Times New Roman"/>
          <w:sz w:val="32"/>
          <w:szCs w:val="32"/>
          <w:lang w:val="en-US" w:eastAsia="zh-CN"/>
        </w:rPr>
        <w:t>实有人数102人,其中行政38人，事业人数64人。</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default" w:ascii="Times New Roman" w:hAnsi="Times New Roman" w:eastAsia="黑体" w:cs="Times New Roman"/>
          <w:color w:val="000000"/>
          <w:kern w:val="0"/>
          <w:sz w:val="33"/>
          <w:szCs w:val="33"/>
          <w:highlight w:val="none"/>
          <w:shd w:val="clear" w:color="auto" w:fill="FFFFFF"/>
        </w:rPr>
      </w:pPr>
      <w:r>
        <w:rPr>
          <w:rFonts w:hint="default" w:ascii="Times New Roman" w:hAnsi="Times New Roman" w:eastAsia="黑体" w:cs="Times New Roman"/>
          <w:color w:val="000000"/>
          <w:kern w:val="0"/>
          <w:sz w:val="33"/>
          <w:szCs w:val="33"/>
          <w:highlight w:val="none"/>
          <w:shd w:val="clear" w:color="auto" w:fill="FFFFFF"/>
        </w:rPr>
        <w:t>二、</w:t>
      </w:r>
      <w:r>
        <w:rPr>
          <w:rFonts w:hint="eastAsia" w:eastAsia="黑体" w:cs="Times New Roman"/>
          <w:color w:val="000000"/>
          <w:kern w:val="0"/>
          <w:sz w:val="33"/>
          <w:szCs w:val="33"/>
          <w:highlight w:val="none"/>
          <w:shd w:val="clear" w:color="auto" w:fill="FFFFFF"/>
          <w:lang w:eastAsia="zh-CN"/>
        </w:rPr>
        <w:t>单位</w:t>
      </w:r>
      <w:r>
        <w:rPr>
          <w:rFonts w:hint="default" w:ascii="Times New Roman" w:hAnsi="Times New Roman" w:eastAsia="黑体" w:cs="Times New Roman"/>
          <w:color w:val="000000"/>
          <w:kern w:val="0"/>
          <w:sz w:val="33"/>
          <w:szCs w:val="33"/>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63" w:firstLineChars="200"/>
        <w:contextualSpacing/>
        <w:jc w:val="both"/>
        <w:textAlignment w:val="auto"/>
        <w:outlineLvl w:val="9"/>
        <w:rPr>
          <w:rFonts w:hint="default" w:ascii="仿宋_GB2312" w:hAnsi="仿宋" w:eastAsia="仿宋_GB2312" w:cs="Times New Roman"/>
          <w:sz w:val="32"/>
          <w:szCs w:val="32"/>
          <w:lang w:val="en-US" w:eastAsia="zh-CN"/>
        </w:rPr>
      </w:pPr>
      <w:r>
        <w:rPr>
          <w:rFonts w:hint="default" w:ascii="Times New Roman" w:hAnsi="Times New Roman" w:eastAsia="楷体_GB2312" w:cs="Times New Roman"/>
          <w:b/>
          <w:bCs/>
          <w:color w:val="000000"/>
          <w:kern w:val="0"/>
          <w:sz w:val="33"/>
          <w:szCs w:val="33"/>
          <w:highlight w:val="none"/>
          <w:shd w:val="clear" w:color="auto" w:fill="FFFFFF"/>
          <w:lang w:val="zh-CN"/>
        </w:rPr>
        <w:t>（一）</w:t>
      </w:r>
      <w:r>
        <w:rPr>
          <w:rFonts w:hint="eastAsia" w:ascii="Times New Roman" w:hAnsi="Times New Roman" w:eastAsia="楷体_GB2312" w:cs="Times New Roman"/>
          <w:b/>
          <w:bCs/>
          <w:color w:val="000000"/>
          <w:kern w:val="0"/>
          <w:sz w:val="33"/>
          <w:szCs w:val="33"/>
          <w:highlight w:val="none"/>
          <w:shd w:val="clear" w:color="auto" w:fill="FFFFFF"/>
          <w:lang w:val="zh-CN"/>
        </w:rPr>
        <w:t>收入情况</w:t>
      </w:r>
      <w:r>
        <w:rPr>
          <w:rFonts w:hint="default" w:ascii="Times New Roman" w:hAnsi="Times New Roman" w:eastAsia="楷体_GB2312" w:cs="Times New Roman"/>
          <w:b/>
          <w:bCs/>
          <w:color w:val="000000"/>
          <w:kern w:val="0"/>
          <w:sz w:val="33"/>
          <w:szCs w:val="33"/>
          <w:highlight w:val="none"/>
          <w:shd w:val="clear" w:color="auto" w:fill="FFFFFF"/>
          <w:lang w:val="zh-CN"/>
        </w:rPr>
        <w:t>。</w:t>
      </w:r>
      <w:r>
        <w:rPr>
          <w:rFonts w:hint="eastAsia" w:ascii="仿宋_GB2312" w:hAnsi="仿宋" w:eastAsia="仿宋_GB2312" w:cs="Times New Roman"/>
          <w:sz w:val="32"/>
          <w:szCs w:val="32"/>
          <w:lang w:val="zh-CN" w:eastAsia="zh-CN"/>
        </w:rPr>
        <w:t>研城街道办事处</w:t>
      </w:r>
      <w:r>
        <w:rPr>
          <w:rFonts w:hint="eastAsia" w:ascii="仿宋_GB2312" w:hAnsi="仿宋" w:eastAsia="仿宋_GB2312" w:cs="Times New Roman"/>
          <w:sz w:val="32"/>
          <w:szCs w:val="32"/>
          <w:lang w:val="en-US" w:eastAsia="zh-CN"/>
        </w:rPr>
        <w:t>2024年年初预算收入3158.73万元，决算收入3753.13万元。</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63" w:firstLineChars="200"/>
        <w:contextualSpacing/>
        <w:jc w:val="both"/>
        <w:textAlignment w:val="auto"/>
        <w:outlineLvl w:val="9"/>
        <w:rPr>
          <w:rFonts w:hint="default" w:ascii="仿宋_GB2312" w:hAnsi="仿宋" w:eastAsia="仿宋_GB2312" w:cs="Times New Roman"/>
          <w:sz w:val="32"/>
          <w:szCs w:val="32"/>
          <w:lang w:val="en-US" w:eastAsia="zh-CN"/>
        </w:rPr>
      </w:pPr>
      <w:r>
        <w:rPr>
          <w:rFonts w:hint="default" w:ascii="Times New Roman" w:hAnsi="Times New Roman" w:eastAsia="楷体_GB2312" w:cs="Times New Roman"/>
          <w:b/>
          <w:bCs/>
          <w:color w:val="000000"/>
          <w:kern w:val="0"/>
          <w:sz w:val="33"/>
          <w:szCs w:val="33"/>
          <w:highlight w:val="none"/>
          <w:shd w:val="clear" w:color="auto" w:fill="FFFFFF"/>
          <w:lang w:val="zh-CN"/>
        </w:rPr>
        <w:t>（</w:t>
      </w:r>
      <w:r>
        <w:rPr>
          <w:rFonts w:hint="eastAsia" w:ascii="Times New Roman" w:hAnsi="Times New Roman" w:eastAsia="楷体_GB2312" w:cs="Times New Roman"/>
          <w:b/>
          <w:bCs/>
          <w:color w:val="000000"/>
          <w:kern w:val="0"/>
          <w:sz w:val="33"/>
          <w:szCs w:val="33"/>
          <w:highlight w:val="none"/>
          <w:shd w:val="clear" w:color="auto" w:fill="FFFFFF"/>
          <w:lang w:val="zh-CN"/>
        </w:rPr>
        <w:t>二</w:t>
      </w:r>
      <w:r>
        <w:rPr>
          <w:rFonts w:hint="default" w:ascii="Times New Roman" w:hAnsi="Times New Roman" w:eastAsia="楷体_GB2312" w:cs="Times New Roman"/>
          <w:b/>
          <w:bCs/>
          <w:color w:val="000000"/>
          <w:kern w:val="0"/>
          <w:sz w:val="33"/>
          <w:szCs w:val="33"/>
          <w:highlight w:val="none"/>
          <w:shd w:val="clear" w:color="auto" w:fill="FFFFFF"/>
          <w:lang w:val="zh-CN"/>
        </w:rPr>
        <w:t>）</w:t>
      </w:r>
      <w:r>
        <w:rPr>
          <w:rFonts w:hint="eastAsia" w:ascii="Times New Roman" w:hAnsi="Times New Roman" w:eastAsia="楷体_GB2312" w:cs="Times New Roman"/>
          <w:b/>
          <w:bCs/>
          <w:color w:val="000000"/>
          <w:kern w:val="0"/>
          <w:sz w:val="33"/>
          <w:szCs w:val="33"/>
          <w:highlight w:val="none"/>
          <w:shd w:val="clear" w:color="auto" w:fill="FFFFFF"/>
          <w:lang w:val="zh-CN"/>
        </w:rPr>
        <w:t>支出情况</w:t>
      </w:r>
      <w:r>
        <w:rPr>
          <w:rFonts w:hint="default" w:ascii="Times New Roman" w:hAnsi="Times New Roman" w:eastAsia="楷体_GB2312" w:cs="Times New Roman"/>
          <w:b/>
          <w:bCs/>
          <w:color w:val="000000"/>
          <w:kern w:val="0"/>
          <w:sz w:val="33"/>
          <w:szCs w:val="33"/>
          <w:highlight w:val="none"/>
          <w:shd w:val="clear" w:color="auto" w:fill="FFFFFF"/>
          <w:lang w:val="zh-CN"/>
        </w:rPr>
        <w:t>。</w:t>
      </w:r>
      <w:r>
        <w:rPr>
          <w:rFonts w:hint="eastAsia" w:ascii="仿宋_GB2312" w:hAnsi="仿宋" w:eastAsia="仿宋_GB2312" w:cs="Times New Roman"/>
          <w:sz w:val="32"/>
          <w:szCs w:val="32"/>
          <w:lang w:val="zh-CN" w:eastAsia="zh-CN"/>
        </w:rPr>
        <w:t>研城街道办事处</w:t>
      </w:r>
      <w:r>
        <w:rPr>
          <w:rFonts w:hint="eastAsia" w:ascii="仿宋_GB2312" w:hAnsi="仿宋" w:eastAsia="仿宋_GB2312" w:cs="Times New Roman"/>
          <w:sz w:val="32"/>
          <w:szCs w:val="32"/>
          <w:lang w:val="en-US" w:eastAsia="zh-CN"/>
        </w:rPr>
        <w:t>2024年年初预算支出3158.73万元，决算支出3753.13万元。</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63" w:firstLineChars="200"/>
        <w:contextualSpacing/>
        <w:jc w:val="both"/>
        <w:textAlignment w:val="auto"/>
        <w:outlineLvl w:val="9"/>
        <w:rPr>
          <w:rFonts w:hint="default" w:ascii="仿宋_GB2312" w:hAnsi="仿宋" w:eastAsia="仿宋_GB2312" w:cs="Times New Roman"/>
          <w:sz w:val="32"/>
          <w:szCs w:val="32"/>
          <w:lang w:val="zh-CN" w:eastAsia="zh-CN"/>
        </w:rPr>
      </w:pPr>
      <w:r>
        <w:rPr>
          <w:rFonts w:hint="default" w:ascii="Times New Roman" w:hAnsi="Times New Roman" w:eastAsia="楷体_GB2312" w:cs="Times New Roman"/>
          <w:b/>
          <w:bCs/>
          <w:color w:val="000000"/>
          <w:kern w:val="0"/>
          <w:sz w:val="33"/>
          <w:szCs w:val="33"/>
          <w:highlight w:val="none"/>
          <w:shd w:val="clear" w:color="auto" w:fill="FFFFFF"/>
          <w:lang w:val="zh-CN"/>
        </w:rPr>
        <w:t>（</w:t>
      </w:r>
      <w:r>
        <w:rPr>
          <w:rFonts w:hint="eastAsia" w:ascii="Times New Roman" w:hAnsi="Times New Roman" w:eastAsia="楷体_GB2312" w:cs="Times New Roman"/>
          <w:b/>
          <w:bCs/>
          <w:color w:val="000000"/>
          <w:kern w:val="0"/>
          <w:sz w:val="33"/>
          <w:szCs w:val="33"/>
          <w:highlight w:val="none"/>
          <w:shd w:val="clear" w:color="auto" w:fill="FFFFFF"/>
          <w:lang w:val="zh-CN"/>
        </w:rPr>
        <w:t>三</w:t>
      </w:r>
      <w:r>
        <w:rPr>
          <w:rFonts w:hint="default" w:ascii="Times New Roman" w:hAnsi="Times New Roman" w:eastAsia="楷体_GB2312" w:cs="Times New Roman"/>
          <w:b/>
          <w:bCs/>
          <w:color w:val="000000"/>
          <w:kern w:val="0"/>
          <w:sz w:val="33"/>
          <w:szCs w:val="33"/>
          <w:highlight w:val="none"/>
          <w:shd w:val="clear" w:color="auto" w:fill="FFFFFF"/>
          <w:lang w:val="zh-CN"/>
        </w:rPr>
        <w:t>）</w:t>
      </w:r>
      <w:r>
        <w:rPr>
          <w:rFonts w:hint="default" w:ascii="Times New Roman" w:hAnsi="Times New Roman" w:eastAsia="楷体_GB2312" w:cs="Times New Roman"/>
          <w:b/>
          <w:sz w:val="33"/>
          <w:szCs w:val="33"/>
        </w:rPr>
        <w:t>结余分配和结转结余情况</w:t>
      </w:r>
      <w:r>
        <w:rPr>
          <w:rFonts w:hint="eastAsia" w:ascii="Times New Roman" w:hAnsi="Times New Roman" w:eastAsia="楷体_GB2312" w:cs="Times New Roman"/>
          <w:b/>
          <w:sz w:val="33"/>
          <w:szCs w:val="33"/>
          <w:lang w:eastAsia="zh-CN"/>
        </w:rPr>
        <w:t>。</w:t>
      </w:r>
      <w:r>
        <w:rPr>
          <w:rFonts w:hint="eastAsia" w:ascii="仿宋_GB2312" w:hAnsi="仿宋" w:eastAsia="仿宋_GB2312" w:cs="Times New Roman"/>
          <w:sz w:val="32"/>
          <w:szCs w:val="32"/>
          <w:lang w:val="en-US" w:eastAsia="zh-CN"/>
        </w:rPr>
        <w:t>研城街道办事处2024年末无结转结余</w:t>
      </w:r>
      <w:r>
        <w:rPr>
          <w:rFonts w:hint="default" w:ascii="仿宋_GB2312" w:hAnsi="仿宋"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default" w:ascii="Times New Roman" w:hAnsi="Times New Roman" w:eastAsia="黑体" w:cs="Times New Roman"/>
          <w:color w:val="000000" w:themeColor="text1"/>
          <w:kern w:val="0"/>
          <w:sz w:val="33"/>
          <w:szCs w:val="33"/>
          <w:highlight w:val="none"/>
          <w:shd w:val="clear" w:color="auto" w:fill="FFFFFF"/>
          <w14:textFill>
            <w14:solidFill>
              <w14:schemeClr w14:val="tx1"/>
            </w14:solidFill>
          </w14:textFill>
        </w:rPr>
      </w:pPr>
      <w:r>
        <w:rPr>
          <w:rFonts w:hint="default" w:ascii="Times New Roman" w:hAnsi="Times New Roman" w:eastAsia="黑体" w:cs="Times New Roman"/>
          <w:color w:val="000000"/>
          <w:kern w:val="0"/>
          <w:sz w:val="33"/>
          <w:szCs w:val="33"/>
          <w:highlight w:val="none"/>
          <w:shd w:val="clear" w:color="auto" w:fill="FFFFFF"/>
        </w:rPr>
        <w:t>三、</w:t>
      </w:r>
      <w:r>
        <w:rPr>
          <w:rFonts w:hint="eastAsia" w:eastAsia="黑体" w:cs="Times New Roman"/>
          <w:color w:val="000000"/>
          <w:kern w:val="0"/>
          <w:sz w:val="33"/>
          <w:szCs w:val="33"/>
          <w:highlight w:val="none"/>
          <w:u w:val="none"/>
          <w:shd w:val="clear" w:color="auto" w:fill="FFFFFF"/>
          <w:lang w:eastAsia="zh-CN"/>
        </w:rPr>
        <w:t>单位</w:t>
      </w:r>
      <w:r>
        <w:rPr>
          <w:rFonts w:hint="default" w:ascii="Times New Roman" w:hAnsi="Times New Roman" w:eastAsia="黑体" w:cs="Times New Roman"/>
          <w:color w:val="000000"/>
          <w:kern w:val="0"/>
          <w:sz w:val="33"/>
          <w:szCs w:val="33"/>
          <w:highlight w:val="none"/>
          <w:u w:val="none"/>
          <w:shd w:val="clear" w:color="auto" w:fill="FFFFFF"/>
          <w:lang w:eastAsia="zh-CN"/>
        </w:rPr>
        <w:t>预算</w:t>
      </w:r>
      <w:r>
        <w:rPr>
          <w:rFonts w:hint="default" w:ascii="Times New Roman" w:hAnsi="Times New Roman" w:eastAsia="黑体" w:cs="Times New Roman"/>
          <w:color w:val="000000"/>
          <w:kern w:val="0"/>
          <w:sz w:val="33"/>
          <w:szCs w:val="33"/>
          <w:highlight w:val="none"/>
          <w:u w:val="none"/>
          <w:shd w:val="clear" w:color="auto" w:fill="FFFFFF"/>
        </w:rPr>
        <w:t>绩效</w:t>
      </w:r>
      <w:r>
        <w:rPr>
          <w:rFonts w:hint="default" w:ascii="Times New Roman" w:hAnsi="Times New Roman" w:eastAsia="黑体" w:cs="Times New Roman"/>
          <w:color w:val="000000"/>
          <w:kern w:val="0"/>
          <w:sz w:val="33"/>
          <w:szCs w:val="33"/>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640" w:lineRule="exact"/>
        <w:ind w:firstLine="663" w:firstLineChars="200"/>
        <w:contextualSpacing/>
        <w:jc w:val="left"/>
        <w:textAlignment w:val="auto"/>
        <w:rPr>
          <w:rFonts w:hint="default" w:ascii="仿宋_GB2312" w:hAnsi="仿宋" w:eastAsia="仿宋_GB2312" w:cs="Times New Roman"/>
          <w:sz w:val="32"/>
          <w:szCs w:val="32"/>
          <w:lang w:val="zh-CN" w:eastAsia="zh-CN"/>
        </w:rPr>
      </w:pPr>
      <w:r>
        <w:rPr>
          <w:rFonts w:hint="default" w:ascii="Times New Roman" w:hAnsi="Times New Roman" w:eastAsia="楷体_GB2312" w:cs="Times New Roman"/>
          <w:b/>
          <w:bCs/>
          <w:color w:val="000000"/>
          <w:kern w:val="0"/>
          <w:sz w:val="33"/>
          <w:szCs w:val="33"/>
          <w:highlight w:val="none"/>
          <w:shd w:val="clear" w:color="auto" w:fill="FFFFFF"/>
          <w:lang w:val="zh-CN"/>
        </w:rPr>
        <w:t>（一）</w:t>
      </w:r>
      <w:r>
        <w:rPr>
          <w:rFonts w:hint="eastAsia" w:eastAsia="楷体_GB2312" w:cs="Times New Roman"/>
          <w:b/>
          <w:bCs/>
          <w:color w:val="000000"/>
          <w:kern w:val="0"/>
          <w:sz w:val="33"/>
          <w:szCs w:val="33"/>
          <w:highlight w:val="none"/>
          <w:shd w:val="clear" w:color="auto" w:fill="FFFFFF"/>
          <w:lang w:val="zh-CN"/>
        </w:rPr>
        <w:t>单位</w:t>
      </w:r>
      <w:r>
        <w:rPr>
          <w:rFonts w:hint="eastAsia" w:ascii="Times New Roman" w:hAnsi="Times New Roman" w:eastAsia="楷体_GB2312" w:cs="Times New Roman"/>
          <w:b/>
          <w:bCs/>
          <w:color w:val="000000"/>
          <w:kern w:val="0"/>
          <w:sz w:val="33"/>
          <w:szCs w:val="33"/>
          <w:highlight w:val="none"/>
          <w:shd w:val="clear" w:color="auto" w:fill="FFFFFF"/>
          <w:lang w:val="zh-CN"/>
        </w:rPr>
        <w:t>预算</w:t>
      </w:r>
      <w:r>
        <w:rPr>
          <w:rFonts w:hint="default" w:ascii="Times New Roman" w:hAnsi="Times New Roman" w:eastAsia="楷体_GB2312" w:cs="Times New Roman"/>
          <w:b/>
          <w:bCs/>
          <w:color w:val="000000"/>
          <w:kern w:val="0"/>
          <w:sz w:val="33"/>
          <w:szCs w:val="33"/>
          <w:highlight w:val="none"/>
          <w:shd w:val="clear" w:color="auto" w:fill="FFFFFF"/>
          <w:lang w:val="zh-CN"/>
        </w:rPr>
        <w:t>总体绩效分析。</w:t>
      </w:r>
      <w:r>
        <w:rPr>
          <w:rFonts w:hint="eastAsia" w:ascii="仿宋_GB2312" w:hAnsi="仿宋" w:eastAsia="仿宋_GB2312" w:cs="Times New Roman"/>
          <w:kern w:val="2"/>
          <w:sz w:val="32"/>
          <w:szCs w:val="32"/>
          <w:lang w:val="zh-CN" w:eastAsia="zh-CN" w:bidi="ar-SA"/>
        </w:rPr>
        <w:t>一</w:t>
      </w:r>
      <w:r>
        <w:rPr>
          <w:rFonts w:hint="eastAsia" w:ascii="仿宋_GB2312" w:hAnsi="仿宋" w:eastAsia="仿宋_GB2312" w:cs="Times New Roman"/>
          <w:sz w:val="32"/>
          <w:szCs w:val="32"/>
          <w:lang w:val="zh-CN" w:eastAsia="zh-CN"/>
        </w:rPr>
        <w:t>是预算执行管理不断加强。通过执行数据动态监控，提高财政资金拨付效率，加快预算执行进度，提高预算执行效率。二是强化监督管理。确保各项财政政策的实施和财政资金安全、规范、有效运行。三是严格执行中央八项规定精神和“过紧日子”要求，厉行节约精神，严格控制“三公经费”和一般性公用经费支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eastAsia" w:ascii="Times New Roman" w:hAnsi="Times New Roman" w:eastAsia="楷体_GB2312" w:cs="楷体_GB2312"/>
          <w:color w:val="000000"/>
          <w:kern w:val="0"/>
          <w:sz w:val="33"/>
          <w:szCs w:val="33"/>
          <w:highlight w:val="none"/>
          <w:shd w:val="clear" w:color="auto" w:fill="FFFFFF"/>
          <w:lang w:val="zh-CN"/>
        </w:rPr>
      </w:pPr>
      <w:r>
        <w:rPr>
          <w:rFonts w:hint="eastAsia" w:ascii="Times New Roman" w:hAnsi="Times New Roman" w:eastAsia="楷体_GB2312" w:cs="楷体_GB2312"/>
          <w:color w:val="000000"/>
          <w:kern w:val="0"/>
          <w:sz w:val="33"/>
          <w:szCs w:val="33"/>
          <w:highlight w:val="none"/>
          <w:shd w:val="clear" w:color="auto" w:fill="FFFFFF"/>
          <w:lang w:val="en-US" w:eastAsia="zh-CN"/>
        </w:rPr>
        <w:t>1.</w:t>
      </w:r>
      <w:r>
        <w:rPr>
          <w:rFonts w:hint="eastAsia" w:ascii="Times New Roman" w:hAnsi="Times New Roman" w:eastAsia="楷体_GB2312" w:cs="楷体_GB2312"/>
          <w:color w:val="000000"/>
          <w:kern w:val="0"/>
          <w:sz w:val="33"/>
          <w:szCs w:val="33"/>
          <w:highlight w:val="none"/>
          <w:shd w:val="clear" w:color="auto" w:fill="FFFFFF"/>
          <w:lang w:val="zh-CN"/>
        </w:rPr>
        <w:t>履职效能。</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contextualSpacing/>
        <w:jc w:val="left"/>
        <w:textAlignment w:val="auto"/>
        <w:rPr>
          <w:rFonts w:hint="default"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zh-CN" w:eastAsia="zh-CN"/>
        </w:rPr>
        <w:t>（</w:t>
      </w:r>
      <w:r>
        <w:rPr>
          <w:rFonts w:hint="eastAsia" w:ascii="仿宋_GB2312" w:hAnsi="仿宋" w:eastAsia="仿宋_GB2312" w:cs="Times New Roman"/>
          <w:sz w:val="32"/>
          <w:szCs w:val="32"/>
          <w:highlight w:val="none"/>
          <w:lang w:val="en-US" w:eastAsia="zh-CN"/>
        </w:rPr>
        <w:t>1</w:t>
      </w:r>
      <w:r>
        <w:rPr>
          <w:rFonts w:hint="eastAsia" w:ascii="仿宋_GB2312" w:hAnsi="仿宋" w:eastAsia="仿宋_GB2312" w:cs="Times New Roman"/>
          <w:sz w:val="32"/>
          <w:szCs w:val="32"/>
          <w:highlight w:val="none"/>
          <w:lang w:val="zh-CN" w:eastAsia="zh-CN"/>
        </w:rPr>
        <w:t>）矛盾纠纷就地化解有实效。</w:t>
      </w:r>
      <w:r>
        <w:rPr>
          <w:rFonts w:hint="eastAsia" w:ascii="仿宋_GB2312" w:hAnsi="仿宋" w:eastAsia="仿宋_GB2312" w:cs="Times New Roman"/>
          <w:sz w:val="32"/>
          <w:szCs w:val="32"/>
          <w:highlight w:val="none"/>
          <w:lang w:val="en-US" w:eastAsia="zh-CN"/>
        </w:rPr>
        <w:t>以“钉钉子”精神开展矛盾纠纷调解工作，1-12月研城街道共排</w:t>
      </w:r>
      <w:r>
        <w:rPr>
          <w:rFonts w:hint="eastAsia" w:ascii="仿宋_GB2312" w:hAnsi="仿宋" w:eastAsia="仿宋_GB2312" w:cs="Times New Roman"/>
          <w:sz w:val="32"/>
          <w:szCs w:val="32"/>
          <w:highlight w:val="none"/>
          <w:lang w:val="zh-CN" w:eastAsia="zh-CN"/>
        </w:rPr>
        <w:t>查矛盾纠纷</w:t>
      </w:r>
      <w:r>
        <w:rPr>
          <w:rFonts w:hint="eastAsia" w:ascii="仿宋_GB2312" w:hAnsi="仿宋" w:eastAsia="仿宋_GB2312" w:cs="Times New Roman"/>
          <w:sz w:val="32"/>
          <w:szCs w:val="32"/>
          <w:highlight w:val="none"/>
          <w:lang w:val="en-US" w:eastAsia="zh-CN"/>
        </w:rPr>
        <w:t>281</w:t>
      </w:r>
      <w:r>
        <w:rPr>
          <w:rFonts w:hint="eastAsia" w:ascii="仿宋_GB2312" w:hAnsi="仿宋" w:eastAsia="仿宋_GB2312" w:cs="Times New Roman"/>
          <w:sz w:val="32"/>
          <w:szCs w:val="32"/>
          <w:highlight w:val="none"/>
          <w:lang w:val="zh-CN" w:eastAsia="zh-CN"/>
        </w:rPr>
        <w:t>件，调处成功率达到</w:t>
      </w:r>
      <w:r>
        <w:rPr>
          <w:rFonts w:hint="eastAsia" w:ascii="仿宋_GB2312" w:hAnsi="仿宋" w:eastAsia="仿宋_GB2312" w:cs="Times New Roman"/>
          <w:sz w:val="32"/>
          <w:szCs w:val="32"/>
          <w:highlight w:val="none"/>
          <w:lang w:val="en-US" w:eastAsia="zh-CN"/>
        </w:rPr>
        <w:t>98.9%以上，有效避免了矛盾激化</w:t>
      </w:r>
      <w:bookmarkStart w:id="130" w:name="_GoBack"/>
      <w:bookmarkEnd w:id="130"/>
      <w:r>
        <w:rPr>
          <w:rFonts w:hint="eastAsia" w:ascii="仿宋_GB2312" w:hAnsi="仿宋" w:eastAsia="仿宋_GB2312" w:cs="Times New Roman"/>
          <w:sz w:val="32"/>
          <w:szCs w:val="32"/>
          <w:highlight w:val="none"/>
          <w:lang w:val="en-US" w:eastAsia="zh-CN"/>
        </w:rPr>
        <w:t>和群体性事件发生。</w:t>
      </w:r>
    </w:p>
    <w:p>
      <w:pPr>
        <w:keepNext w:val="0"/>
        <w:keepLines w:val="0"/>
        <w:pageBreakBefore w:val="0"/>
        <w:widowControl/>
        <w:kinsoku/>
        <w:wordWrap/>
        <w:overflowPunct/>
        <w:topLinePunct w:val="0"/>
        <w:autoSpaceDE/>
        <w:autoSpaceDN/>
        <w:bidi w:val="0"/>
        <w:adjustRightInd w:val="0"/>
        <w:snapToGrid w:val="0"/>
        <w:spacing w:line="640" w:lineRule="exact"/>
        <w:ind w:firstLine="660" w:firstLineChars="200"/>
        <w:contextualSpacing/>
        <w:jc w:val="left"/>
        <w:textAlignment w:val="auto"/>
        <w:rPr>
          <w:rFonts w:hint="eastAsia" w:ascii="仿宋_GB2312" w:hAnsi="仿宋" w:eastAsia="仿宋_GB2312" w:cs="Times New Roman"/>
          <w:sz w:val="32"/>
          <w:szCs w:val="32"/>
          <w:highlight w:val="none"/>
          <w:lang w:val="zh-CN" w:eastAsia="zh-CN"/>
        </w:rPr>
      </w:pPr>
      <w:r>
        <w:rPr>
          <w:rFonts w:hint="eastAsia" w:eastAsia="楷体_GB2312" w:cs="楷体_GB2312"/>
          <w:color w:val="000000"/>
          <w:kern w:val="0"/>
          <w:sz w:val="33"/>
          <w:szCs w:val="33"/>
          <w:highlight w:val="none"/>
          <w:shd w:val="clear" w:color="auto" w:fill="FFFFFF"/>
          <w:lang w:val="zh-CN"/>
        </w:rPr>
        <w:t>（</w:t>
      </w:r>
      <w:r>
        <w:rPr>
          <w:rFonts w:hint="eastAsia" w:ascii="仿宋_GB2312" w:hAnsi="仿宋" w:eastAsia="仿宋_GB2312" w:cs="Times New Roman"/>
          <w:sz w:val="32"/>
          <w:szCs w:val="32"/>
          <w:highlight w:val="none"/>
          <w:lang w:val="en-US" w:eastAsia="zh-CN"/>
        </w:rPr>
        <w:t>2</w:t>
      </w:r>
      <w:r>
        <w:rPr>
          <w:rFonts w:hint="eastAsia" w:ascii="仿宋_GB2312" w:hAnsi="仿宋" w:eastAsia="仿宋_GB2312" w:cs="Times New Roman"/>
          <w:sz w:val="32"/>
          <w:szCs w:val="32"/>
          <w:highlight w:val="none"/>
          <w:lang w:val="zh-CN" w:eastAsia="zh-CN"/>
        </w:rPr>
        <w:t>）</w:t>
      </w:r>
      <w:r>
        <w:rPr>
          <w:rFonts w:hint="eastAsia" w:ascii="仿宋_GB2312" w:hAnsi="仿宋" w:eastAsia="仿宋_GB2312" w:cs="Times New Roman"/>
          <w:sz w:val="32"/>
          <w:szCs w:val="32"/>
          <w:highlight w:val="none"/>
          <w:lang w:val="en-US" w:eastAsia="zh-CN"/>
        </w:rPr>
        <w:t>工业根基更稳固。</w:t>
      </w:r>
      <w:r>
        <w:rPr>
          <w:rFonts w:hint="eastAsia" w:ascii="仿宋_GB2312" w:hAnsi="仿宋" w:eastAsia="仿宋_GB2312" w:cs="Times New Roman"/>
          <w:sz w:val="32"/>
          <w:szCs w:val="32"/>
          <w:highlight w:val="none"/>
          <w:lang w:val="zh-CN" w:eastAsia="zh-CN"/>
        </w:rPr>
        <w:t>采取“5+2”“白+黑”方式，24小时全天候跟进重点项目进度，全力服务井研县经开区B区能力提升建设项目，做好项目用地保障，完成418.62亩建设项目土地征收工作和</w:t>
      </w:r>
      <w:r>
        <w:rPr>
          <w:rFonts w:hint="eastAsia" w:ascii="仿宋_GB2312" w:hAnsi="仿宋" w:eastAsia="仿宋_GB2312" w:cs="Times New Roman"/>
          <w:sz w:val="32"/>
          <w:szCs w:val="32"/>
          <w:highlight w:val="none"/>
          <w:lang w:val="en-US" w:eastAsia="zh-CN"/>
        </w:rPr>
        <w:t>212</w:t>
      </w:r>
      <w:r>
        <w:rPr>
          <w:rFonts w:hint="eastAsia" w:ascii="仿宋_GB2312" w:hAnsi="仿宋" w:eastAsia="仿宋_GB2312" w:cs="Times New Roman"/>
          <w:sz w:val="32"/>
          <w:szCs w:val="32"/>
          <w:highlight w:val="none"/>
          <w:lang w:val="zh-CN" w:eastAsia="zh-CN"/>
        </w:rPr>
        <w:t>人社保安置。</w:t>
      </w:r>
      <w:r>
        <w:rPr>
          <w:rFonts w:hint="eastAsia" w:ascii="仿宋_GB2312" w:hAnsi="仿宋" w:eastAsia="仿宋_GB2312" w:cs="Times New Roman"/>
          <w:sz w:val="32"/>
          <w:szCs w:val="32"/>
          <w:highlight w:val="none"/>
          <w:lang w:val="en-US" w:eastAsia="zh-CN"/>
        </w:rPr>
        <w:t>已完成建新路南段征地前期工作，已完成井研县老年养护院征地前期工作，加快推进人民医院电杆临时用地、帛宇电杆临时用地等项目，做好征地、资金拨付、群众稳控等相关工作。持续加快推动城乡一体化供水，做好群众沟通、解释、协调工作。</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contextualSpacing/>
        <w:jc w:val="left"/>
        <w:textAlignment w:val="auto"/>
        <w:rPr>
          <w:rFonts w:hint="eastAsia"/>
          <w:highlight w:val="none"/>
          <w:lang w:val="zh-CN"/>
        </w:rPr>
      </w:pPr>
      <w:r>
        <w:rPr>
          <w:rFonts w:hint="eastAsia" w:ascii="仿宋_GB2312" w:hAnsi="仿宋" w:eastAsia="仿宋_GB2312" w:cs="Times New Roman"/>
          <w:sz w:val="32"/>
          <w:szCs w:val="32"/>
          <w:highlight w:val="none"/>
          <w:lang w:val="zh-CN" w:eastAsia="zh-CN"/>
        </w:rPr>
        <w:t>（</w:t>
      </w:r>
      <w:r>
        <w:rPr>
          <w:rFonts w:hint="eastAsia" w:ascii="仿宋_GB2312" w:hAnsi="仿宋" w:eastAsia="仿宋_GB2312" w:cs="Times New Roman"/>
          <w:sz w:val="32"/>
          <w:szCs w:val="32"/>
          <w:highlight w:val="none"/>
          <w:lang w:val="en-US" w:eastAsia="zh-CN"/>
        </w:rPr>
        <w:t>3</w:t>
      </w:r>
      <w:r>
        <w:rPr>
          <w:rFonts w:hint="eastAsia" w:ascii="仿宋_GB2312" w:hAnsi="仿宋" w:eastAsia="仿宋_GB2312" w:cs="Times New Roman"/>
          <w:sz w:val="32"/>
          <w:szCs w:val="32"/>
          <w:highlight w:val="none"/>
          <w:lang w:val="zh-CN" w:eastAsia="zh-CN"/>
        </w:rPr>
        <w:t>）服务民生</w:t>
      </w:r>
      <w:r>
        <w:rPr>
          <w:rFonts w:hint="eastAsia" w:ascii="仿宋_GB2312" w:hAnsi="仿宋" w:eastAsia="仿宋_GB2312" w:cs="Times New Roman"/>
          <w:sz w:val="32"/>
          <w:szCs w:val="32"/>
          <w:highlight w:val="none"/>
          <w:lang w:val="en-US" w:eastAsia="zh-CN"/>
        </w:rPr>
        <w:t>助脱贫。制定《研城街道防止返贫常态化监测帮扶体系实施方案》，划分网格10个，网格员148人，监测员10人，共排查 492户1095人，新增识别监测对象5户13人。申报492户脱贫户及监测户各类补助资金114余万元；帮助55人符合条件学生申报“雨露计划”教育补助8.25万元；帮助脱贫户、监测户申请脱贫户小额信贷1户</w:t>
      </w:r>
      <w:r>
        <w:rPr>
          <w:rFonts w:hint="eastAsia" w:ascii="仿宋_GB2312" w:hAnsi="仿宋_GB2312" w:eastAsia="仿宋_GB2312" w:cs="仿宋_GB2312"/>
          <w:color w:val="auto"/>
          <w:kern w:val="2"/>
          <w:sz w:val="32"/>
          <w:szCs w:val="24"/>
          <w:highlight w:val="none"/>
          <w:lang w:val="en-US" w:eastAsia="zh-CN" w:bidi="ar-SA"/>
        </w:rPr>
        <w:t>，</w:t>
      </w:r>
      <w:r>
        <w:rPr>
          <w:rFonts w:hint="eastAsia" w:ascii="仿宋_GB2312" w:hAnsi="仿宋" w:eastAsia="仿宋_GB2312" w:cs="Times New Roman"/>
          <w:sz w:val="32"/>
          <w:szCs w:val="32"/>
          <w:highlight w:val="none"/>
          <w:lang w:val="en-US" w:eastAsia="zh-CN"/>
        </w:rPr>
        <w:t>发放贷款金额3万元。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eastAsia" w:ascii="仿宋_GB2312" w:hAnsi="仿宋" w:eastAsia="仿宋_GB2312" w:cs="Times New Roman"/>
          <w:sz w:val="32"/>
          <w:szCs w:val="32"/>
          <w:highlight w:val="none"/>
          <w:lang w:val="en-US" w:eastAsia="zh-CN"/>
        </w:rPr>
      </w:pPr>
      <w:r>
        <w:rPr>
          <w:rFonts w:hint="eastAsia" w:ascii="Times New Roman" w:hAnsi="Times New Roman" w:eastAsia="楷体_GB2312" w:cs="楷体_GB2312"/>
          <w:color w:val="000000"/>
          <w:kern w:val="0"/>
          <w:sz w:val="33"/>
          <w:szCs w:val="33"/>
          <w:highlight w:val="none"/>
          <w:shd w:val="clear" w:color="auto" w:fill="FFFFFF"/>
          <w:lang w:val="en-US" w:eastAsia="zh-CN"/>
        </w:rPr>
        <w:t>2.</w:t>
      </w:r>
      <w:r>
        <w:rPr>
          <w:rFonts w:hint="default" w:ascii="Times New Roman" w:hAnsi="Times New Roman" w:eastAsia="楷体_GB2312" w:cs="楷体_GB2312"/>
          <w:color w:val="000000"/>
          <w:kern w:val="0"/>
          <w:sz w:val="33"/>
          <w:szCs w:val="33"/>
          <w:highlight w:val="none"/>
          <w:shd w:val="clear" w:color="auto" w:fill="FFFFFF"/>
          <w:lang w:val="zh-CN"/>
        </w:rPr>
        <w:t>预算管理</w:t>
      </w:r>
      <w:r>
        <w:rPr>
          <w:rFonts w:hint="eastAsia" w:ascii="Times New Roman" w:hAnsi="Times New Roman" w:eastAsia="楷体_GB2312" w:cs="楷体_GB2312"/>
          <w:color w:val="000000"/>
          <w:kern w:val="0"/>
          <w:sz w:val="33"/>
          <w:szCs w:val="33"/>
          <w:highlight w:val="none"/>
          <w:shd w:val="clear" w:color="auto" w:fill="FFFFFF"/>
          <w:lang w:val="zh-CN"/>
        </w:rPr>
        <w:t>。</w:t>
      </w:r>
      <w:r>
        <w:rPr>
          <w:rFonts w:hint="eastAsia" w:ascii="仿宋_GB2312" w:hAnsi="仿宋" w:eastAsia="仿宋_GB2312" w:cs="Times New Roman"/>
          <w:sz w:val="32"/>
          <w:szCs w:val="32"/>
          <w:highlight w:val="none"/>
          <w:lang w:val="zh-CN" w:eastAsia="zh-CN"/>
        </w:rPr>
        <w:t>预算精准，可行性强；财力集中，保障重点；执行均衡，避免突击；收支匹配，不留缺口；节约裕民，优化结构。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eastAsia" w:ascii="仿宋_GB2312" w:hAnsi="仿宋" w:eastAsia="仿宋_GB2312" w:cs="Times New Roman"/>
          <w:sz w:val="32"/>
          <w:szCs w:val="32"/>
          <w:highlight w:val="none"/>
          <w:lang w:val="zh-CN" w:eastAsia="zh-CN"/>
        </w:rPr>
      </w:pPr>
      <w:r>
        <w:rPr>
          <w:rFonts w:hint="eastAsia" w:ascii="Times New Roman" w:hAnsi="Times New Roman" w:eastAsia="楷体_GB2312" w:cs="楷体_GB2312"/>
          <w:color w:val="000000"/>
          <w:kern w:val="0"/>
          <w:sz w:val="33"/>
          <w:szCs w:val="33"/>
          <w:highlight w:val="none"/>
          <w:shd w:val="clear" w:color="auto" w:fill="FFFFFF"/>
          <w:lang w:val="en-US" w:eastAsia="zh-CN"/>
        </w:rPr>
        <w:t>3.</w:t>
      </w:r>
      <w:r>
        <w:rPr>
          <w:rFonts w:hint="default" w:ascii="Times New Roman" w:hAnsi="Times New Roman" w:eastAsia="楷体_GB2312" w:cs="楷体_GB2312"/>
          <w:color w:val="000000"/>
          <w:kern w:val="0"/>
          <w:sz w:val="33"/>
          <w:szCs w:val="33"/>
          <w:highlight w:val="none"/>
          <w:shd w:val="clear" w:color="auto" w:fill="FFFFFF"/>
          <w:lang w:val="zh-CN"/>
        </w:rPr>
        <w:t>财务管理</w:t>
      </w:r>
      <w:r>
        <w:rPr>
          <w:rFonts w:hint="eastAsia" w:ascii="Times New Roman" w:hAnsi="Times New Roman" w:eastAsia="楷体_GB2312" w:cs="楷体_GB2312"/>
          <w:color w:val="000000"/>
          <w:kern w:val="0"/>
          <w:sz w:val="33"/>
          <w:szCs w:val="33"/>
          <w:highlight w:val="none"/>
          <w:shd w:val="clear" w:color="auto" w:fill="FFFFFF"/>
          <w:lang w:val="zh-CN"/>
        </w:rPr>
        <w:t>。</w:t>
      </w:r>
      <w:r>
        <w:rPr>
          <w:rFonts w:hint="eastAsia" w:ascii="仿宋_GB2312" w:hAnsi="仿宋" w:eastAsia="仿宋_GB2312" w:cs="Times New Roman"/>
          <w:sz w:val="32"/>
          <w:szCs w:val="32"/>
          <w:highlight w:val="none"/>
          <w:lang w:val="zh-CN" w:eastAsia="zh-CN"/>
        </w:rPr>
        <w:t>财务管理制度健全，流程清晰，覆盖全面，管控有效；职责分离、权责明确、监督到位；资金审批严、用途准、支付合格。</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eastAsia" w:ascii="仿宋_GB2312" w:hAnsi="仿宋" w:eastAsia="仿宋_GB2312" w:cs="Times New Roman"/>
          <w:sz w:val="32"/>
          <w:szCs w:val="32"/>
          <w:highlight w:val="none"/>
          <w:lang w:val="zh-CN" w:eastAsia="zh-CN"/>
        </w:rPr>
      </w:pPr>
      <w:r>
        <w:rPr>
          <w:rFonts w:hint="eastAsia" w:ascii="Times New Roman" w:hAnsi="Times New Roman" w:eastAsia="楷体_GB2312" w:cs="楷体_GB2312"/>
          <w:color w:val="000000"/>
          <w:kern w:val="0"/>
          <w:sz w:val="33"/>
          <w:szCs w:val="33"/>
          <w:highlight w:val="none"/>
          <w:shd w:val="clear" w:color="auto" w:fill="FFFFFF"/>
          <w:lang w:val="en-US" w:eastAsia="zh-CN"/>
        </w:rPr>
        <w:t>4.</w:t>
      </w:r>
      <w:r>
        <w:rPr>
          <w:rFonts w:hint="default" w:ascii="Times New Roman" w:hAnsi="Times New Roman" w:eastAsia="楷体_GB2312" w:cs="楷体_GB2312"/>
          <w:color w:val="000000"/>
          <w:kern w:val="0"/>
          <w:sz w:val="33"/>
          <w:szCs w:val="33"/>
          <w:highlight w:val="none"/>
          <w:shd w:val="clear" w:color="auto" w:fill="FFFFFF"/>
          <w:lang w:val="zh-CN"/>
        </w:rPr>
        <w:t>资产管理</w:t>
      </w:r>
      <w:r>
        <w:rPr>
          <w:rFonts w:hint="eastAsia" w:ascii="Times New Roman" w:hAnsi="Times New Roman" w:eastAsia="楷体_GB2312" w:cs="楷体_GB2312"/>
          <w:color w:val="000000"/>
          <w:kern w:val="0"/>
          <w:sz w:val="33"/>
          <w:szCs w:val="33"/>
          <w:highlight w:val="none"/>
          <w:shd w:val="clear" w:color="auto" w:fill="FFFFFF"/>
          <w:lang w:val="zh-CN"/>
        </w:rPr>
        <w:t>。</w:t>
      </w:r>
      <w:r>
        <w:rPr>
          <w:rFonts w:hint="eastAsia" w:ascii="仿宋_GB2312" w:hAnsi="仿宋" w:eastAsia="仿宋_GB2312" w:cs="Times New Roman"/>
          <w:sz w:val="32"/>
          <w:szCs w:val="32"/>
          <w:highlight w:val="none"/>
          <w:lang w:val="zh-CN" w:eastAsia="zh-CN"/>
        </w:rPr>
        <w:t>将国有资产纳入资产信息系统管理，及时、准确上报资金报表。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eastAsia" w:ascii="仿宋_GB2312" w:hAnsi="仿宋" w:eastAsia="仿宋_GB2312" w:cs="Times New Roman"/>
          <w:sz w:val="32"/>
          <w:szCs w:val="32"/>
          <w:highlight w:val="none"/>
          <w:lang w:val="zh-CN" w:eastAsia="zh-CN"/>
        </w:rPr>
      </w:pPr>
      <w:r>
        <w:rPr>
          <w:rFonts w:hint="eastAsia" w:ascii="Times New Roman" w:hAnsi="Times New Roman" w:eastAsia="楷体_GB2312" w:cs="楷体_GB2312"/>
          <w:color w:val="000000"/>
          <w:kern w:val="0"/>
          <w:sz w:val="33"/>
          <w:szCs w:val="33"/>
          <w:highlight w:val="none"/>
          <w:shd w:val="clear" w:color="auto" w:fill="FFFFFF"/>
          <w:lang w:val="en-US" w:eastAsia="zh-CN"/>
        </w:rPr>
        <w:t>5.</w:t>
      </w:r>
      <w:r>
        <w:rPr>
          <w:rFonts w:hint="default" w:ascii="Times New Roman" w:hAnsi="Times New Roman" w:eastAsia="楷体_GB2312" w:cs="楷体_GB2312"/>
          <w:color w:val="000000"/>
          <w:kern w:val="0"/>
          <w:sz w:val="33"/>
          <w:szCs w:val="33"/>
          <w:highlight w:val="none"/>
          <w:shd w:val="clear" w:color="auto" w:fill="FFFFFF"/>
          <w:lang w:val="zh-CN"/>
        </w:rPr>
        <w:t>采购管理</w:t>
      </w:r>
      <w:r>
        <w:rPr>
          <w:rFonts w:hint="eastAsia" w:ascii="Times New Roman" w:hAnsi="Times New Roman" w:eastAsia="楷体_GB2312" w:cs="楷体_GB2312"/>
          <w:color w:val="000000"/>
          <w:kern w:val="0"/>
          <w:sz w:val="33"/>
          <w:szCs w:val="33"/>
          <w:highlight w:val="none"/>
          <w:shd w:val="clear" w:color="auto" w:fill="FFFFFF"/>
          <w:lang w:val="zh-CN"/>
        </w:rPr>
        <w:t>。</w:t>
      </w:r>
      <w:r>
        <w:rPr>
          <w:rFonts w:hint="eastAsia" w:ascii="仿宋_GB2312" w:hAnsi="仿宋" w:eastAsia="仿宋_GB2312" w:cs="Times New Roman"/>
          <w:sz w:val="32"/>
          <w:szCs w:val="32"/>
          <w:highlight w:val="none"/>
          <w:lang w:val="zh-CN" w:eastAsia="zh-CN"/>
        </w:rPr>
        <w:t>围绕支持中小企业发展、按政府采购法及实施条例进行政府采购</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63" w:firstLineChars="200"/>
        <w:contextualSpacing/>
        <w:jc w:val="both"/>
        <w:textAlignment w:val="auto"/>
        <w:outlineLvl w:val="9"/>
        <w:rPr>
          <w:rFonts w:hint="default" w:ascii="Times New Roman" w:hAnsi="Times New Roman" w:cs="Times New Roman"/>
          <w:color w:val="000000"/>
          <w:kern w:val="0"/>
          <w:sz w:val="33"/>
          <w:szCs w:val="33"/>
          <w:highlight w:val="none"/>
          <w:shd w:val="clear" w:color="auto" w:fill="FFFFFF"/>
          <w:lang w:val="en-US" w:eastAsia="zh-CN"/>
        </w:rPr>
      </w:pPr>
      <w:r>
        <w:rPr>
          <w:rFonts w:hint="default" w:ascii="Times New Roman" w:hAnsi="Times New Roman" w:eastAsia="楷体_GB2312" w:cs="Times New Roman"/>
          <w:b/>
          <w:bCs/>
          <w:color w:val="000000"/>
          <w:kern w:val="0"/>
          <w:sz w:val="33"/>
          <w:szCs w:val="33"/>
          <w:highlight w:val="none"/>
          <w:shd w:val="clear" w:color="auto" w:fill="FFFFFF"/>
          <w:lang w:val="zh-CN"/>
        </w:rPr>
        <w:t>（二）</w:t>
      </w:r>
      <w:r>
        <w:rPr>
          <w:rFonts w:hint="eastAsia" w:eastAsia="楷体_GB2312" w:cs="Times New Roman"/>
          <w:b/>
          <w:bCs/>
          <w:color w:val="000000"/>
          <w:kern w:val="0"/>
          <w:sz w:val="33"/>
          <w:szCs w:val="33"/>
          <w:highlight w:val="none"/>
          <w:shd w:val="clear" w:color="auto" w:fill="FFFFFF"/>
          <w:lang w:val="zh-CN"/>
        </w:rPr>
        <w:t>单位</w:t>
      </w:r>
      <w:r>
        <w:rPr>
          <w:rFonts w:hint="default" w:ascii="Times New Roman" w:hAnsi="Times New Roman" w:eastAsia="楷体_GB2312" w:cs="Times New Roman"/>
          <w:b/>
          <w:bCs/>
          <w:color w:val="000000"/>
          <w:kern w:val="0"/>
          <w:sz w:val="33"/>
          <w:szCs w:val="33"/>
          <w:highlight w:val="none"/>
          <w:shd w:val="clear" w:color="auto" w:fill="FFFFFF"/>
          <w:lang w:val="zh-CN"/>
        </w:rPr>
        <w:t>预算项目绩效分析。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contextualSpacing/>
        <w:jc w:val="both"/>
        <w:textAlignment w:val="auto"/>
        <w:outlineLvl w:val="9"/>
        <w:rPr>
          <w:rFonts w:hint="default" w:ascii="仿宋_GB2312" w:hAnsi="仿宋" w:eastAsia="仿宋_GB2312" w:cs="Times New Roman"/>
          <w:sz w:val="32"/>
          <w:szCs w:val="32"/>
          <w:highlight w:val="none"/>
          <w:lang w:val="zh-CN" w:eastAsia="zh-CN"/>
        </w:rPr>
      </w:pPr>
      <w:r>
        <w:rPr>
          <w:rFonts w:hint="default" w:ascii="仿宋_GB2312" w:hAnsi="仿宋" w:eastAsia="仿宋_GB2312" w:cs="Times New Roman"/>
          <w:sz w:val="32"/>
          <w:szCs w:val="32"/>
          <w:highlight w:val="none"/>
          <w:lang w:val="en-US" w:eastAsia="zh-CN"/>
        </w:rPr>
        <w:t>常年项目绩效分析。</w:t>
      </w:r>
      <w:r>
        <w:rPr>
          <w:rFonts w:hint="default" w:ascii="仿宋_GB2312" w:hAnsi="仿宋" w:eastAsia="仿宋_GB2312" w:cs="Times New Roman"/>
          <w:sz w:val="32"/>
          <w:szCs w:val="32"/>
          <w:highlight w:val="none"/>
          <w:lang w:val="zh-CN" w:eastAsia="zh-CN"/>
        </w:rPr>
        <w:t>该类项目总数</w:t>
      </w:r>
      <w:r>
        <w:rPr>
          <w:rFonts w:hint="eastAsia" w:ascii="仿宋_GB2312" w:hAnsi="仿宋" w:eastAsia="仿宋_GB2312" w:cs="Times New Roman"/>
          <w:sz w:val="32"/>
          <w:szCs w:val="32"/>
          <w:highlight w:val="none"/>
          <w:lang w:val="en-US" w:eastAsia="zh-CN"/>
        </w:rPr>
        <w:t>28</w:t>
      </w:r>
      <w:r>
        <w:rPr>
          <w:rFonts w:hint="default" w:ascii="仿宋_GB2312" w:hAnsi="仿宋" w:eastAsia="仿宋_GB2312" w:cs="Times New Roman"/>
          <w:sz w:val="32"/>
          <w:szCs w:val="32"/>
          <w:highlight w:val="none"/>
          <w:lang w:val="zh-CN" w:eastAsia="zh-CN"/>
        </w:rPr>
        <w:t>个，涉及预算总金额</w:t>
      </w:r>
      <w:r>
        <w:rPr>
          <w:rFonts w:hint="eastAsia" w:ascii="仿宋_GB2312" w:hAnsi="仿宋" w:eastAsia="仿宋_GB2312" w:cs="Times New Roman"/>
          <w:sz w:val="32"/>
          <w:szCs w:val="32"/>
          <w:highlight w:val="none"/>
          <w:lang w:val="en-US" w:eastAsia="zh-CN"/>
        </w:rPr>
        <w:t>1208.78</w:t>
      </w:r>
      <w:r>
        <w:rPr>
          <w:rFonts w:hint="default" w:ascii="仿宋_GB2312" w:hAnsi="仿宋" w:eastAsia="仿宋_GB2312" w:cs="Times New Roman"/>
          <w:sz w:val="32"/>
          <w:szCs w:val="32"/>
          <w:highlight w:val="none"/>
          <w:lang w:val="zh-CN" w:eastAsia="zh-CN"/>
        </w:rPr>
        <w:t>万元，1</w:t>
      </w:r>
      <w:r>
        <w:rPr>
          <w:rFonts w:hint="eastAsia" w:ascii="仿宋_GB2312" w:hAnsi="仿宋" w:eastAsia="仿宋_GB2312" w:cs="Times New Roman"/>
          <w:sz w:val="32"/>
          <w:szCs w:val="32"/>
          <w:highlight w:val="none"/>
          <w:lang w:val="zh-CN" w:eastAsia="zh-CN"/>
        </w:rPr>
        <w:t>—</w:t>
      </w:r>
      <w:r>
        <w:rPr>
          <w:rFonts w:hint="default" w:ascii="仿宋_GB2312" w:hAnsi="仿宋" w:eastAsia="仿宋_GB2312" w:cs="Times New Roman"/>
          <w:sz w:val="32"/>
          <w:szCs w:val="32"/>
          <w:highlight w:val="none"/>
          <w:lang w:val="zh-CN" w:eastAsia="zh-CN"/>
        </w:rPr>
        <w:t>1</w:t>
      </w:r>
      <w:r>
        <w:rPr>
          <w:rFonts w:hint="default" w:ascii="仿宋_GB2312" w:hAnsi="仿宋" w:eastAsia="仿宋_GB2312" w:cs="Times New Roman"/>
          <w:sz w:val="32"/>
          <w:szCs w:val="32"/>
          <w:highlight w:val="none"/>
          <w:lang w:val="en-US" w:eastAsia="zh-CN"/>
        </w:rPr>
        <w:t>2</w:t>
      </w:r>
      <w:r>
        <w:rPr>
          <w:rFonts w:hint="default" w:ascii="仿宋_GB2312" w:hAnsi="仿宋" w:eastAsia="仿宋_GB2312" w:cs="Times New Roman"/>
          <w:sz w:val="32"/>
          <w:szCs w:val="32"/>
          <w:highlight w:val="none"/>
          <w:lang w:val="zh-CN" w:eastAsia="zh-CN"/>
        </w:rPr>
        <w:t>月预算执行总体进度为</w:t>
      </w:r>
      <w:r>
        <w:rPr>
          <w:rFonts w:hint="eastAsia" w:ascii="仿宋_GB2312" w:hAnsi="仿宋" w:eastAsia="仿宋_GB2312" w:cs="Times New Roman"/>
          <w:sz w:val="32"/>
          <w:szCs w:val="32"/>
          <w:highlight w:val="none"/>
          <w:lang w:val="en-US" w:eastAsia="zh-CN"/>
        </w:rPr>
        <w:t>100</w:t>
      </w:r>
      <w:r>
        <w:rPr>
          <w:rFonts w:hint="default" w:ascii="仿宋_GB2312" w:hAnsi="仿宋" w:eastAsia="仿宋_GB2312" w:cs="Times New Roman"/>
          <w:sz w:val="32"/>
          <w:szCs w:val="32"/>
          <w:highlight w:val="none"/>
          <w:lang w:val="zh-CN" w:eastAsia="zh-CN"/>
        </w:rPr>
        <w:t>%，其中：预算结余率大于</w:t>
      </w:r>
      <w:r>
        <w:rPr>
          <w:rFonts w:hint="default" w:ascii="仿宋_GB2312" w:hAnsi="仿宋" w:eastAsia="仿宋_GB2312" w:cs="Times New Roman"/>
          <w:sz w:val="32"/>
          <w:szCs w:val="32"/>
          <w:highlight w:val="none"/>
          <w:lang w:val="en-US" w:eastAsia="zh-CN"/>
        </w:rPr>
        <w:t>10%</w:t>
      </w:r>
      <w:r>
        <w:rPr>
          <w:rFonts w:hint="default" w:ascii="仿宋_GB2312" w:hAnsi="仿宋" w:eastAsia="仿宋_GB2312" w:cs="Times New Roman"/>
          <w:sz w:val="32"/>
          <w:szCs w:val="32"/>
          <w:highlight w:val="none"/>
          <w:lang w:val="zh-CN" w:eastAsia="zh-CN"/>
        </w:rPr>
        <w:t>的项目共计</w:t>
      </w:r>
      <w:r>
        <w:rPr>
          <w:rFonts w:hint="eastAsia" w:ascii="仿宋_GB2312" w:hAnsi="仿宋" w:eastAsia="仿宋_GB2312" w:cs="Times New Roman"/>
          <w:sz w:val="32"/>
          <w:szCs w:val="32"/>
          <w:highlight w:val="none"/>
          <w:lang w:val="en-US" w:eastAsia="zh-CN"/>
        </w:rPr>
        <w:t>0</w:t>
      </w:r>
      <w:r>
        <w:rPr>
          <w:rFonts w:hint="default" w:ascii="仿宋_GB2312" w:hAnsi="仿宋" w:eastAsia="仿宋_GB2312" w:cs="Times New Roman"/>
          <w:sz w:val="32"/>
          <w:szCs w:val="32"/>
          <w:highlight w:val="none"/>
          <w:lang w:val="zh-CN" w:eastAsia="zh-CN"/>
        </w:rPr>
        <w:t>个。</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contextualSpacing/>
        <w:jc w:val="both"/>
        <w:textAlignment w:val="auto"/>
        <w:outlineLvl w:val="9"/>
        <w:rPr>
          <w:rFonts w:hint="default" w:ascii="仿宋_GB2312" w:hAnsi="仿宋" w:eastAsia="仿宋_GB2312" w:cs="Times New Roman"/>
          <w:sz w:val="32"/>
          <w:szCs w:val="32"/>
          <w:highlight w:val="none"/>
          <w:lang w:val="zh-CN" w:eastAsia="zh-CN"/>
        </w:rPr>
      </w:pPr>
      <w:r>
        <w:rPr>
          <w:rFonts w:hint="default" w:ascii="仿宋_GB2312" w:hAnsi="仿宋" w:eastAsia="仿宋_GB2312" w:cs="Times New Roman"/>
          <w:sz w:val="32"/>
          <w:szCs w:val="32"/>
          <w:highlight w:val="none"/>
          <w:lang w:val="en-US" w:eastAsia="zh-CN"/>
        </w:rPr>
        <w:t>阶段</w:t>
      </w:r>
      <w:r>
        <w:rPr>
          <w:rFonts w:hint="eastAsia" w:ascii="仿宋_GB2312" w:hAnsi="仿宋" w:eastAsia="仿宋_GB2312" w:cs="Times New Roman"/>
          <w:sz w:val="32"/>
          <w:szCs w:val="32"/>
          <w:highlight w:val="none"/>
          <w:lang w:val="en-US" w:eastAsia="zh-CN"/>
        </w:rPr>
        <w:t>（</w:t>
      </w:r>
      <w:r>
        <w:rPr>
          <w:rFonts w:hint="default" w:ascii="仿宋_GB2312" w:hAnsi="仿宋" w:eastAsia="仿宋_GB2312" w:cs="Times New Roman"/>
          <w:sz w:val="32"/>
          <w:szCs w:val="32"/>
          <w:highlight w:val="none"/>
          <w:lang w:val="en-US" w:eastAsia="zh-CN"/>
        </w:rPr>
        <w:t>一次性</w:t>
      </w:r>
      <w:r>
        <w:rPr>
          <w:rFonts w:hint="eastAsia" w:ascii="仿宋_GB2312" w:hAnsi="仿宋" w:eastAsia="仿宋_GB2312" w:cs="Times New Roman"/>
          <w:sz w:val="32"/>
          <w:szCs w:val="32"/>
          <w:highlight w:val="none"/>
          <w:lang w:val="en-US" w:eastAsia="zh-CN"/>
        </w:rPr>
        <w:t>）</w:t>
      </w:r>
      <w:r>
        <w:rPr>
          <w:rFonts w:hint="default" w:ascii="仿宋_GB2312" w:hAnsi="仿宋" w:eastAsia="仿宋_GB2312" w:cs="Times New Roman"/>
          <w:sz w:val="32"/>
          <w:szCs w:val="32"/>
          <w:highlight w:val="none"/>
          <w:lang w:val="en-US" w:eastAsia="zh-CN"/>
        </w:rPr>
        <w:t>项目绩效分析。</w:t>
      </w:r>
      <w:r>
        <w:rPr>
          <w:rFonts w:hint="default" w:ascii="仿宋_GB2312" w:hAnsi="仿宋" w:eastAsia="仿宋_GB2312" w:cs="Times New Roman"/>
          <w:sz w:val="32"/>
          <w:szCs w:val="32"/>
          <w:highlight w:val="none"/>
          <w:lang w:val="zh-CN" w:eastAsia="zh-CN"/>
        </w:rPr>
        <w:t>该类项目总数</w:t>
      </w:r>
      <w:r>
        <w:rPr>
          <w:rFonts w:hint="eastAsia" w:ascii="仿宋_GB2312" w:hAnsi="仿宋" w:eastAsia="仿宋_GB2312" w:cs="Times New Roman"/>
          <w:sz w:val="32"/>
          <w:szCs w:val="32"/>
          <w:highlight w:val="none"/>
          <w:lang w:val="en-US" w:eastAsia="zh-CN"/>
        </w:rPr>
        <w:t>24</w:t>
      </w:r>
      <w:r>
        <w:rPr>
          <w:rFonts w:hint="default" w:ascii="仿宋_GB2312" w:hAnsi="仿宋" w:eastAsia="仿宋_GB2312" w:cs="Times New Roman"/>
          <w:sz w:val="32"/>
          <w:szCs w:val="32"/>
          <w:highlight w:val="none"/>
          <w:lang w:val="zh-CN" w:eastAsia="zh-CN"/>
        </w:rPr>
        <w:t>个，涉及预算总金额</w:t>
      </w:r>
      <w:r>
        <w:rPr>
          <w:rFonts w:hint="eastAsia" w:ascii="仿宋_GB2312" w:hAnsi="仿宋" w:eastAsia="仿宋_GB2312" w:cs="Times New Roman"/>
          <w:sz w:val="32"/>
          <w:szCs w:val="32"/>
          <w:highlight w:val="none"/>
          <w:lang w:val="en-US" w:eastAsia="zh-CN"/>
        </w:rPr>
        <w:t>576.68</w:t>
      </w:r>
      <w:r>
        <w:rPr>
          <w:rFonts w:hint="default" w:ascii="仿宋_GB2312" w:hAnsi="仿宋" w:eastAsia="仿宋_GB2312" w:cs="Times New Roman"/>
          <w:sz w:val="32"/>
          <w:szCs w:val="32"/>
          <w:highlight w:val="none"/>
          <w:lang w:val="zh-CN" w:eastAsia="zh-CN"/>
        </w:rPr>
        <w:t>万元，1</w:t>
      </w:r>
      <w:r>
        <w:rPr>
          <w:rFonts w:hint="eastAsia" w:ascii="仿宋_GB2312" w:hAnsi="仿宋" w:eastAsia="仿宋_GB2312" w:cs="Times New Roman"/>
          <w:sz w:val="32"/>
          <w:szCs w:val="32"/>
          <w:highlight w:val="none"/>
          <w:lang w:val="zh-CN" w:eastAsia="zh-CN"/>
        </w:rPr>
        <w:t>—</w:t>
      </w:r>
      <w:r>
        <w:rPr>
          <w:rFonts w:hint="default" w:ascii="仿宋_GB2312" w:hAnsi="仿宋" w:eastAsia="仿宋_GB2312" w:cs="Times New Roman"/>
          <w:sz w:val="32"/>
          <w:szCs w:val="32"/>
          <w:highlight w:val="none"/>
          <w:lang w:val="zh-CN" w:eastAsia="zh-CN"/>
        </w:rPr>
        <w:t>1</w:t>
      </w:r>
      <w:r>
        <w:rPr>
          <w:rFonts w:hint="default" w:ascii="仿宋_GB2312" w:hAnsi="仿宋" w:eastAsia="仿宋_GB2312" w:cs="Times New Roman"/>
          <w:sz w:val="32"/>
          <w:szCs w:val="32"/>
          <w:highlight w:val="none"/>
          <w:lang w:val="en-US" w:eastAsia="zh-CN"/>
        </w:rPr>
        <w:t>2</w:t>
      </w:r>
      <w:r>
        <w:rPr>
          <w:rFonts w:hint="default" w:ascii="仿宋_GB2312" w:hAnsi="仿宋" w:eastAsia="仿宋_GB2312" w:cs="Times New Roman"/>
          <w:sz w:val="32"/>
          <w:szCs w:val="32"/>
          <w:highlight w:val="none"/>
          <w:lang w:val="zh-CN" w:eastAsia="zh-CN"/>
        </w:rPr>
        <w:t>月预算执行总体进度为</w:t>
      </w:r>
      <w:r>
        <w:rPr>
          <w:rFonts w:hint="eastAsia" w:ascii="仿宋_GB2312" w:hAnsi="仿宋" w:eastAsia="仿宋_GB2312" w:cs="Times New Roman"/>
          <w:sz w:val="32"/>
          <w:szCs w:val="32"/>
          <w:highlight w:val="none"/>
          <w:lang w:val="en-US" w:eastAsia="zh-CN"/>
        </w:rPr>
        <w:t>99.13</w:t>
      </w:r>
      <w:r>
        <w:rPr>
          <w:rFonts w:hint="default" w:ascii="仿宋_GB2312" w:hAnsi="仿宋" w:eastAsia="仿宋_GB2312" w:cs="Times New Roman"/>
          <w:sz w:val="32"/>
          <w:szCs w:val="32"/>
          <w:highlight w:val="none"/>
          <w:lang w:val="zh-CN" w:eastAsia="zh-CN"/>
        </w:rPr>
        <w:t>%，其中：预算结余率大于</w:t>
      </w:r>
      <w:r>
        <w:rPr>
          <w:rFonts w:hint="default" w:ascii="仿宋_GB2312" w:hAnsi="仿宋" w:eastAsia="仿宋_GB2312" w:cs="Times New Roman"/>
          <w:sz w:val="32"/>
          <w:szCs w:val="32"/>
          <w:highlight w:val="none"/>
          <w:lang w:val="en-US" w:eastAsia="zh-CN"/>
        </w:rPr>
        <w:t>10%</w:t>
      </w:r>
      <w:r>
        <w:rPr>
          <w:rFonts w:hint="default" w:ascii="仿宋_GB2312" w:hAnsi="仿宋" w:eastAsia="仿宋_GB2312" w:cs="Times New Roman"/>
          <w:sz w:val="32"/>
          <w:szCs w:val="32"/>
          <w:highlight w:val="none"/>
          <w:lang w:val="zh-CN" w:eastAsia="zh-CN"/>
        </w:rPr>
        <w:t>的项目共计</w:t>
      </w:r>
      <w:r>
        <w:rPr>
          <w:rFonts w:hint="eastAsia" w:ascii="仿宋_GB2312" w:hAnsi="仿宋" w:eastAsia="仿宋_GB2312" w:cs="Times New Roman"/>
          <w:sz w:val="32"/>
          <w:szCs w:val="32"/>
          <w:highlight w:val="none"/>
          <w:lang w:val="en-US" w:eastAsia="zh-CN"/>
        </w:rPr>
        <w:t>0</w:t>
      </w:r>
      <w:r>
        <w:rPr>
          <w:rFonts w:hint="default" w:ascii="仿宋_GB2312" w:hAnsi="仿宋" w:eastAsia="仿宋_GB2312" w:cs="Times New Roman"/>
          <w:sz w:val="32"/>
          <w:szCs w:val="32"/>
          <w:highlight w:val="none"/>
          <w:lang w:val="zh-CN" w:eastAsia="zh-CN"/>
        </w:rPr>
        <w:t>个。</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contextualSpacing/>
        <w:jc w:val="both"/>
        <w:textAlignment w:val="auto"/>
        <w:outlineLvl w:val="9"/>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lang w:val="zh-CN" w:eastAsia="zh-CN"/>
        </w:rPr>
        <w:t>项目决策。决策程序规范，目标设置可量化、可衡量，项目入库严格。</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contextualSpacing/>
        <w:jc w:val="both"/>
        <w:textAlignment w:val="auto"/>
        <w:outlineLvl w:val="9"/>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2.项目执行</w:t>
      </w:r>
      <w:r>
        <w:rPr>
          <w:rFonts w:hint="eastAsia" w:ascii="仿宋_GB2312" w:hAnsi="仿宋" w:eastAsia="仿宋_GB2312" w:cs="Times New Roman"/>
          <w:sz w:val="32"/>
          <w:szCs w:val="32"/>
          <w:lang w:val="zh-CN" w:eastAsia="zh-CN"/>
        </w:rPr>
        <w:t>。确保资金流向与政策目标一致，并通过绩效驱动的动态调账，实现资源优化配置和结果最大化。</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contextualSpacing/>
        <w:jc w:val="both"/>
        <w:textAlignment w:val="auto"/>
        <w:outlineLvl w:val="9"/>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lang w:val="zh-CN" w:eastAsia="zh-CN"/>
        </w:rPr>
        <w:t>目标实现。计划有效落实，执行力强；实施精准，资源聚焦，减少浪费；产出符合预期，成果满足需求，效果显著。</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63" w:firstLineChars="200"/>
        <w:jc w:val="both"/>
        <w:textAlignment w:val="auto"/>
        <w:rPr>
          <w:rFonts w:hint="default" w:ascii="仿宋_GB2312" w:hAnsi="仿宋" w:eastAsia="仿宋_GB2312" w:cs="Times New Roman"/>
          <w:sz w:val="32"/>
          <w:szCs w:val="32"/>
          <w:lang w:val="en-US" w:eastAsia="zh-CN"/>
        </w:rPr>
      </w:pPr>
      <w:r>
        <w:rPr>
          <w:rFonts w:hint="default" w:ascii="Times New Roman" w:hAnsi="Times New Roman" w:eastAsia="楷体_GB2312" w:cs="Times New Roman"/>
          <w:b/>
          <w:bCs/>
          <w:sz w:val="33"/>
          <w:szCs w:val="33"/>
          <w:lang w:val="zh-CN"/>
        </w:rPr>
        <w:t>（</w:t>
      </w:r>
      <w:r>
        <w:rPr>
          <w:rFonts w:hint="eastAsia" w:eastAsia="楷体_GB2312" w:cs="Times New Roman"/>
          <w:b/>
          <w:bCs/>
          <w:sz w:val="33"/>
          <w:szCs w:val="33"/>
          <w:lang w:val="zh-CN"/>
        </w:rPr>
        <w:t>三</w:t>
      </w:r>
      <w:r>
        <w:rPr>
          <w:rFonts w:hint="default" w:ascii="Times New Roman" w:hAnsi="Times New Roman" w:eastAsia="楷体_GB2312" w:cs="Times New Roman"/>
          <w:b/>
          <w:bCs/>
          <w:sz w:val="33"/>
          <w:szCs w:val="33"/>
          <w:lang w:val="zh-CN"/>
        </w:rPr>
        <w:t>）绩效结果应用情况</w:t>
      </w:r>
      <w:r>
        <w:rPr>
          <w:rFonts w:hint="eastAsia" w:ascii="Times New Roman" w:hAnsi="Times New Roman" w:eastAsia="楷体_GB2312" w:cs="Times New Roman"/>
          <w:b/>
          <w:bCs/>
          <w:sz w:val="33"/>
          <w:szCs w:val="33"/>
          <w:lang w:val="zh-CN"/>
        </w:rPr>
        <w:t>。</w:t>
      </w:r>
      <w:r>
        <w:rPr>
          <w:rFonts w:hint="eastAsia" w:ascii="仿宋_GB2312" w:hAnsi="仿宋" w:eastAsia="仿宋_GB2312" w:cs="Times New Roman"/>
          <w:sz w:val="32"/>
          <w:szCs w:val="32"/>
          <w:lang w:val="zh-CN" w:eastAsia="zh-CN"/>
        </w:rPr>
        <w:t>以“用”促效，以“晒”促公，以“改”促优，形成管理闭环，提升治理效能。</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default" w:ascii="Times New Roman" w:hAnsi="Times New Roman" w:eastAsia="黑体" w:cs="Times New Roman"/>
          <w:color w:val="000000"/>
          <w:kern w:val="0"/>
          <w:sz w:val="33"/>
          <w:szCs w:val="33"/>
          <w:highlight w:val="none"/>
          <w:shd w:val="clear" w:color="auto" w:fill="FFFFFF"/>
        </w:rPr>
      </w:pPr>
      <w:r>
        <w:rPr>
          <w:rFonts w:hint="default" w:ascii="Times New Roman" w:hAnsi="Times New Roman" w:eastAsia="黑体" w:cs="Times New Roman"/>
          <w:color w:val="000000"/>
          <w:kern w:val="0"/>
          <w:sz w:val="33"/>
          <w:szCs w:val="33"/>
          <w:highlight w:val="none"/>
          <w:shd w:val="clear" w:color="auto" w:fill="FFFFFF"/>
          <w:lang w:eastAsia="zh-CN"/>
        </w:rPr>
        <w:t>四、</w:t>
      </w:r>
      <w:r>
        <w:rPr>
          <w:rFonts w:hint="default" w:ascii="Times New Roman" w:hAnsi="Times New Roman" w:eastAsia="黑体" w:cs="Times New Roman"/>
          <w:color w:val="000000"/>
          <w:kern w:val="0"/>
          <w:sz w:val="33"/>
          <w:szCs w:val="33"/>
          <w:highlight w:val="none"/>
          <w:shd w:val="clear" w:color="auto" w:fill="FFFFFF"/>
        </w:rPr>
        <w:t>评价结论及建议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63" w:firstLineChars="200"/>
        <w:contextualSpacing/>
        <w:jc w:val="both"/>
        <w:textAlignment w:val="auto"/>
        <w:outlineLvl w:val="9"/>
        <w:rPr>
          <w:rFonts w:hint="default" w:ascii="仿宋_GB2312" w:hAnsi="仿宋" w:eastAsia="仿宋_GB2312" w:cs="Times New Roman"/>
          <w:sz w:val="32"/>
          <w:szCs w:val="32"/>
          <w:lang w:val="en-US" w:eastAsia="zh-CN"/>
        </w:rPr>
      </w:pPr>
      <w:r>
        <w:rPr>
          <w:rFonts w:hint="default" w:ascii="Times New Roman" w:hAnsi="Times New Roman" w:eastAsia="楷体_GB2312" w:cs="Times New Roman"/>
          <w:b/>
          <w:bCs/>
          <w:color w:val="000000"/>
          <w:kern w:val="0"/>
          <w:sz w:val="33"/>
          <w:szCs w:val="33"/>
          <w:highlight w:val="none"/>
          <w:shd w:val="clear" w:color="auto" w:fill="FFFFFF"/>
          <w:lang w:val="zh-CN"/>
        </w:rPr>
        <w:t>（一）评价结论。</w:t>
      </w:r>
      <w:r>
        <w:rPr>
          <w:rFonts w:hint="eastAsia" w:ascii="仿宋_GB2312" w:hAnsi="仿宋" w:eastAsia="仿宋_GB2312" w:cs="Times New Roman"/>
          <w:sz w:val="32"/>
          <w:szCs w:val="32"/>
          <w:lang w:val="en-US" w:eastAsia="zh-CN"/>
        </w:rPr>
        <w:t>本年度单位预算执行进度符合预期，资金使用基本规范，预算执行率达99.85%，年度预算绩效管理工作运行有效，预算执行规范，绩效目标基本实现，资金使用效益总体达到预期，自评得分82分。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63" w:firstLineChars="200"/>
        <w:contextualSpacing/>
        <w:jc w:val="both"/>
        <w:textAlignment w:val="auto"/>
        <w:outlineLvl w:val="9"/>
        <w:rPr>
          <w:rFonts w:hint="eastAsia" w:ascii="仿宋_GB2312" w:hAnsi="仿宋" w:eastAsia="仿宋_GB2312" w:cs="Times New Roman"/>
          <w:sz w:val="32"/>
          <w:szCs w:val="32"/>
          <w:lang w:val="en-US" w:eastAsia="zh-CN"/>
        </w:rPr>
      </w:pPr>
      <w:r>
        <w:rPr>
          <w:rFonts w:hint="default" w:ascii="Times New Roman" w:hAnsi="Times New Roman" w:eastAsia="楷体_GB2312" w:cs="Times New Roman"/>
          <w:b/>
          <w:bCs/>
          <w:color w:val="000000"/>
          <w:kern w:val="0"/>
          <w:sz w:val="33"/>
          <w:szCs w:val="33"/>
          <w:highlight w:val="none"/>
          <w:shd w:val="clear" w:color="auto" w:fill="FFFFFF"/>
          <w:lang w:val="zh-CN"/>
        </w:rPr>
        <w:t>（二）存在问题。</w:t>
      </w:r>
      <w:r>
        <w:rPr>
          <w:rFonts w:hint="eastAsia" w:ascii="仿宋_GB2312" w:hAnsi="仿宋" w:eastAsia="仿宋_GB2312" w:cs="Times New Roman"/>
          <w:sz w:val="32"/>
          <w:szCs w:val="32"/>
          <w:lang w:val="zh-CN" w:eastAsia="zh-CN"/>
        </w:rPr>
        <w:t>对项目实施成本与其产生的经济、社会、生态等综合效益之间的关联性分析较为薄弱，未能充分量化投入产出效能，难以为精确决策和资源优化配置提供强力支撑。</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63" w:firstLineChars="200"/>
        <w:contextualSpacing/>
        <w:jc w:val="both"/>
        <w:textAlignment w:val="auto"/>
        <w:outlineLvl w:val="9"/>
        <w:rPr>
          <w:rFonts w:hint="eastAsia" w:ascii="仿宋_GB2312" w:hAnsi="仿宋" w:eastAsia="仿宋_GB2312" w:cs="Times New Roman"/>
          <w:sz w:val="32"/>
          <w:szCs w:val="32"/>
          <w:lang w:val="en-US" w:eastAsia="zh-CN"/>
        </w:rPr>
      </w:pPr>
      <w:r>
        <w:rPr>
          <w:rFonts w:hint="default" w:ascii="Times New Roman" w:hAnsi="Times New Roman" w:eastAsia="楷体_GB2312" w:cs="Times New Roman"/>
          <w:b/>
          <w:bCs/>
          <w:color w:val="000000"/>
          <w:kern w:val="0"/>
          <w:sz w:val="33"/>
          <w:szCs w:val="33"/>
          <w:highlight w:val="none"/>
          <w:shd w:val="clear" w:color="auto" w:fill="FFFFFF"/>
          <w:lang w:val="zh-CN" w:eastAsia="zh-CN"/>
        </w:rPr>
        <w:t>（三）改进建议。</w:t>
      </w:r>
      <w:r>
        <w:rPr>
          <w:rFonts w:hint="eastAsia" w:ascii="仿宋_GB2312" w:hAnsi="仿宋" w:eastAsia="仿宋_GB2312" w:cs="Times New Roman"/>
          <w:sz w:val="32"/>
          <w:szCs w:val="32"/>
          <w:lang w:val="en-US" w:eastAsia="zh-CN"/>
        </w:rPr>
        <w:t>组织开展针对业务人员和财务人员的预算绩效管理专题培训，提升全员绩效意识和实操能力。优化单位内财务与业务的协同机制，明确在绩效目标设定、过程监控、结果应用等环节的职责分工与协作流程，积极推动或完善预算绩效管理信息计提建设，提升信息化支撑水平。</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contextualSpacing/>
        <w:jc w:val="both"/>
        <w:textAlignment w:val="auto"/>
        <w:outlineLvl w:val="9"/>
        <w:rPr>
          <w:rFonts w:hint="eastAsia" w:ascii="Times New Roman" w:hAnsi="Times New Roman" w:eastAsia="仿宋_GB2312" w:cs="Times New Roman"/>
          <w:kern w:val="2"/>
          <w:sz w:val="32"/>
          <w:szCs w:val="32"/>
          <w:u w:val="none"/>
          <w:lang w:val="en-US" w:eastAsia="zh-CN" w:bidi="ar"/>
        </w:rPr>
        <w:sectPr>
          <w:footerReference r:id="rId7" w:type="first"/>
          <w:footerReference r:id="rId6" w:type="default"/>
          <w:pgSz w:w="11906" w:h="16838"/>
          <w:pgMar w:top="1440" w:right="1800" w:bottom="1440" w:left="1800" w:header="851" w:footer="992" w:gutter="0"/>
          <w:pgNumType w:fmt="numberInDash" w:start="1"/>
          <w:cols w:space="425" w:num="1"/>
          <w:titlePg/>
          <w:docGrid w:type="lines" w:linePitch="312" w:charSpace="0"/>
        </w:sect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eastAsia="仿宋_GB2312" w:cs="Times New Roman"/>
          <w:kern w:val="2"/>
          <w:sz w:val="32"/>
          <w:szCs w:val="32"/>
          <w:u w:val="none"/>
          <w:lang w:val="en-US" w:eastAsia="zh-CN" w:bidi="ar"/>
        </w:rPr>
        <w:t>单位</w:t>
      </w:r>
      <w:r>
        <w:rPr>
          <w:rFonts w:hint="eastAsia" w:ascii="Times New Roman" w:hAnsi="Times New Roman" w:eastAsia="仿宋_GB2312" w:cs="Times New Roman"/>
          <w:kern w:val="2"/>
          <w:sz w:val="32"/>
          <w:szCs w:val="32"/>
          <w:u w:val="none"/>
          <w:lang w:val="en-US" w:eastAsia="zh-CN" w:bidi="ar"/>
        </w:rPr>
        <w:t>预算项目支出绩效自评表（2024年度</w:t>
      </w:r>
      <w:r>
        <w:rPr>
          <w:rFonts w:hint="eastAsia" w:eastAsia="仿宋_GB2312" w:cs="Times New Roman"/>
          <w:kern w:val="2"/>
          <w:sz w:val="32"/>
          <w:szCs w:val="32"/>
          <w:u w:val="none"/>
          <w:lang w:val="en-US" w:eastAsia="zh-CN" w:bidi="ar"/>
        </w:rPr>
        <w:t>）</w:t>
      </w:r>
    </w:p>
    <w:p>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tbl>
      <w:tblPr>
        <w:tblStyle w:val="16"/>
        <w:tblW w:w="14100" w:type="dxa"/>
        <w:tblInd w:w="0" w:type="dxa"/>
        <w:shd w:val="clear" w:color="auto" w:fill="auto"/>
        <w:tblLayout w:type="fixed"/>
        <w:tblCellMar>
          <w:top w:w="0" w:type="dxa"/>
          <w:left w:w="0" w:type="dxa"/>
          <w:bottom w:w="0" w:type="dxa"/>
          <w:right w:w="0" w:type="dxa"/>
        </w:tblCellMar>
      </w:tblPr>
      <w:tblGrid>
        <w:gridCol w:w="683"/>
        <w:gridCol w:w="2051"/>
        <w:gridCol w:w="1775"/>
        <w:gridCol w:w="2264"/>
        <w:gridCol w:w="521"/>
        <w:gridCol w:w="1677"/>
        <w:gridCol w:w="521"/>
        <w:gridCol w:w="1091"/>
        <w:gridCol w:w="505"/>
        <w:gridCol w:w="456"/>
        <w:gridCol w:w="2556"/>
      </w:tblGrid>
      <w:tr>
        <w:tblPrEx>
          <w:shd w:val="clear" w:color="auto" w:fill="auto"/>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51112421R000000044386-工资性支出-事业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554.85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505.39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505.39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追减资金，因人员变动，调出1人，退休4人，新进1人</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554.85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505.39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505.39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51112421R000000044400-工资性支出-行政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265.06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243.87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243.87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追减资金，因保险基数调整</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265.06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243.87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243.87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51112422R000000261647-职工基本医疗保险缴费-行政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18.91</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追减资金，因保险基数调整</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18.91</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51112422R000000261652-职工基本医疗保险缴费-事业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32.33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32.33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追减资金，因人员变动，调出1人，退休4人，新进1人</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32.33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32.33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51112422R000000261862-其他社会保障缴费-行政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4.67</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追加资金，因基数调整等原因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4.67</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51112422R000000261864-其他社会保障缴费-事业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14.69</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追减资金，因人员变动，调出1人，退休4人，新进1人</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14.69</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51112422R000000263016-对个人和家庭的补助费用</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2.71</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追加资金，退休4人，发放一次性补助</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2.71</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51112422R000006383469-基础绩效奖（行政）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128.99</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128.99</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51112422R000006383655-年度考核奖（行政）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严格执行相关政策，保障年度考核奖及时、足额发放，预算编制科学合理，减少结余资金。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严格执行相关政策，保障年度考核奖及时、足额发放，预算编制科学合理，减少结余资金。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严格执行相关政策，保障年度考核奖及时、足额发放，预算编制科学合理，减少结余资金。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26.65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26.65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26.65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26.65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51112422R000006383911-基础待遇（事业）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207.11</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197.96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197.96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追减资金，因人员变动，调出1人，退休4人，新进1人</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207.11</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197.96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197.96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51112422R000006384096-年度考核待遇（事业）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严格执行相关政策，保障年度考核奖及时、足额发放，预算编制科学合理，减少结余资金。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严格执行相关政策，保障年度考核奖及时、足额发放，预算编制科学合理，减少结余资金。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严格执行相关政策，保障年度考核奖及时、足额发放，预算编制科学合理，减少结余资金。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40.21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40.21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40.21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40.21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51112422R000007071453-三等功及嘉奖人员奖励资金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根据公务员考核奖励办法，按时、足额对奖励人员发放奖金。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根据公务员考核奖励办法，按时、足额对奖励人员发放奖金。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根据2023年度公务员考核奖励办法，按时、足额对奖励人员发放奖金。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51112422T000000252217-村组干部报酬</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严格执行相关政策，保障村组干部、社区专职工作者报酬及时、足额发放或社保及时、足额缴纳，预算编制科学合理，减少结余资金。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严格执行相关政策，保障村组干部、社区专职工作者报酬及时、足额发放或社保及时、足额缴纳，预算编制科学合理，减少结余资金。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严格遵循相关政策制度，保障了314人村组干部、8人社区专职工作者报酬及时、足额发放或社保及时、足额缴纳。</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701.98</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701.96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701.96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701.98</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701.96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701.96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51112422T000000252223-河道巡视员补助</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保障河道巡视工作正常运行，促进生态环境可持续发展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保障河道巡视工作正常运行，促进生态环境可持续发展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保障河道巡视工作正常运行，促进生态环境可持续发展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资金下达率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确保河道的卫生和安全，做到生态环境可持续发展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51112422T000000252228-顶岗锻炼后备干部误工补助</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保障顶岗锻炼后备干部的基本生活，确保基层工作的正常运转。</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保障顶岗锻炼后备干部的基本生活，确保基层工作的正常运转。</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对4名顶岗锻炼的按时、足额的发放务工补助，保障基层工作的正常运行。</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追减资金，因1人辞职</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51112422T000000252233-统计工作经费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保障统计工作和粮食监测点工作的正常运行</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保障统计工作和粮食监测点工作的正常运行</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保障统计工作和粮食监测点工作的正常运行</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2.52</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2.52</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51112422T000000432839-夏家桥社区原光辉村2组、4组、红太阳4组地力补贴遗留问题</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解决夏家桥社区原光辉村2组、4组和红太阳村4组地力补贴历史遗留问题，解决矛盾，维护社会稳定</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解决夏家桥社区原光辉村2组、4组和红太阳村4组地力补贴历史遗留问题，解决矛盾，维护社会稳定</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按时足额发放原光辉村2组、4组、红太阳村4组地力补贴，维护了社会稳定</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追减资金，通过核算，流转费减少，据实支付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51112422T000000432847-蒲亭新村管理运行经费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保障蒲亭新村管理运行经费，提高群众社会幸福感。</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保障蒲亭新村管理运行经费，提高群众社会幸福感。</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保障蒲亭新村管理运行经费，提高群众社会幸福感。</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17.77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17.77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17.77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17.77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提升人居环境情况，提供群众休闲场地，让群众有幸福感和获得感</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51112422T000000432881-城区防洪遗留问题经费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保障城区防洪工作正常运行，提高城区抗洪减灾能力</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保障城区防洪工作正常运行，提高城区抗洪减灾能力</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保障城区防洪工作正常运行，提高城区抗洪减灾能力</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提高抗洪能力，保护生态环境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51112422T000000432927-社区戒毒和康复工作经费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保障社区戒毒和康复工作正常运行，促进社会和谐稳定发展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保障社区戒毒和康复工作正常运行，促进社会和谐稳定发展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保障社区戒毒和康复工作正常运行，促进社会和谐稳定发展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追加资金，差额为存量资金</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保障社区戒毒和康复维稳工作涉及村社区数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保障全街道的稳定和和谐</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保障全街道的稳定和和谐</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保障全街道的稳定和和谐</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51112422T000000432941-迎宾大道北段道路整治及绿化提升工程项目土地流转</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迎宾大道北段道路整治及绿化提升项目（研城段），确保社会稳定、保证社会经济发展。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迎宾大道北段道路整治及绿化提升项目（研城段），确保社会稳定、保证社会经济发展。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迎宾大道北段道路整治及绿化提升项目（研城段），确保社会稳定、保证社会经济发展。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51112422T000000432944-茫溪河塘角村段防洪工程土地流转费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按时拨付茫溪河塘角村防洪工程土地流转费，维护社会稳定。</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按时拨付茫溪河塘角村防洪工程土地流转费，维护社会稳定。</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按时拨付茫溪河塘角村防洪工程土地流转费，维护社会稳定。</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3.97</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3.97</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51112422T000000432948-商贸城项目征地涉及李付祥鱼塘土地流转</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保障商贸城项目正常进行，提高社会经济效益，维护社会稳定</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保障商贸城项目正常进行，提高社会经济效益，维护社会稳定</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保障商贸城项目正常进行，提高社会经济效益，维护社会稳定</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51112422T000000432952-井乐快速通道景观打造工程研城段和高滩段土地流转</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保障井乐快速通道景观打造工程正常运行，确保社会稳定、保证社会经济发展。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保障井乐快速通道景观打造工程正常运行，确保社会稳定、保证社会经济发展。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保障井乐快速通道景观打造工程正常运行，确保社会稳定、保证社会经济发展。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19.37</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19.37</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51112422T000000432967-2022年井沙延伸线景观打造土地流转费（高滩段）</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井沙延伸线景观打造，确保社会稳定、保证社会经济发展。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井沙延伸线景观打造，确保社会稳定、保证社会经济发展。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井沙延伸线景观打造，确保社会稳定、保证社会经济发展。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14.78</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14.78</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51112422T000000432972-2022年井沙路延伸线景观打造土地流转（研城段）</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井沙路延伸线景观打造土地流转（研城段），确保社会稳定、保证社会经济发展。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井沙路延伸线景观打造土地流转（研城段），确保社会稳定、保证社会经济发展。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井沙路延伸线景观打造土地流转（研城段），确保社会稳定、保证社会经济发展。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8.89</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8.89</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51112422T000000432975-茫溪河河道保洁</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保障茫溪河河道保洁工作正常运行，促进生态环境的可持续发展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保障茫溪河河道保洁工作正常运行，促进生态环境的可持续发展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保障茫溪河河道保洁工作正常运行，促进生态环境的可持续发展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51112422T000000433395-2021年宋高山弃土场租金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及时拨付宋高山弃土场土地流转费，维护社会稳定</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及时拨付宋高山弃土场土地流转费，维护社会稳定</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及时拨付宋高山弃土场土地流转费，维护社会稳定</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12.48</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12.48</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51112422T000000433403-一污厂至二污厂截污干管项目高坡2组土地流转资金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及时拨付一污厂至二污厂截污干管项目高坡村2组土地流转资金，维护社会稳定</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及时拨付一污厂至二污厂截污干管项目高坡村2组土地流转资金，维护社会稳定</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及时拨付一污厂至二污厂截污干管项目高坡村2组土地流转资金，维护社会稳定</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0.72</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追加资金，差额为存量资金</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0.72</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51112422T000004864151-城乡结合部卫生环境整治费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按要求对城乡结合部环境卫生进行整治，维护生态环境卫生，提升群众幸福指数</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按要求对城乡结合部环境卫生进行整治，维护生态环境卫生，提升群众幸福指数</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按要求对城乡结合部环境卫生进行整治，维护生态环境卫生，提升群众幸福指数</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51112422T000005039983-援彝干部待遇保障经费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按时发放援彝干部补助补贴津贴，保障援彝干部的基本生活保障</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按时发放援彝干部补助补贴津贴，保障援彝干部的基本生活保障</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按时发放援彝干部补助补贴津贴，保障援彝干部的基本生活保障</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6.97</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追减资金，因1人结束援彝</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6.97</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51112422T000005803476-村（社区）干部年终绩效考核</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根据年终考核，对村（社区）、组干部发放年终绩效</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根据年终考核，对村（社区）、组干部发放年终绩效</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根据年终考核，对村（社区）、组干部发放年终绩效</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49.90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49.90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49.90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49.90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村社区数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17</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51112422T000005832228-村（社区）城乡环境综合治理考核奖励经费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根据综合执法局考核办法，对村社区城乡环境治理进行年度考核奖励</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根据综合执法局考核办法，对村社区城乡环境治理进行年度考核奖励</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根据《2022年度城乡环境综合治理考核》（井执综〔2023〕10号），对村社区城乡环境治理进行年度考核并发放奖励金。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村社区个数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17</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保护城乡环境卫生，提高环境卫生</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保护城乡环境卫生，提高环境卫生</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环境卫生得到改善，保护生态环境</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51112422Y000000265215-定额公用经费-行政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提高预算编制质量，严格执行预算，保障单位日常运转。</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34.40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33.69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32.90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97.66%</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追减资金，通过核算，公用经费使用减少，据实支付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34.40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33.69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32.90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97.66%</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51112422Y000000265216-定额公用经费-事业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提高预算编制质量，严格执行预算，保障单位日常运转。</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59.20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52.70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追减资金，通过核算，公用经费使用减少，据实支付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59.20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52.70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51112422Y000000283419-非定额公用经费-行政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提高预算编制质量，严格执行预算，保障单位日常运转。</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34.03</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32.23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32.23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追减资金，通过核算，公用经费使用减少，据实支付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34.03</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32.23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32.23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51112422Y000000283420-非定额公用经费-事业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提高预算编制质量，严格执行预算，保障单位日常运转。</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8.64</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8.64</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51112423R000007820721-医疗补助-事业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严格执行相关政策，保障大病医疗保险及时、足额缴纳</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严格执行相关政策，保障大病医疗保险及时、足额缴纳</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严格执行相关政策，保障大病医疗保险及时、足额缴纳</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追减资金，通过核算，医疗补助人数实际减少，据实支付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51112423R000007820978-医疗补助-行政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严格执行相关政策，保障大病医疗保险及时、足额缴纳</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严格执行相关政策，保障大病医疗保险及时、足额缴纳</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严格执行相关政策，保障大病医疗保险及时、足额缴纳</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追减资金，通过核算，医疗补助人数实际减少，据实支付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51112423T000007516946-2022年农村综合改革转移支付资金（农村公益事业奖补）</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根据《四川省财政厅关于提前下达2023年农村综合改革转移支付预算的通知》（川财农〔2022〕160号）文件要求，结合我街道农村改革工作实际，做好美丽乡村建设。</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根据《四川省财政厅关于提前下达2023年农村综合改革转移支付预算的通知》（川财农〔2022〕160号）文件要求，结合我街道农村改革工作实际，做好美丽乡村建设。</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根据《四川省财政厅关于提前下达2023年农村综合改革转移支付预算的通知》（川财农〔2022〕160号）文件要求，结合我街道农村改革工作实际，做好美丽乡村建设。</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涉及村数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8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实现了农业增加效、农民增收、农村增色</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实现了农业增加效、农民增收、农村增色</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实现了农业增加效、农民增收、农村增色</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51112423T000007517272-2022年农村综合改革转移支付资金（飞跃村美丽乡村）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根据《四川省财政厅关于开展2023年农村综合改革转移支付项目评估工作的通知》（川财农〔2023〕103号）文件要求，结合飞跃村乡村建设工作实际，建设美丽乡村。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根据《四川省财政厅关于开展2023年农村综合改革转移支付项目评估工作的通知》（川财农〔2023〕103号）文件要求，结合飞跃村乡村建设工作实际，建设美丽乡村。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根据《四川省财政厅关于开展2023年农村综合改革转移支付项目评估工作的通知》（川财农〔2023〕103号）文件要求，结合飞跃村乡村建设工作实际，建设美丽乡村。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186.48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186.48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186.48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186.48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涉及村数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51112423T000007697638-井研县研城街道临时救助备用金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切实保障困难群众基本生活</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切实保障困难群众基本生活</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严格遵守相关政策制度，对王平等8人因病导致生活困难的实施救助，保障了困难群众的基本生活</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7.23</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追减资金，困难人群申请审批后获得临时救助金，据实支付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7.23</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已完成</w:t>
            </w:r>
          </w:p>
        </w:tc>
      </w:tr>
      <w:tr>
        <w:tblPrEx>
          <w:tblLayout w:type="fixed"/>
          <w:tblCellMar>
            <w:top w:w="0" w:type="dxa"/>
            <w:left w:w="0" w:type="dxa"/>
            <w:bottom w:w="0" w:type="dxa"/>
            <w:right w:w="0"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妥善解决困难群众的突发性、临时性生活救助工作</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妥善解决困难群众的突发性、临时性生活救助工作</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妥善解决困难群众的突发性、临时性生活救助工作</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51112423T000007747185-驻村（社区）第一书记工作经费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按时拨付驻村第一书记工作经费，改善驻村第一书记办公生活条件，提高驻村帮扶工作积极性和成效</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按时拨付驻村第一书记工作经费，改善驻村第一书记办公生活条件，提高驻村帮扶工作积极性和成效</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按时拨付驻村第一书记工作经费，改善驻村第一书记办公生活条件，提高驻村帮扶工作积极性和成效</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涉及村数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51112423T000008112603-2022年中央和省级财政残疾人事业发展补助资金-残疾人健身示范点建设项目补贴</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广泛开展全民健身活动，促进群众体育和经济体育全面发展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广泛开展全民健身活动，促进群众体育和经济体育全面发展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广泛开展全民健身活动，促进群众体育和经济体育全面发展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开展联谊比赛或文体活动次数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每季度举办残疾人运动会、康复健身项目等次数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每周开展康复健身指导次数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12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广泛开展全民健身活动，促进群众体育和经济体育全面发展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广泛开展全民健身活动，促进群众体育和经济体育全面发展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广泛开展全民健身活动，促进群众体育和经济体育全面发展</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51112423T000008984032-公共卫生特别服务岗人员报酬</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按时发放公共卫生特别服务岗人员报酬，足额缴纳公共卫生特别服务岗人员社保。</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按时发放公共卫生特别服务岗人员报酬，足额缴纳公共卫生特别服务岗人员社保。</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按时发放公共卫生特别服务岗人员报酬，足额缴纳公共卫生特别服务岗人员社保。</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73.65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75.56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75.56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追加资金，因基数调整等原因，导致应付工资增多</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73.65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75.56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75.56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51112423T000009012261-村干部养老保险、医疗保险、意外保险补助</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根据中共井研县委组织部要求，对村社区常职干部医疗保险、意外保险、基本养老保险由个人先行购买，再进行补助</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根据中共井研县委组织部要求，对村社区常职干部医疗保险、意外保险、基本养老保险由个人先行购买，再进行补助</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根据中共井研县委组织部要求，对村社区常职干部医疗保险、意外保险、基本养老保险由个人先行购买，再进行补助</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27.75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27.75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27.75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27.75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51112423T000009072743-高滩等四个村地质排危简易处置资金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对因“9.4特大暴雨”引起的地质灾害隐患点进行整治，保障人民生命财安全</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对因“9.4特大暴雨”引起的地质灾害隐患点进行整治，保障人民生命财安全</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对因“9.4特大暴雨”引起的地质灾害隐患点进行整治，保障人民生命财安全</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整治隐患点</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7</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提升安全率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整治效果满意度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51112423T000009078064-翰林大道至河东新区综合管网建设占用吴小林苗圃及李付详鱼塘损失补偿金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对翰林大道至河东新区综合管网建设占用吴小林苗圃及李付详鱼塘损失补偿金，保障项目顺利进行，维护社会稳定。</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对翰林大道至河东新区综合管网建设占用吴小林苗圃及李付详鱼塘损失补偿金，保障项目顺利进行，维护社会稳定。</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对翰林大道至河东新区综合管网建设占用吴小林苗圃及李付详鱼塘损失补偿金，保障项目顺利进行，维护社会稳定。</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赔偿人数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10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推动综合管网建设项目，促进社会发展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推动综合管网建设项目，促进社会发展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推动综合管网建设项目，促进社会发展</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51112423T000009078079-建设路163号堡坎垮塌隐患点整治工程建设资金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对建设路163号小区边坡垮塌进行整治，保障人民生命财产安全</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对建设路163号小区边坡垮塌进行整治，保障人民生命财产安全</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对建设路163号小区边坡垮塌进行整治，保障人民生命财产安全</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整治隐患点数量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12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对垮塌隐患点进行整治，提升安全，保障生命财产安全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对垮塌隐患点进行整治，提升安全，保障生命财产安全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对垮塌隐患点进行整治，提升安全，保障生命财产安全</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51112423T000009078082-实施2021年度省级城乡社区综合服务设施“补短板”达标过程</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为改善夏家桥社区公共服务设施老旧，在现有基础上进行提升补短板，解决便民服务一体化不便的问题。</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为改善夏家桥社区公共服务设施老旧，在现有基础上进行提升补短板，解决便民服务一体化不便的问题。</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为改善夏家桥社区公共服务设施老旧，在现有基础上进行提升补短板，解决便民服务一体化不便的问题。</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购买空调数量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提高便民服务效率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51112423T000009079712-高滩村2组、20组地质灾害隐患点整治资金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对高滩村2组、20组地质灾害隐患点进整治，保障人民生命财产安全。</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对高滩村2组、20组地质灾害隐患点进整治，保障人民生命财产安全。</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对高滩村2组、20组地质灾害隐患点进整治，保障人民生命财产安全。</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整治隐患点数量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清除隐患，提升安全率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51112423T000009494204-川财农【2022】160号2023年农村综合改革转移支付（公益事业奖补）</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根据《四川省财政厅关于提前下达2023年农村综合改革转移支付预算的通知》（川财农〔2022〕160号）文件要求，结合我街道农村改革工作实际，做好美丽乡村建设。</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根据《四川省财政厅关于提前下达2023年农村综合改革转移支付预算的通知》（川财农〔2022〕160号）文件要求，结合我街道农村改革工作实际，做好美丽乡村建设。</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28.64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28.64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28.64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28.64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涉及村数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实现农业增加效、农民增收、农村增色</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实现农业增加效、农民增收、农村增色</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实现农业增加效、农民增收、农村增色</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51112423T000009756837-2023年八一建军节座谈经费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保障退役老兵座谈会的顺利开展，营造出热爱部队、崇尚军人、敬重英雄的社会氛围，实现社会的和谐稳定，达到长治久安、经济发展的目的。</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保障退役老兵座谈会的顺利开展，营造出热爱部队、崇尚军人、敬重英雄的社会氛围，实现社会的和谐稳定，达到长治久安、经济发展的目的。</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保障退役老兵座谈会的顺利开展，营造出热爱部队、崇尚军人、敬重英雄的社会氛围，实现社会的和谐稳定，达到长治久安、经济发展的目的。</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涉及村数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51112424R000010193725-工资性支出-伙食补助费（行政）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在保障基本伙食质量的前提下，有效控制伙食成本，提高职工的就餐满意度。</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在保障基本伙食质量的前提下，有效控制伙食成本，提高职工的就餐满意度。</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在保障基本伙食质量的前提下，有效控制伙食成本，提高职工的就餐满意度。</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追减资金，通过核算，伙食补助费使用减少，据实支付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5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提供安全、卫生的餐食</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提供安全、卫生的餐食</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51112424R000010193917-工资性支出-伙食补助费（事业）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在保障基本伙食质量的前提下，有效控制伙食成本，提高职工的就餐满意度。</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在保障基本伙食质量的前提下，有效控制伙食成本，提高职工的就餐满意度。</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在保障基本伙食质量的前提下，有效控制伙食成本，提高职工的就餐满意度。</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19.04</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19.04</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提供安全、卫生的餐食</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提供安全、卫生的餐食</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51112424R000010713402-住房公积金-行政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60.95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55.48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55.48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追减资金，因保险基数调整</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60.95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55.48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55.48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51112424R000010713600-住房公积金-事业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严格执行相关政策，保障住房公积金及时、足额缴纳。</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116.65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92.68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92.68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追减资金，因人员变动，调出1人，退休4人，新进1人</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116.65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92.68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92.68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51112424R000010714521-职业年金缴费-行政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严格执行相关政策，保障职业年金及时、足额缴纳。</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31.52</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40.78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40.78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追加资金，因基数调整等原因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31.52</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40.78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40.78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51112424R000010714724-职业年金缴费-事业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严格执行相关政策，保障职业年金及时、足额缴纳。</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61.20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66.90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66.90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追加资金，因基数调整等原因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61.20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66.90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66.90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51112424R000010715050-机关事业单位基本养老保险缴费-行政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严格执行相关政策，保障养老保险及时、足额缴纳。</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63.05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61.82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61.82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追减资金，因人员变动，调出1人，退休4人，新进1人</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63.05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61.82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61.82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51112424R000010715274-机关事业单位基本养老保险缴费-事业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严格执行相关政策，保障养老保险及时、足额缴纳。</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122.40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107.35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107.35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追减资金，因人员变动，调出1人，退休4人，新进1人</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122.40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107.35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107.35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51112424T000010407386-2021年民政事业补助资金（庙儿湾公墓）</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新建庙儿湾农村公益性公墓吊唁厅</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新建庙儿湾农村公益性公墓吊唁厅</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新建庙儿湾农村公益性公墓吊唁厅</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新建吊唁厅</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新建吊唁厅</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13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提高治丧条件，满足当地群众对高质量殡葬服务的需求</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提高治丧条件，满足当地群众对高质量殡葬服务的需求</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51112424T000011124996-村级公共服务经费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村社区办公费、基层组织活动费、服务群众经费、村公共服务运行维护经费</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根据各村社区具体情况，已按时拨付村社区办公费、基层组织活动费、服务群众经费、村公共服务运行维护经费</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村社区办公费、基层组织活动费、服务群众经费、村公共服务运行维护经费</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227.19</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123.20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123.20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227.19</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123.20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123.20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村社区数量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助推各村社区公共服务能力</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51112424T000011138812-污水管网日常管理维护费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保障污水管网的正常运行</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保障污水管网的正常运</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污水管网日常维护费、电费等，保障污水管网的正常运行。</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保障污水处理站正常运行个数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减少环境污染，改善生态环境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51112424T000011201062-基本财力保障</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提高预算编制质量，严格执行预算，保障单位日常运转。</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92.44</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89.87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89.87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追减资金，通过核算，公用经费使用减少，据实支付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92.44</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89.87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89.87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13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深化为人民服务宗旨，按照年初制定的规划和目标任务，切实为群众解决实际困难。</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深化为人民服务的宗旨，切实解决人民群众的问题</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深化为人民服务的宗旨，切实解决人民群众的问题</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51112424T000011378947-川财资环【2023】18号省级第一批农村污水治理千村示范工程（微动力运行维护费）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保障农村生活污水微动力集中处理设施正常运行</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保障农村生活污水微动力集中处理设施正常运行</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保障农村生活污水微动力集中处理设施正常运行</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保障设施正常运行数量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座</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促进环境保护</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污水处理结果满意度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51112424T000011442448-研城街道动漫数字文创科技项目、医疗服务综合体等征地拆迁项目工作经费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保障征地工作的顺利进行</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保障征地工作的顺利进行</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保障征地工作的顺利进行</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保障征地工作顺利进行</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推动社会发展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51112424T000011515785-商贸城项目征地涉及李付祥鱼塘补偿资金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按时拨付商贸城项目征地涉及李付祥鱼塘补偿资金，确保社会稳定、保证社会经济发展。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按时拨付商贸城项目征地涉及李付祥鱼塘补偿资金，确保社会稳定、保证社会经济发展。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按时拨付商贸城项目征地涉及李付祥鱼塘补偿资金，确保社会稳定、保证社会经济发展。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提升社会经济效益</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提升社会经济效益</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提升社会经济效益</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51112424T000011516908-补选第十九届人大代表经费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保障十九届人大代表大会正常进行</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保障十九届人大代表大会正常进行</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保障十九届人大代表大会正常进行</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保障人大代表大会正常进行</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51112424T000011625217-雷红、吴建华养老关系由机保转至社保资金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拨付雷红、吴建华养老关系由机保转至社保资金，维护社会稳定</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拨付雷红、吴建华养老关系由机保转至社保资金，维护社会稳定</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拨付雷红、吴建华养老关系由机保转至社保资金，维护社会稳定</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维稳</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51112424T000011625402-基层治理百佳示范小区</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小叶万汇城获得四川省基层治理百佳示范小区奖补资金，广泛征集业主意见，对小区设备设施进行购置和维修，提升小区亲民化服务</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小叶万汇城获得四川省基层治理百佳示范小区奖补资金，广泛征集业主意见，对小区设备设施进行购置和维修，提升小区亲民化服务</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小叶万汇城获得四川省基层治理百佳示范小区奖补资金，广泛征集业主意见，对小区设备设施进行购置和维修，提升小区亲民化服务</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提升小区亲民化服务</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提升小区亲民化服务</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提升小区亲民化服务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51112424T000011625408-关于解决西门广场邻里中心装修工程和设施设备采购所需资金（住建转来就放改造资金）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关于解决西门广场邻里中心装修工程和设施设备采购所需资金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关于解决西门广场邻里中心装修工程和设施设备采购所需资金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关于解决西门广场邻里中心装修工程和设施设备采购所需资金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25.80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25.80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25.80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25.80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建立邻里中心数量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提高社会影响力</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51112424T000011625437-关于实施和平街社区原羽绒厂围墙垮塌修复项目</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实施和平街社区原羽绒厂围墙垮塌修复项目，保障人民生命财产安全。</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实施和平街社区原羽绒厂围墙垮塌修复项目，保障人民生命财产安全。</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实施和平街社区原羽绒厂围墙垮塌修复项目，保障人民生命财产安全。</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修复数量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维护公共区域安全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51112424T000011802154-川财农【2023】158号—2024年农村综合改革转移支付资金（公益事业奖补）</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根据《四川省财政厅关于提前下达2024年农村综合改革转移支付预算的通知》（川财农〔2023〕158号）文件要求，结合我街道农村改革工作实际，做好美丽乡村建设。</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根据《四川省财政厅关于提前下达2024年农村综合改革转移支付预算的通知》（川财农〔2023〕158号）文件要求，结合我街道农村改革工作实际，做好美丽乡村建设</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根据《四川省财政厅关于提前下达2024年农村综合改革转移支付预算的通知》（川财农〔2023〕158号）文件要求，结合我街道农村改革工作实际，做好美丽乡村建设。</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44.93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44.93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44.93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44.93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涉及村数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实现农业增加效、农民增收、农村增色</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实现农业增加效、农民增收、农村增色</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实现农业增加效、农民增收、农村增色</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51112424T000011852467-研城街道高坡村2024年新型农村集体经济扶持项目</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由高坡村和五谷村抱团在五谷村修建五谷农耕文化研学服务中心，联合子爱田源家庭农场，共同促进以农耕文化为代表的农文旅产业融合发展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由高坡村和五谷村抱团在五谷村修建五谷农耕文化研学服务中心，联合子爱田源家庭农场，共同促进以农耕文化为代表的农文旅产业融合发展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由高坡村和五谷村抱团在五谷村修建五谷农耕文化研学服务中心，联合子爱田源家庭农场，共同促进以农耕文化为代表的农文旅产业融合发展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81.17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81.17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81.17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81.17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建设文化研学服务中心</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带动社会就业人数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51112425R000012153198-基础绩效（行政）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严格执行相关政策，保障基础绩效奖及时、足额发放，预算编制科学合理，减少结余资金。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严格执行相关政策，保障基础绩效奖及时、足额发放，预算编制科学合理，减少结余资金。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严格执行相关政策，保障基础绩效奖及时、足额发放，预算编制科学合理，减少结余资金。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52.65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52.65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52.65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52.65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51112425R000012420878-年度考核（行政）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严格执行相关政策，保障年度考核奖及时、足额发放，预算编制科学合理，减少结余资金。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严格执行相关政策，保障年度考核奖及时、足额发放，预算编制科学合理，减少结余资金。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严格执行相关政策，保障年度考核奖及时、足额发放，预算编制科学合理，减少结余资金。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48.61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48.61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48.61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48.61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51112425R000012421069-年度考核（事业）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严格执行相关政策，保障年度考核奖及时、足额发放，预算编制科学合理，减少结余资金。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严格执行相关政策，保障年度考核奖及时、足额发放，预算编制科学合理，减少结余资金。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严格执行相关政策，保障年度考核奖及时、足额发放，预算编制科学合理，减少结余资金。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74.85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74.85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74.85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74.85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51112425R000013290710-工资性支出-行政（补发）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预发2024年7-12月工资调标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预发2024年7-12月工资调标</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预发2024年7-12月工资调标</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11.40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11.40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51112425R000013290933-工资性支出-事业（补发）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预发2024年7-12月工资调标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预发2024年7-12月工资调标</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预发2024年7-12月工资调标</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51112425T000012346722-井沙网联通过程井研延伸线人行涵洞整治工程</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对涵洞通道功能进行完善，进一步优化网路布局，切实解决沿线群众生产生活需要，减少交通安全隐患。</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对涵洞通道功能进行完善，进一步优化网路布局，切实解决沿线群众生产生活需要，减少交通安全隐患。</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对涵洞通道功能进行完善，进一步优化网路布局，切实解决沿线群众生产生活需要，减少交通安全隐患。</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完善涵洞通道功能数量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113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进一步优化网路布局，切实解决沿线群众生产生活需要，减少交通安全隐患。</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进一步优化网路布局，切实解决沿线群众生产生活需要，减少交通安全隐患</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进一步优化网路布局，切实解决沿线群众生产生活需要，减少交通安全隐患</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单位预算项目支出绩效自评表（2024年度）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51112425T000013006393-川财社（2024）21号2024年省级财政残疾人事业发展补助资金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充分发挥残疾人自强健身示范点升级建设项目落地高滩村，充分发挥残疾人自强健身示范点在促进残疾人参加体育锻炼、康复健身、融入社会的示范引领和宣传起引导作用。</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充分发挥残疾人自强健身示范点升级建设项目落地高滩村，充分发挥残疾人自强健身示范点在促进残疾人参加体育锻炼、康复健身、融入社会的示范引领和宣传起引导作用。</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2024年9-12月提供健康健身文体服务24场次，为高滩村不少于80%残疾人提供康复健身文体服务。</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提供健康健身问题服务场次</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15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促进残疾人参加体育锻炼、康复健身、融入社会的示范引领和宣传起引导作用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促进残疾人参加体育锻炼、康复健身、融入社会的示范引领和宣传起引导作用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促进残疾人参加体育锻炼、康复健身、融入社会的示范引领和宣传起引导作用</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bl>
    <w:p>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sectPr>
          <w:pgSz w:w="16838" w:h="11906" w:orient="landscape"/>
          <w:pgMar w:top="1803" w:right="1440" w:bottom="1803" w:left="1440" w:header="851" w:footer="992" w:gutter="0"/>
          <w:pgNumType w:fmt="numberInDash"/>
          <w:cols w:space="0" w:num="1"/>
          <w:titlePg/>
          <w:rtlGutter w:val="0"/>
          <w:docGrid w:type="lines" w:linePitch="319" w:charSpace="0"/>
        </w:sectPr>
      </w:pPr>
    </w:p>
    <w:p>
      <w:pPr>
        <w:rPr>
          <w:rFonts w:hint="eastAsia" w:ascii="Times New Roman" w:hAnsi="Times New Roman" w:eastAsia="黑体" w:cs="黑体"/>
          <w:color w:val="auto"/>
          <w:kern w:val="0"/>
          <w:sz w:val="32"/>
          <w:szCs w:val="32"/>
          <w:highlight w:val="none"/>
          <w:shd w:val="clear" w:color="auto" w:fill="FFFFFF"/>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研城街道高坡村2024年新型农村集体经济</w:t>
      </w:r>
    </w:p>
    <w:p>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扶持项目专项资金绩效自评报告</w:t>
      </w:r>
    </w:p>
    <w:p>
      <w:pPr>
        <w:pStyle w:val="3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eastAsia"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contextualSpacing/>
        <w:jc w:val="left"/>
        <w:textAlignment w:val="auto"/>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（一）设立背景及基本情况。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根据《四川省财政厅</w:t>
      </w:r>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四川省乡村振兴局等6部门关于提前下达2024年中央和省级财政衔接推进乡村振兴补助资金预算的通知</w:t>
      </w:r>
      <w:r>
        <w:rPr>
          <w:rFonts w:hint="eastAsia" w:ascii="Times New Roman" w:hAnsi="Times New Roman" w:eastAsia="仿宋_GB2312" w:cs="Times New Roman"/>
          <w:b w:val="0"/>
          <w:bCs w:val="0"/>
          <w:color w:val="auto"/>
          <w:kern w:val="2"/>
          <w:sz w:val="32"/>
          <w:szCs w:val="32"/>
          <w:highlight w:val="none"/>
          <w:u w:val="none"/>
          <w:lang w:val="zh-CN" w:eastAsia="zh-CN" w:bidi="ar-SA"/>
        </w:rPr>
        <w:t>》（川财农〔202</w:t>
      </w:r>
      <w:r>
        <w:rPr>
          <w:rFonts w:hint="eastAsia" w:ascii="Times New Roman" w:hAnsi="Times New Roman" w:eastAsia="仿宋_GB2312" w:cs="Times New Roman"/>
          <w:b w:val="0"/>
          <w:bCs w:val="0"/>
          <w:color w:val="auto"/>
          <w:kern w:val="2"/>
          <w:sz w:val="32"/>
          <w:szCs w:val="32"/>
          <w:highlight w:val="none"/>
          <w:u w:val="none"/>
          <w:lang w:val="en-US" w:eastAsia="zh-CN" w:bidi="ar-SA"/>
        </w:rPr>
        <w:t>3</w:t>
      </w:r>
      <w:r>
        <w:rPr>
          <w:rFonts w:hint="eastAsia" w:ascii="Times New Roman" w:hAnsi="Times New Roman" w:eastAsia="仿宋_GB2312" w:cs="Times New Roman"/>
          <w:b w:val="0"/>
          <w:bCs w:val="0"/>
          <w:color w:val="auto"/>
          <w:kern w:val="2"/>
          <w:sz w:val="32"/>
          <w:szCs w:val="32"/>
          <w:highlight w:val="none"/>
          <w:u w:val="none"/>
          <w:lang w:val="zh-CN"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14</w:t>
      </w:r>
      <w:r>
        <w:rPr>
          <w:rFonts w:hint="eastAsia" w:ascii="Times New Roman" w:hAnsi="Times New Roman" w:eastAsia="仿宋_GB2312" w:cs="Times New Roman"/>
          <w:b w:val="0"/>
          <w:bCs w:val="0"/>
          <w:color w:val="auto"/>
          <w:kern w:val="2"/>
          <w:sz w:val="32"/>
          <w:szCs w:val="32"/>
          <w:highlight w:val="none"/>
          <w:u w:val="none"/>
          <w:lang w:val="zh-CN" w:eastAsia="zh-CN" w:bidi="ar-SA"/>
        </w:rPr>
        <w:t>6号）文件精神，支持发展新型农村集体经济</w:t>
      </w:r>
      <w:r>
        <w:rPr>
          <w:rFonts w:hint="eastAsia" w:ascii="Times New Roman" w:hAnsi="Times New Roman" w:eastAsia="仿宋_GB2312" w:cs="Times New Roman"/>
          <w:b w:val="0"/>
          <w:bCs w:val="0"/>
          <w:color w:val="auto"/>
          <w:kern w:val="2"/>
          <w:sz w:val="32"/>
          <w:szCs w:val="32"/>
          <w:highlight w:val="none"/>
          <w:u w:val="none"/>
          <w:lang w:val="en-US" w:eastAsia="zh-CN" w:bidi="ar-SA"/>
        </w:rPr>
        <w:t>630万元。</w:t>
      </w:r>
      <w:r>
        <w:rPr>
          <w:rFonts w:hint="eastAsia" w:ascii="Times New Roman" w:hAnsi="Times New Roman" w:eastAsia="仿宋_GB2312" w:cs="Times New Roman"/>
          <w:b w:val="0"/>
          <w:bCs w:val="0"/>
          <w:color w:val="auto"/>
          <w:kern w:val="2"/>
          <w:sz w:val="32"/>
          <w:szCs w:val="32"/>
          <w:highlight w:val="none"/>
          <w:u w:val="none"/>
          <w:lang w:val="zh-CN" w:eastAsia="zh-CN" w:bidi="ar-SA"/>
        </w:rPr>
        <w:t>为全面推动乡村振兴战略在基层落地生根，发展壮大村级集体经济，激发农村集体经济内生动力，研城街道高坡村与五谷村抱团在五谷村修建农耕文化研学服务中心</w:t>
      </w:r>
      <w:r>
        <w:rPr>
          <w:rFonts w:hint="eastAsia" w:ascii="Times New Roman" w:hAnsi="Times New Roman" w:eastAsia="仿宋_GB2312" w:cs="Times New Roman"/>
          <w:b w:val="0"/>
          <w:bCs w:val="0"/>
          <w:color w:val="auto"/>
          <w:kern w:val="2"/>
          <w:sz w:val="32"/>
          <w:szCs w:val="32"/>
          <w:highlight w:val="none"/>
          <w:u w:val="none"/>
          <w:lang w:val="en-US" w:eastAsia="zh-CN" w:bidi="ar-SA"/>
        </w:rPr>
        <w:t>1处（主体），占地约368㎡，规划投资150万元，其中：中央财政资金40万元，省级财政资金70万元，县级配套资金40万元。采取资产租赁方式，由子爱田源家庭农场承租合作发展农耕文化并推动农文旅产业融合发展。</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contextualSpacing/>
        <w:jc w:val="left"/>
        <w:textAlignment w:val="auto"/>
        <w:rPr>
          <w:rFonts w:hint="default"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《四川省财政厅</w:t>
      </w:r>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四川省乡村振兴局等6部门关于提前下达2024年中央和省级财政衔接推进乡村振兴补助资金预算的通知</w:t>
      </w:r>
      <w:r>
        <w:rPr>
          <w:rFonts w:hint="eastAsia" w:ascii="Times New Roman" w:hAnsi="Times New Roman" w:eastAsia="仿宋_GB2312" w:cs="Times New Roman"/>
          <w:b w:val="0"/>
          <w:bCs w:val="0"/>
          <w:color w:val="auto"/>
          <w:kern w:val="2"/>
          <w:sz w:val="32"/>
          <w:szCs w:val="32"/>
          <w:highlight w:val="none"/>
          <w:u w:val="none"/>
          <w:lang w:val="zh-CN" w:eastAsia="zh-CN" w:bidi="ar-SA"/>
        </w:rPr>
        <w:t>》（川财农〔202</w:t>
      </w:r>
      <w:r>
        <w:rPr>
          <w:rFonts w:hint="eastAsia" w:ascii="Times New Roman" w:hAnsi="Times New Roman" w:eastAsia="仿宋_GB2312" w:cs="Times New Roman"/>
          <w:b w:val="0"/>
          <w:bCs w:val="0"/>
          <w:color w:val="auto"/>
          <w:kern w:val="2"/>
          <w:sz w:val="32"/>
          <w:szCs w:val="32"/>
          <w:highlight w:val="none"/>
          <w:u w:val="none"/>
          <w:lang w:val="en-US" w:eastAsia="zh-CN" w:bidi="ar-SA"/>
        </w:rPr>
        <w:t>3</w:t>
      </w:r>
      <w:r>
        <w:rPr>
          <w:rFonts w:hint="eastAsia" w:ascii="Times New Roman" w:hAnsi="Times New Roman" w:eastAsia="仿宋_GB2312" w:cs="Times New Roman"/>
          <w:b w:val="0"/>
          <w:bCs w:val="0"/>
          <w:color w:val="auto"/>
          <w:kern w:val="2"/>
          <w:sz w:val="32"/>
          <w:szCs w:val="32"/>
          <w:highlight w:val="none"/>
          <w:u w:val="none"/>
          <w:lang w:val="zh-CN"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14</w:t>
      </w:r>
      <w:r>
        <w:rPr>
          <w:rFonts w:hint="eastAsia" w:ascii="Times New Roman" w:hAnsi="Times New Roman" w:eastAsia="仿宋_GB2312" w:cs="Times New Roman"/>
          <w:b w:val="0"/>
          <w:bCs w:val="0"/>
          <w:color w:val="auto"/>
          <w:kern w:val="2"/>
          <w:sz w:val="32"/>
          <w:szCs w:val="32"/>
          <w:highlight w:val="none"/>
          <w:u w:val="none"/>
          <w:lang w:val="zh-CN" w:eastAsia="zh-CN" w:bidi="ar-SA"/>
        </w:rPr>
        <w:t>6号）文件规定，切实管好用好资金。该项目执行政府采购相关规定，项目实施工程中，按照合同约定拨付进度资金；项目完工后，再进行组织验收，验收合格后拨付完工资金。研城街道高坡村2024年新型农村集体经济扶持项目旨在进一步壮大农村集体经济，巩固拓展脱贫成果同乡村振兴有效衔接，促进乡村振兴全面发展。</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en-US"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由高坡村申请中省财政资金150万元（</w:t>
      </w:r>
      <w:r>
        <w:rPr>
          <w:rFonts w:hint="eastAsia" w:ascii="Times New Roman" w:hAnsi="Times New Roman" w:eastAsia="仿宋_GB2312" w:cs="Times New Roman"/>
          <w:b w:val="0"/>
          <w:bCs w:val="0"/>
          <w:color w:val="auto"/>
          <w:kern w:val="2"/>
          <w:sz w:val="32"/>
          <w:szCs w:val="32"/>
          <w:highlight w:val="none"/>
          <w:u w:val="none"/>
          <w:lang w:val="en-US" w:eastAsia="zh-CN" w:bidi="ar-SA"/>
        </w:rPr>
        <w:t>其中：中央财政资金40万元，省级财政资金70万元，县级配套资金40万元</w:t>
      </w:r>
      <w:r>
        <w:rPr>
          <w:rFonts w:hint="eastAsia" w:ascii="Times New Roman" w:hAnsi="Times New Roman" w:eastAsia="仿宋_GB2312" w:cs="Times New Roman"/>
          <w:b w:val="0"/>
          <w:bCs w:val="0"/>
          <w:color w:val="auto"/>
          <w:kern w:val="2"/>
          <w:sz w:val="32"/>
          <w:szCs w:val="32"/>
          <w:highlight w:val="none"/>
          <w:u w:val="none"/>
          <w:lang w:val="zh-CN" w:eastAsia="zh-CN" w:bidi="ar-SA"/>
        </w:rPr>
        <w:t>），五谷村协调建设用地指标368㎡，用于修建五谷农耕文化研学服务中心（土地使用权归五谷村集体经济组织所有、主体建筑归高坡村集体经济组织所有），由子爱田源投入资金用于房屋的装修和研学氛围营造。</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（四）项目绩效目标设置。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资金用于</w:t>
      </w:r>
      <w:r>
        <w:rPr>
          <w:rFonts w:hint="eastAsia" w:ascii="Times New Roman" w:hAnsi="Times New Roman" w:eastAsia="仿宋_GB2312" w:cs="Times New Roman"/>
          <w:b w:val="0"/>
          <w:bCs w:val="0"/>
          <w:color w:val="auto"/>
          <w:kern w:val="2"/>
          <w:sz w:val="32"/>
          <w:szCs w:val="32"/>
          <w:highlight w:val="none"/>
          <w:u w:val="none"/>
          <w:lang w:val="en-US" w:eastAsia="zh-CN" w:bidi="ar-SA"/>
        </w:rPr>
        <w:t>五谷农耕文化研学服务中心建设，</w:t>
      </w:r>
      <w:r>
        <w:rPr>
          <w:rFonts w:hint="eastAsia" w:ascii="Times New Roman" w:hAnsi="Times New Roman" w:eastAsia="仿宋_GB2312" w:cs="Times New Roman"/>
          <w:b w:val="0"/>
          <w:bCs w:val="0"/>
          <w:color w:val="auto"/>
          <w:kern w:val="2"/>
          <w:sz w:val="32"/>
          <w:szCs w:val="32"/>
          <w:highlight w:val="none"/>
          <w:u w:val="none"/>
          <w:lang w:val="zh-CN" w:eastAsia="zh-CN" w:bidi="ar-SA"/>
        </w:rPr>
        <w:t>资金使用无重大违规违纪问题绩效目标量化可考核，与实施内容相匹配，绩效目标全面完整，是契合政策，与部门的长期规划目标、年度工作目标相一致，产出和效果相关联，满意度指标符合相关规定。</w:t>
      </w:r>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eastAsia" w:ascii="黑体" w:hAnsi="宋体" w:eastAsia="黑体" w:cs="Times New Roman"/>
          <w:color w:val="auto"/>
          <w:sz w:val="32"/>
          <w:szCs w:val="32"/>
          <w:highlight w:val="none"/>
          <w:lang w:eastAsia="zh-CN"/>
        </w:rPr>
      </w:pPr>
      <w:r>
        <w:rPr>
          <w:rFonts w:hint="eastAsia" w:ascii="黑体" w:hAnsi="宋体" w:eastAsia="黑体" w:cs="Times New Roman"/>
          <w:color w:val="auto"/>
          <w:sz w:val="32"/>
          <w:szCs w:val="32"/>
          <w:highlight w:val="none"/>
        </w:rPr>
        <w:t>二、</w:t>
      </w:r>
      <w:r>
        <w:rPr>
          <w:rFonts w:hint="eastAsia" w:ascii="黑体" w:hAnsi="宋体" w:eastAsia="黑体" w:cs="Times New Roman"/>
          <w:color w:val="auto"/>
          <w:sz w:val="32"/>
          <w:szCs w:val="32"/>
          <w:highlight w:val="none"/>
          <w:lang w:eastAsia="zh-CN"/>
        </w:rPr>
        <w:t>评价实施</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确保项目建设质量，充分发挥财政资金的撬动作用，促使产出效益最大化。</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设置项目决策、项目管理、项目实施、项目结果、产业发展、基础设施、行政运转、个性指标和绩效管理存在问题等评价重点，</w:t>
      </w:r>
      <w:r>
        <w:rPr>
          <w:rFonts w:hint="eastAsia" w:ascii="Times New Roman" w:hAnsi="Times New Roman" w:eastAsia="仿宋_GB2312" w:cs="Times New Roman"/>
          <w:b w:val="0"/>
          <w:bCs w:val="0"/>
          <w:color w:val="auto"/>
          <w:kern w:val="2"/>
          <w:sz w:val="32"/>
          <w:szCs w:val="32"/>
          <w:highlight w:val="none"/>
          <w:u w:val="none"/>
          <w:lang w:val="en-US" w:eastAsia="zh-CN" w:bidi="ar-SA"/>
        </w:rPr>
        <w:t>对资金支出使用全过程及其实施效果进行综合评价和判断。</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评价选点。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通用指标的</w:t>
      </w:r>
      <w:r>
        <w:rPr>
          <w:rFonts w:hint="eastAsia" w:ascii="Times New Roman" w:hAnsi="Times New Roman" w:eastAsia="仿宋_GB2312" w:cs="Times New Roman"/>
          <w:b w:val="0"/>
          <w:bCs w:val="0"/>
          <w:color w:val="auto"/>
          <w:kern w:val="2"/>
          <w:sz w:val="32"/>
          <w:szCs w:val="32"/>
          <w:highlight w:val="none"/>
          <w:u w:val="none"/>
          <w:lang w:val="zh-CN" w:eastAsia="zh-CN" w:bidi="ar-SA"/>
        </w:rPr>
        <w:t>决策程序、规划论证、资金投向、制度办法、分配管理、绩效监管、预算执行、资金使用、目标完成、完成时效；</w:t>
      </w:r>
      <w:r>
        <w:rPr>
          <w:rFonts w:hint="eastAsia" w:ascii="Times New Roman" w:hAnsi="Times New Roman" w:eastAsia="仿宋_GB2312" w:cs="Times New Roman"/>
          <w:b w:val="0"/>
          <w:bCs w:val="0"/>
          <w:color w:val="auto"/>
          <w:kern w:val="2"/>
          <w:sz w:val="32"/>
          <w:szCs w:val="32"/>
          <w:highlight w:val="none"/>
          <w:u w:val="none"/>
          <w:lang w:val="en-US" w:eastAsia="zh-CN" w:bidi="ar-SA"/>
        </w:rPr>
        <w:t>产业发展指标的</w:t>
      </w:r>
      <w:r>
        <w:rPr>
          <w:rFonts w:hint="eastAsia" w:ascii="Times New Roman" w:hAnsi="Times New Roman" w:eastAsia="仿宋_GB2312" w:cs="Times New Roman"/>
          <w:b w:val="0"/>
          <w:bCs w:val="0"/>
          <w:color w:val="auto"/>
          <w:kern w:val="2"/>
          <w:sz w:val="32"/>
          <w:szCs w:val="32"/>
          <w:highlight w:val="none"/>
          <w:u w:val="none"/>
          <w:lang w:val="zh-CN" w:eastAsia="zh-CN" w:bidi="ar-SA"/>
        </w:rPr>
        <w:t>符合性、成长性、经济性；</w:t>
      </w:r>
      <w:r>
        <w:rPr>
          <w:rFonts w:hint="eastAsia" w:ascii="Times New Roman" w:hAnsi="Times New Roman" w:eastAsia="仿宋_GB2312" w:cs="Times New Roman"/>
          <w:b w:val="0"/>
          <w:bCs w:val="0"/>
          <w:color w:val="auto"/>
          <w:kern w:val="2"/>
          <w:sz w:val="32"/>
          <w:szCs w:val="32"/>
          <w:highlight w:val="none"/>
          <w:u w:val="none"/>
          <w:lang w:val="en-US" w:eastAsia="zh-CN" w:bidi="ar-SA"/>
        </w:rPr>
        <w:t>个性指标进行</w:t>
      </w:r>
      <w:r>
        <w:rPr>
          <w:rFonts w:hint="eastAsia" w:ascii="Times New Roman" w:hAnsi="Times New Roman" w:eastAsia="仿宋_GB2312" w:cs="Times New Roman"/>
          <w:b w:val="0"/>
          <w:bCs w:val="0"/>
          <w:color w:val="auto"/>
          <w:kern w:val="2"/>
          <w:sz w:val="32"/>
          <w:szCs w:val="32"/>
          <w:highlight w:val="none"/>
          <w:u w:val="none"/>
          <w:lang w:val="zh-CN" w:eastAsia="zh-CN" w:bidi="ar-SA"/>
        </w:rPr>
        <w:t>评价选点。</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评价方法。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采用单位自评法、实地勘察法等多种方法进行评价。</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评价组织。</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评价小组由街道办主要领导任组长，街道办党工委副书记、组织委员任副组长，党建办、财政所、国土所、住建所、乡村振兴办负责人任成员，组长负责牵头评价，副组长负责监督和项目管理评价，成员负责</w:t>
      </w:r>
      <w:r>
        <w:rPr>
          <w:rFonts w:hint="eastAsia" w:ascii="Times New Roman" w:hAnsi="Times New Roman" w:eastAsia="仿宋_GB2312" w:cs="Times New Roman"/>
          <w:b w:val="0"/>
          <w:bCs w:val="0"/>
          <w:color w:val="auto"/>
          <w:kern w:val="2"/>
          <w:sz w:val="32"/>
          <w:szCs w:val="32"/>
          <w:highlight w:val="none"/>
          <w:u w:val="none"/>
          <w:lang w:val="zh-CN" w:eastAsia="zh-CN" w:bidi="ar-SA"/>
        </w:rPr>
        <w:t>项目决策、项目实施、项目结果、产业发展、基础设施、行政运转、个性指标和绩效管理存在问题等评价。</w:t>
      </w:r>
    </w:p>
    <w:p>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ascii="仿宋_GB2312" w:hAnsi="宋体"/>
          <w:color w:val="auto"/>
          <w:sz w:val="32"/>
          <w:szCs w:val="32"/>
          <w:highlight w:val="none"/>
          <w:u w:val="none"/>
          <w:lang w:val="zh-CN"/>
        </w:rPr>
      </w:pPr>
      <w:r>
        <w:rPr>
          <w:rFonts w:hint="eastAsia" w:ascii="黑体" w:hAnsi="宋体" w:eastAsia="黑体" w:cs="Times New Roman"/>
          <w:color w:val="auto"/>
          <w:sz w:val="32"/>
          <w:szCs w:val="32"/>
          <w:highlight w:val="none"/>
        </w:rPr>
        <w:t>三、</w:t>
      </w:r>
      <w:r>
        <w:rPr>
          <w:rFonts w:hint="eastAsia" w:ascii="黑体" w:hAnsi="宋体" w:eastAsia="黑体" w:cs="Times New Roman"/>
          <w:color w:val="auto"/>
          <w:sz w:val="32"/>
          <w:szCs w:val="32"/>
          <w:highlight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auto"/>
          <w:kern w:val="0"/>
          <w:sz w:val="32"/>
          <w:szCs w:val="32"/>
          <w:highlight w:val="none"/>
          <w:shd w:val="clear" w:color="auto" w:fill="FFFFFF"/>
          <w:lang w:val="zh-CN"/>
        </w:rPr>
        <w:t>绩效分析。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1. 项目决策。项目决策程序严密，项目设立等方面符合资金管理基本规范和决策程序要求。项目规划论证符合中省市要求，项目绩效目标设置科学合理。项目资金与项目总体规划、相关行业事业发展相匹配，聚焦了重大任务、重点领域、重点环节和重点项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2. 项目管理。项目制度办法体系健全、要素完备。项目资金分配因素选取、权重设置、区域分布，项目管理、审批符合管理要求，资金分配严格按管理办法执行，决策程序符合管理要求。严格实施政策全过程预算绩效管理，强化绩效目标约束，开展政策执行事中绩效监控和事后绩效评价。强化资金管理，实行专款专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3. 项目实施。严格管资金、项目、政策管绩效，按中、省、市要求全面完成绩效目标（含事前评估）、绩效评价等预算绩效管理工作要求开展工作。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4. 项目结果。现五谷村股份经济合作社 、高坡村股份经济合作社与井研县子爱田源家庭农场确定合作关系，达成租赁协议，五谷农耕文化研学服务中心主体建设已完成结算财评，预计7月初将签订正式合同。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Fonts w:hint="default" w:ascii="Times New Roman" w:hAnsi="Times New Roman" w:eastAsia="楷体_GB2312" w:cs="Times New Roman"/>
          <w:b/>
          <w:bCs/>
          <w:color w:val="auto"/>
          <w:kern w:val="0"/>
          <w:sz w:val="32"/>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auto"/>
          <w:kern w:val="0"/>
          <w:sz w:val="32"/>
          <w:szCs w:val="32"/>
          <w:highlight w:val="none"/>
          <w:shd w:val="clear" w:color="auto" w:fill="FFFFFF"/>
          <w:lang w:val="zh-CN"/>
        </w:rPr>
        <w:t>绩效分析。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筹资渠道、合法律法规规定，筹资结构合理，资金来源渠道明确，市县财政资金能够落实，具有符合性。项目建成后，将提供就业岗位15个，优先解决脱贫人群务工问题，实现人均增收20000余元。五谷村与高坡村将建立农耕文旅研学服务线下基地，擦亮观光体验“五谷龙庄”发展带名片，串联高坡村、五谷村、五龙井村、高滩村，打造以农耕文化体验为主题产学研相结合的亲子研学游学基地，激活礼全家庭农场草莓采摘基地、子爱田源家庭农场、高滩黄桃采摘基地、高滩葡萄采摘基地等现有业主干事创业热情，持续带动周边农户发展壮大特色农业，加快农文旅产业融合步伐。</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textAlignment w:val="auto"/>
        <w:outlineLvl w:val="9"/>
        <w:rPr>
          <w:rFonts w:hint="default" w:ascii="Times New Roman" w:hAnsi="Times New Roman" w:eastAsia="楷体_GB2312" w:cs="Times New Roman"/>
          <w:b/>
          <w:bCs/>
          <w:color w:val="auto"/>
          <w:kern w:val="0"/>
          <w:sz w:val="32"/>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auto"/>
          <w:kern w:val="0"/>
          <w:sz w:val="32"/>
          <w:szCs w:val="32"/>
          <w:highlight w:val="none"/>
          <w:shd w:val="clear" w:color="auto" w:fill="FFFFFF"/>
          <w:lang w:val="zh-CN"/>
        </w:rPr>
        <w:t>绩效分析。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资金使用无重大违规违纪问题；</w:t>
      </w:r>
      <w:r>
        <w:rPr>
          <w:rFonts w:hint="eastAsia" w:ascii="Times New Roman" w:hAnsi="Times New Roman" w:eastAsia="仿宋_GB2312" w:cs="Times New Roman"/>
          <w:b w:val="0"/>
          <w:bCs w:val="0"/>
          <w:color w:val="auto"/>
          <w:kern w:val="2"/>
          <w:sz w:val="32"/>
          <w:szCs w:val="32"/>
          <w:highlight w:val="none"/>
          <w:u w:val="none"/>
          <w:lang w:val="zh-CN" w:eastAsia="zh-CN" w:bidi="ar-SA"/>
        </w:rPr>
        <w:t>发展壮大村级集体经济实力，增强农村集体经济内生动力</w:t>
      </w:r>
      <w:r>
        <w:rPr>
          <w:rFonts w:hint="eastAsia" w:ascii="Times New Roman" w:hAnsi="Times New Roman" w:eastAsia="仿宋_GB2312" w:cs="Times New Roman"/>
          <w:b w:val="0"/>
          <w:bCs w:val="0"/>
          <w:color w:val="auto"/>
          <w:kern w:val="2"/>
          <w:sz w:val="32"/>
          <w:szCs w:val="32"/>
          <w:highlight w:val="none"/>
          <w:u w:val="none"/>
          <w:lang w:val="en-US" w:eastAsia="zh-CN" w:bidi="ar-SA"/>
        </w:rPr>
        <w:t>；服务对象对中央财政补助经费使用情况的满意度≥90%。完成</w:t>
      </w:r>
      <w:r>
        <w:rPr>
          <w:rFonts w:hint="eastAsia" w:ascii="Times New Roman" w:hAnsi="Times New Roman" w:eastAsia="仿宋_GB2312" w:cs="Times New Roman"/>
          <w:b w:val="0"/>
          <w:bCs w:val="0"/>
          <w:color w:val="auto"/>
          <w:kern w:val="2"/>
          <w:sz w:val="32"/>
          <w:szCs w:val="32"/>
          <w:highlight w:val="none"/>
          <w:u w:val="none"/>
          <w:lang w:val="zh-CN" w:eastAsia="zh-CN" w:bidi="ar-SA"/>
        </w:rPr>
        <w:t>项目个性指标任务。</w:t>
      </w:r>
    </w:p>
    <w:p>
      <w:pPr>
        <w:pStyle w:val="8"/>
        <w:keepNext w:val="0"/>
        <w:keepLines w:val="0"/>
        <w:pageBreakBefore w:val="0"/>
        <w:numPr>
          <w:ilvl w:val="0"/>
          <w:numId w:val="0"/>
        </w:numPr>
        <w:tabs>
          <w:tab w:val="left" w:pos="2160"/>
        </w:tabs>
        <w:kinsoku/>
        <w:wordWrap/>
        <w:overflowPunct/>
        <w:topLinePunct w:val="0"/>
        <w:autoSpaceDE/>
        <w:autoSpaceDN/>
        <w:bidi w:val="0"/>
        <w:adjustRightInd/>
        <w:snapToGrid/>
        <w:spacing w:line="590" w:lineRule="exact"/>
        <w:ind w:right="0" w:rightChars="0"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专项资金绩效自评得分100分。</w:t>
      </w:r>
    </w:p>
    <w:p>
      <w:pPr>
        <w:pStyle w:val="8"/>
        <w:keepNext w:val="0"/>
        <w:keepLines w:val="0"/>
        <w:pageBreakBefore w:val="0"/>
        <w:numPr>
          <w:ilvl w:val="0"/>
          <w:numId w:val="4"/>
        </w:numPr>
        <w:tabs>
          <w:tab w:val="left" w:pos="2160"/>
        </w:tabs>
        <w:kinsoku/>
        <w:wordWrap/>
        <w:overflowPunct/>
        <w:topLinePunct w:val="0"/>
        <w:autoSpaceDE/>
        <w:autoSpaceDN/>
        <w:bidi w:val="0"/>
        <w:adjustRightInd/>
        <w:snapToGrid/>
        <w:spacing w:line="590" w:lineRule="exact"/>
        <w:ind w:right="0" w:rightChars="0"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eastAsia="黑体" w:cs="Times New Roman"/>
          <w:color w:val="auto"/>
          <w:sz w:val="32"/>
          <w:szCs w:val="32"/>
          <w:highlight w:val="none"/>
          <w:u w:val="none"/>
          <w:lang w:eastAsia="zh-CN"/>
        </w:rPr>
        <w:t>存在主要问题</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项目建设进度相对缓慢。因建设资金大于100万元，按照相关程序开展了土地下清、规划设计、招投标、取得建设“三证一书”、施工、竣工验收、结算财评等完整的建设流程，在施工过程中因环保要求停工两周，导致建设进度相对缓慢，从而影响项目资金拨付的进度。</w:t>
      </w:r>
    </w:p>
    <w:p>
      <w:pPr>
        <w:pStyle w:val="8"/>
        <w:keepNext w:val="0"/>
        <w:keepLines w:val="0"/>
        <w:pageBreakBefore w:val="0"/>
        <w:numPr>
          <w:ilvl w:val="0"/>
          <w:numId w:val="0"/>
        </w:numPr>
        <w:tabs>
          <w:tab w:val="left" w:pos="2160"/>
        </w:tabs>
        <w:kinsoku/>
        <w:wordWrap/>
        <w:overflowPunct/>
        <w:topLinePunct w:val="0"/>
        <w:autoSpaceDE/>
        <w:autoSpaceDN/>
        <w:bidi w:val="0"/>
        <w:adjustRightInd/>
        <w:snapToGrid/>
        <w:spacing w:line="590" w:lineRule="exact"/>
        <w:ind w:right="0" w:rightChars="0"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无</w:t>
      </w:r>
      <w:bookmarkStart w:id="87" w:name="_Hlk110546638"/>
    </w:p>
    <w:bookmarkEnd w:id="87"/>
    <w:p>
      <w:pPr>
        <w:pStyle w:val="9"/>
        <w:rPr>
          <w:rFonts w:hint="eastAsia"/>
          <w:lang w:val="en-US" w:eastAsia="zh-CN"/>
        </w:rPr>
      </w:pPr>
    </w:p>
    <w:p>
      <w:pPr>
        <w:widowControl/>
        <w:jc w:val="center"/>
        <w:rPr>
          <w:rFonts w:hint="eastAsia" w:ascii="Times New Roman" w:hAnsi="Times New Roman" w:eastAsia="黑体"/>
          <w:color w:val="auto"/>
          <w:sz w:val="44"/>
          <w:szCs w:val="44"/>
          <w:highlight w:val="none"/>
        </w:rPr>
      </w:pPr>
      <w:bookmarkStart w:id="88" w:name="_Toc18558_WPSOffice_Level1"/>
      <w:bookmarkStart w:id="89" w:name="_Toc15396618"/>
    </w:p>
    <w:p>
      <w:pPr>
        <w:pStyle w:val="5"/>
        <w:bidi w:val="0"/>
        <w:jc w:val="center"/>
        <w:rPr>
          <w:rFonts w:hint="eastAsia" w:ascii="Times New Roman" w:hAnsi="Times New Roman" w:eastAsia="仿宋_GB2312" w:cs="仿宋_GB2312"/>
          <w:color w:val="auto"/>
          <w:sz w:val="32"/>
          <w:szCs w:val="32"/>
          <w:highlight w:val="none"/>
        </w:rPr>
      </w:pPr>
      <w:bookmarkStart w:id="90" w:name="_Toc25331"/>
      <w:r>
        <w:rPr>
          <w:rFonts w:hint="eastAsia"/>
        </w:rPr>
        <w:t>第五部分 附表</w:t>
      </w:r>
      <w:bookmarkEnd w:id="83"/>
      <w:bookmarkEnd w:id="88"/>
      <w:bookmarkEnd w:id="89"/>
      <w:bookmarkEnd w:id="90"/>
      <w:bookmarkStart w:id="91" w:name="_Toc15396619"/>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92" w:name="_Toc13511_WPSOffice_Level2"/>
      <w:bookmarkStart w:id="93" w:name="_Toc25475"/>
      <w:r>
        <w:rPr>
          <w:rFonts w:hint="eastAsia" w:ascii="Times New Roman" w:hAnsi="Times New Roman" w:eastAsia="仿宋_GB2312" w:cs="Times New Roman"/>
          <w:b w:val="0"/>
          <w:bCs w:val="0"/>
          <w:color w:val="auto"/>
          <w:kern w:val="2"/>
          <w:sz w:val="32"/>
          <w:szCs w:val="32"/>
          <w:highlight w:val="none"/>
          <w:u w:val="none"/>
          <w:lang w:val="en-US" w:eastAsia="zh-CN" w:bidi="ar-SA"/>
        </w:rPr>
        <w:t>一、收入支出决算总表</w:t>
      </w:r>
      <w:bookmarkEnd w:id="91"/>
      <w:bookmarkEnd w:id="92"/>
      <w:bookmarkEnd w:id="93"/>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94" w:name="_Toc15396620"/>
      <w:bookmarkStart w:id="95" w:name="_Toc1794_WPSOffice_Level2"/>
      <w:bookmarkStart w:id="96" w:name="_Toc16795"/>
      <w:r>
        <w:rPr>
          <w:rFonts w:hint="eastAsia" w:ascii="Times New Roman" w:hAnsi="Times New Roman" w:eastAsia="仿宋_GB2312" w:cs="Times New Roman"/>
          <w:b w:val="0"/>
          <w:bCs w:val="0"/>
          <w:color w:val="auto"/>
          <w:kern w:val="2"/>
          <w:sz w:val="32"/>
          <w:szCs w:val="32"/>
          <w:highlight w:val="none"/>
          <w:u w:val="none"/>
          <w:lang w:val="en-US" w:eastAsia="zh-CN" w:bidi="ar-SA"/>
        </w:rPr>
        <w:t>二、收入决算表</w:t>
      </w:r>
      <w:bookmarkEnd w:id="94"/>
      <w:bookmarkEnd w:id="95"/>
      <w:bookmarkEnd w:id="96"/>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97" w:name="_Toc15396621"/>
      <w:bookmarkStart w:id="98" w:name="_Toc11053_WPSOffice_Level2"/>
      <w:bookmarkStart w:id="99" w:name="_Toc26984"/>
      <w:r>
        <w:rPr>
          <w:rFonts w:hint="eastAsia" w:ascii="Times New Roman" w:hAnsi="Times New Roman" w:eastAsia="仿宋_GB2312" w:cs="Times New Roman"/>
          <w:b w:val="0"/>
          <w:bCs w:val="0"/>
          <w:color w:val="auto"/>
          <w:kern w:val="2"/>
          <w:sz w:val="32"/>
          <w:szCs w:val="32"/>
          <w:highlight w:val="none"/>
          <w:u w:val="none"/>
          <w:lang w:val="en-US" w:eastAsia="zh-CN" w:bidi="ar-SA"/>
        </w:rPr>
        <w:t>三、支出决算表</w:t>
      </w:r>
      <w:bookmarkEnd w:id="97"/>
      <w:bookmarkEnd w:id="98"/>
      <w:bookmarkEnd w:id="99"/>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00" w:name="_Toc15396622"/>
      <w:bookmarkStart w:id="101" w:name="_Toc21387_WPSOffice_Level2"/>
      <w:bookmarkStart w:id="102" w:name="_Toc18294"/>
      <w:r>
        <w:rPr>
          <w:rFonts w:hint="eastAsia" w:ascii="Times New Roman" w:hAnsi="Times New Roman" w:eastAsia="仿宋_GB2312" w:cs="Times New Roman"/>
          <w:b w:val="0"/>
          <w:bCs w:val="0"/>
          <w:color w:val="auto"/>
          <w:kern w:val="2"/>
          <w:sz w:val="32"/>
          <w:szCs w:val="32"/>
          <w:highlight w:val="none"/>
          <w:u w:val="none"/>
          <w:lang w:val="en-US" w:eastAsia="zh-CN" w:bidi="ar-SA"/>
        </w:rPr>
        <w:t>四、财政拨款收入支出决算总表</w:t>
      </w:r>
      <w:bookmarkEnd w:id="100"/>
      <w:bookmarkEnd w:id="101"/>
      <w:bookmarkEnd w:id="102"/>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03" w:name="_Toc15396623"/>
      <w:bookmarkStart w:id="104" w:name="_Toc11137_WPSOffice_Level2"/>
      <w:bookmarkStart w:id="105" w:name="_Toc6617"/>
      <w:r>
        <w:rPr>
          <w:rFonts w:hint="eastAsia" w:ascii="Times New Roman" w:hAnsi="Times New Roman" w:eastAsia="仿宋_GB2312" w:cs="Times New Roman"/>
          <w:b w:val="0"/>
          <w:bCs w:val="0"/>
          <w:color w:val="auto"/>
          <w:kern w:val="2"/>
          <w:sz w:val="32"/>
          <w:szCs w:val="32"/>
          <w:highlight w:val="none"/>
          <w:u w:val="none"/>
          <w:lang w:val="en-US" w:eastAsia="zh-CN" w:bidi="ar-SA"/>
        </w:rPr>
        <w:t>五、财政拨款支出决算明细表</w:t>
      </w:r>
      <w:bookmarkEnd w:id="103"/>
      <w:bookmarkEnd w:id="104"/>
      <w:bookmarkEnd w:id="105"/>
      <w:bookmarkStart w:id="106" w:name="_Toc15396624"/>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07" w:name="_Toc16735_WPSOffice_Level2"/>
      <w:bookmarkStart w:id="108" w:name="_Toc22074"/>
      <w:r>
        <w:rPr>
          <w:rFonts w:hint="eastAsia" w:ascii="Times New Roman" w:hAnsi="Times New Roman" w:eastAsia="仿宋_GB2312" w:cs="Times New Roman"/>
          <w:b w:val="0"/>
          <w:bCs w:val="0"/>
          <w:color w:val="auto"/>
          <w:kern w:val="2"/>
          <w:sz w:val="32"/>
          <w:szCs w:val="32"/>
          <w:highlight w:val="none"/>
          <w:u w:val="none"/>
          <w:lang w:val="en-US" w:eastAsia="zh-CN" w:bidi="ar-SA"/>
        </w:rPr>
        <w:t>六、一般公共预算财政拨款支出决算表</w:t>
      </w:r>
      <w:bookmarkEnd w:id="106"/>
      <w:bookmarkEnd w:id="107"/>
      <w:bookmarkEnd w:id="108"/>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09" w:name="_Toc13233_WPSOffice_Level2"/>
      <w:bookmarkStart w:id="110" w:name="_Toc23273"/>
      <w:bookmarkStart w:id="111" w:name="_Toc15396625"/>
      <w:r>
        <w:rPr>
          <w:rFonts w:hint="eastAsia" w:ascii="Times New Roman" w:hAnsi="Times New Roman" w:eastAsia="仿宋_GB2312" w:cs="Times New Roman"/>
          <w:b w:val="0"/>
          <w:bCs w:val="0"/>
          <w:color w:val="auto"/>
          <w:kern w:val="2"/>
          <w:sz w:val="32"/>
          <w:szCs w:val="32"/>
          <w:highlight w:val="none"/>
          <w:u w:val="none"/>
          <w:lang w:val="en-US" w:eastAsia="zh-CN" w:bidi="ar-SA"/>
        </w:rPr>
        <w:t>七、一般公共预算财政拨款支出决算明细表</w:t>
      </w:r>
      <w:bookmarkEnd w:id="109"/>
      <w:bookmarkEnd w:id="110"/>
      <w:bookmarkEnd w:id="111"/>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12" w:name="_Toc15396626"/>
      <w:bookmarkStart w:id="113" w:name="_Toc22890_WPSOffice_Level2"/>
      <w:bookmarkStart w:id="114" w:name="_Toc25112"/>
      <w:r>
        <w:rPr>
          <w:rFonts w:hint="eastAsia" w:ascii="Times New Roman" w:hAnsi="Times New Roman" w:eastAsia="仿宋_GB2312" w:cs="Times New Roman"/>
          <w:b w:val="0"/>
          <w:bCs w:val="0"/>
          <w:color w:val="auto"/>
          <w:kern w:val="2"/>
          <w:sz w:val="32"/>
          <w:szCs w:val="32"/>
          <w:highlight w:val="none"/>
          <w:u w:val="none"/>
          <w:lang w:val="en-US" w:eastAsia="zh-CN" w:bidi="ar-SA"/>
        </w:rPr>
        <w:t>八、一般公共预算财政拨款基本支出决算表</w:t>
      </w:r>
      <w:bookmarkEnd w:id="112"/>
      <w:bookmarkEnd w:id="113"/>
      <w:bookmarkEnd w:id="114"/>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15" w:name="_Toc26853_WPSOffice_Level2"/>
      <w:bookmarkStart w:id="116" w:name="_Toc15396627"/>
      <w:bookmarkStart w:id="117" w:name="_Toc1219"/>
      <w:r>
        <w:rPr>
          <w:rFonts w:hint="eastAsia" w:ascii="Times New Roman" w:hAnsi="Times New Roman" w:eastAsia="仿宋_GB2312" w:cs="Times New Roman"/>
          <w:b w:val="0"/>
          <w:bCs w:val="0"/>
          <w:color w:val="auto"/>
          <w:kern w:val="2"/>
          <w:sz w:val="32"/>
          <w:szCs w:val="32"/>
          <w:highlight w:val="none"/>
          <w:u w:val="none"/>
          <w:lang w:val="en-US" w:eastAsia="zh-CN" w:bidi="ar-SA"/>
        </w:rPr>
        <w:t>九、一般公共预算财政拨款项目支出决算表</w:t>
      </w:r>
      <w:bookmarkEnd w:id="115"/>
      <w:bookmarkEnd w:id="116"/>
      <w:bookmarkEnd w:id="117"/>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18" w:name="_Toc15396628"/>
      <w:bookmarkStart w:id="119" w:name="_Toc5233_WPSOffice_Level2"/>
      <w:bookmarkStart w:id="120" w:name="_Toc19530"/>
      <w:r>
        <w:rPr>
          <w:rFonts w:hint="eastAsia" w:ascii="Times New Roman" w:hAnsi="Times New Roman" w:eastAsia="仿宋_GB2312" w:cs="Times New Roman"/>
          <w:b w:val="0"/>
          <w:bCs w:val="0"/>
          <w:color w:val="auto"/>
          <w:kern w:val="2"/>
          <w:sz w:val="32"/>
          <w:szCs w:val="32"/>
          <w:highlight w:val="none"/>
          <w:u w:val="none"/>
          <w:lang w:val="en-US" w:eastAsia="zh-CN" w:bidi="ar-SA"/>
        </w:rPr>
        <w:t>十、</w:t>
      </w:r>
      <w:bookmarkEnd w:id="118"/>
      <w:r>
        <w:rPr>
          <w:rFonts w:hint="eastAsia" w:ascii="Times New Roman" w:hAnsi="Times New Roman" w:eastAsia="仿宋_GB2312" w:cs="Times New Roman"/>
          <w:b w:val="0"/>
          <w:bCs w:val="0"/>
          <w:color w:val="auto"/>
          <w:kern w:val="2"/>
          <w:sz w:val="32"/>
          <w:szCs w:val="32"/>
          <w:highlight w:val="none"/>
          <w:u w:val="none"/>
          <w:lang w:val="en-US" w:eastAsia="zh-CN" w:bidi="ar-SA"/>
        </w:rPr>
        <w:t>政府性基金预算财政拨款收入支出决算表</w:t>
      </w:r>
      <w:bookmarkEnd w:id="119"/>
      <w:bookmarkEnd w:id="120"/>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21" w:name="_Toc15396629"/>
      <w:bookmarkStart w:id="122" w:name="_Toc12292_WPSOffice_Level2"/>
      <w:bookmarkStart w:id="123" w:name="_Toc7823"/>
      <w:r>
        <w:rPr>
          <w:rFonts w:hint="eastAsia" w:ascii="Times New Roman" w:hAnsi="Times New Roman" w:eastAsia="仿宋_GB2312" w:cs="Times New Roman"/>
          <w:b w:val="0"/>
          <w:bCs w:val="0"/>
          <w:color w:val="auto"/>
          <w:kern w:val="2"/>
          <w:sz w:val="32"/>
          <w:szCs w:val="32"/>
          <w:highlight w:val="none"/>
          <w:u w:val="none"/>
          <w:lang w:val="en-US" w:eastAsia="zh-CN" w:bidi="ar-SA"/>
        </w:rPr>
        <w:t>十一、</w:t>
      </w:r>
      <w:bookmarkEnd w:id="121"/>
      <w:r>
        <w:rPr>
          <w:rFonts w:hint="eastAsia" w:ascii="Times New Roman" w:hAnsi="Times New Roman" w:eastAsia="仿宋_GB2312" w:cs="Times New Roman"/>
          <w:b w:val="0"/>
          <w:bCs w:val="0"/>
          <w:color w:val="auto"/>
          <w:kern w:val="2"/>
          <w:sz w:val="32"/>
          <w:szCs w:val="32"/>
          <w:highlight w:val="none"/>
          <w:u w:val="none"/>
          <w:lang w:val="en-US" w:eastAsia="zh-CN" w:bidi="ar-SA"/>
        </w:rPr>
        <w:t>国有资本经营预算财政拨款收入支出决算表</w:t>
      </w:r>
      <w:bookmarkEnd w:id="122"/>
      <w:bookmarkEnd w:id="123"/>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24" w:name="_Toc15396630"/>
      <w:bookmarkStart w:id="125" w:name="_Toc15892_WPSOffice_Level2"/>
      <w:bookmarkStart w:id="126" w:name="_Toc18144"/>
      <w:r>
        <w:rPr>
          <w:rFonts w:hint="eastAsia" w:ascii="Times New Roman" w:hAnsi="Times New Roman" w:eastAsia="仿宋_GB2312" w:cs="Times New Roman"/>
          <w:b w:val="0"/>
          <w:bCs w:val="0"/>
          <w:color w:val="auto"/>
          <w:kern w:val="2"/>
          <w:sz w:val="32"/>
          <w:szCs w:val="32"/>
          <w:highlight w:val="none"/>
          <w:u w:val="none"/>
          <w:lang w:val="en-US" w:eastAsia="zh-CN" w:bidi="ar-SA"/>
        </w:rPr>
        <w:t>十二、</w:t>
      </w:r>
      <w:bookmarkEnd w:id="124"/>
      <w:r>
        <w:rPr>
          <w:rFonts w:hint="eastAsia" w:ascii="Times New Roman" w:hAnsi="Times New Roman" w:eastAsia="仿宋_GB2312" w:cs="Times New Roman"/>
          <w:b w:val="0"/>
          <w:bCs w:val="0"/>
          <w:color w:val="auto"/>
          <w:kern w:val="2"/>
          <w:sz w:val="32"/>
          <w:szCs w:val="32"/>
          <w:highlight w:val="none"/>
          <w:u w:val="none"/>
          <w:lang w:val="en-US" w:eastAsia="zh-CN" w:bidi="ar-SA"/>
        </w:rPr>
        <w:t>国有资本经营预算财政拨款支出决算表</w:t>
      </w:r>
      <w:bookmarkEnd w:id="125"/>
      <w:bookmarkEnd w:id="126"/>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27" w:name="_Toc15396631"/>
      <w:bookmarkStart w:id="128" w:name="_Toc32571_WPSOffice_Level2"/>
      <w:bookmarkStart w:id="129" w:name="_Toc25469"/>
      <w:r>
        <w:rPr>
          <w:rFonts w:hint="eastAsia" w:ascii="Times New Roman" w:hAnsi="Times New Roman" w:eastAsia="仿宋_GB2312" w:cs="Times New Roman"/>
          <w:b w:val="0"/>
          <w:bCs w:val="0"/>
          <w:color w:val="auto"/>
          <w:kern w:val="2"/>
          <w:sz w:val="32"/>
          <w:szCs w:val="32"/>
          <w:highlight w:val="none"/>
          <w:u w:val="none"/>
          <w:lang w:val="en-US" w:eastAsia="zh-CN" w:bidi="ar-SA"/>
        </w:rPr>
        <w:t>十三、</w:t>
      </w:r>
      <w:bookmarkEnd w:id="127"/>
      <w:r>
        <w:rPr>
          <w:rFonts w:hint="eastAsia" w:ascii="Times New Roman" w:hAnsi="Times New Roman" w:eastAsia="仿宋_GB2312" w:cs="Times New Roman"/>
          <w:b w:val="0"/>
          <w:bCs w:val="0"/>
          <w:color w:val="auto"/>
          <w:kern w:val="2"/>
          <w:sz w:val="32"/>
          <w:szCs w:val="32"/>
          <w:highlight w:val="none"/>
          <w:u w:val="none"/>
          <w:lang w:val="en-US" w:eastAsia="zh-CN" w:bidi="ar-SA"/>
        </w:rPr>
        <w:t>财政拨款“三公”经费支出决算表</w:t>
      </w:r>
      <w:bookmarkEnd w:id="128"/>
      <w:bookmarkEnd w:id="129"/>
    </w:p>
    <w:p>
      <w:pPr>
        <w:rPr>
          <w:rFonts w:hint="eastAsia" w:ascii="Times New Roman" w:hAnsi="Times New Roman"/>
          <w:lang w:eastAsia="zh-CN"/>
        </w:rPr>
      </w:pPr>
    </w:p>
    <w:sectPr>
      <w:pgSz w:w="11906" w:h="16838"/>
      <w:pgMar w:top="1440" w:right="1803" w:bottom="1440" w:left="1803" w:header="851" w:footer="992" w:gutter="0"/>
      <w:pgNumType w:fmt="numberInDash"/>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17BB"/>
    <w:multiLevelType w:val="singleLevel"/>
    <w:tmpl w:val="0E3917BB"/>
    <w:lvl w:ilvl="0" w:tentative="0">
      <w:start w:val="1"/>
      <w:numFmt w:val="chineseCounting"/>
      <w:suff w:val="nothing"/>
      <w:lvlText w:val="%1、"/>
      <w:lvlJc w:val="left"/>
      <w:rPr>
        <w:rFonts w:hint="eastAsia"/>
      </w:rPr>
    </w:lvl>
  </w:abstractNum>
  <w:abstractNum w:abstractNumId="1">
    <w:nsid w:val="3FF061D8"/>
    <w:multiLevelType w:val="singleLevel"/>
    <w:tmpl w:val="3FF061D8"/>
    <w:lvl w:ilvl="0" w:tentative="0">
      <w:start w:val="2"/>
      <w:numFmt w:val="chineseCounting"/>
      <w:suff w:val="nothing"/>
      <w:lvlText w:val="（%1）"/>
      <w:lvlJc w:val="left"/>
      <w:rPr>
        <w:rFonts w:hint="eastAsia"/>
      </w:rPr>
    </w:lvl>
  </w:abstractNum>
  <w:abstractNum w:abstractNumId="2">
    <w:nsid w:val="54146C65"/>
    <w:multiLevelType w:val="singleLevel"/>
    <w:tmpl w:val="54146C65"/>
    <w:lvl w:ilvl="0" w:tentative="0">
      <w:start w:val="2"/>
      <w:numFmt w:val="chineseCounting"/>
      <w:suff w:val="space"/>
      <w:lvlText w:val="第%1部分"/>
      <w:lvlJc w:val="left"/>
      <w:rPr>
        <w:rFonts w:hint="eastAsia"/>
      </w:rPr>
    </w:lvl>
  </w:abstractNum>
  <w:abstractNum w:abstractNumId="3">
    <w:nsid w:val="7A6016AE"/>
    <w:multiLevelType w:val="singleLevel"/>
    <w:tmpl w:val="7A6016AE"/>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4D33EE4"/>
    <w:rsid w:val="061E35DE"/>
    <w:rsid w:val="066E0107"/>
    <w:rsid w:val="07996F6E"/>
    <w:rsid w:val="07DFD8BA"/>
    <w:rsid w:val="082F321C"/>
    <w:rsid w:val="09867E8F"/>
    <w:rsid w:val="0A2032A3"/>
    <w:rsid w:val="0CA8290A"/>
    <w:rsid w:val="0D35B1ED"/>
    <w:rsid w:val="0DA925F8"/>
    <w:rsid w:val="0E254B6B"/>
    <w:rsid w:val="0F98263C"/>
    <w:rsid w:val="101860EC"/>
    <w:rsid w:val="101F47CC"/>
    <w:rsid w:val="10C055FF"/>
    <w:rsid w:val="11694EBD"/>
    <w:rsid w:val="11772AA4"/>
    <w:rsid w:val="118107EC"/>
    <w:rsid w:val="12E24EE2"/>
    <w:rsid w:val="13D50BC4"/>
    <w:rsid w:val="14B17F78"/>
    <w:rsid w:val="14F21B14"/>
    <w:rsid w:val="158C14E9"/>
    <w:rsid w:val="165E0673"/>
    <w:rsid w:val="16B831D5"/>
    <w:rsid w:val="16BB723D"/>
    <w:rsid w:val="17E50567"/>
    <w:rsid w:val="186504BB"/>
    <w:rsid w:val="18A51557"/>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3F36D4D"/>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12623A3"/>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157340"/>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A664C7"/>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ody Text Indent 2"/>
    <w:basedOn w:val="1"/>
    <w:qFormat/>
    <w:uiPriority w:val="0"/>
    <w:pPr>
      <w:spacing w:after="120" w:afterLines="0" w:afterAutospacing="0" w:line="480" w:lineRule="auto"/>
      <w:ind w:left="420" w:leftChars="200"/>
    </w:p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3"/>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2"/>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5"/>
    <w:qFormat/>
    <w:uiPriority w:val="9"/>
    <w:rPr>
      <w:rFonts w:ascii="Times New Roman" w:hAnsi="Times New Roman"/>
      <w:b/>
      <w:bCs/>
      <w:kern w:val="44"/>
      <w:sz w:val="44"/>
      <w:szCs w:val="44"/>
    </w:rPr>
  </w:style>
  <w:style w:type="character" w:customStyle="1" w:styleId="30">
    <w:name w:val="标题 2 Char"/>
    <w:basedOn w:val="17"/>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1"/>
    <w:semiHidden/>
    <w:qFormat/>
    <w:uiPriority w:val="99"/>
    <w:rPr>
      <w:rFonts w:ascii="Times New Roman" w:hAnsi="Times New Roman"/>
      <w:kern w:val="2"/>
      <w:sz w:val="18"/>
      <w:szCs w:val="18"/>
    </w:rPr>
  </w:style>
  <w:style w:type="character" w:customStyle="1" w:styleId="33">
    <w:name w:val="标题 3 Char"/>
    <w:basedOn w:val="17"/>
    <w:link w:val="7"/>
    <w:qFormat/>
    <w:uiPriority w:val="9"/>
    <w:rPr>
      <w:rFonts w:ascii="Times New Roman" w:hAnsi="Times New Roman"/>
      <w:b/>
      <w:bCs/>
      <w:kern w:val="2"/>
      <w:sz w:val="32"/>
      <w:szCs w:val="32"/>
    </w:rPr>
  </w:style>
  <w:style w:type="paragraph" w:customStyle="1" w:styleId="34">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6446;&#29678;&#29678;&#65281;&#65281;&#65281;&#65281;&#65281;\&#39044;&#31639;&#12289;&#20915;&#31639;&#12289;&#20869;&#25511;&#12289;&#32489;&#25928;&#12289;&#36130;&#21153;&#25253;&#21578;\&#20915;&#31639;\2023&#24180;&#20915;&#31639;\&#20915;&#31639;&#20844;&#24320;\&#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6446;&#29678;&#29678;&#65281;&#65281;&#65281;&#65281;&#65281;\&#39044;&#31639;&#12289;&#20915;&#31639;&#12289;&#20869;&#25511;&#12289;&#32489;&#25928;&#12289;&#36130;&#21153;&#25253;&#21578;\&#20915;&#31639;\2023&#24180;&#20915;&#31639;\&#20915;&#31639;&#20844;&#24320;\&#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6446;&#29678;&#29678;&#65281;&#65281;&#65281;&#65281;&#65281;\&#39044;&#31639;&#12289;&#20915;&#31639;&#12289;&#20869;&#25511;&#12289;&#32489;&#25928;&#12289;&#36130;&#21153;&#25253;&#21578;\&#20915;&#31639;\2023&#24180;&#20915;&#31639;\&#20915;&#31639;&#20844;&#24320;\&#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6446;&#29678;&#29678;&#65281;&#65281;&#65281;&#65281;&#65281;\&#39044;&#31639;&#12289;&#20915;&#31639;&#12289;&#20869;&#25511;&#12289;&#32489;&#25928;&#12289;&#36130;&#21153;&#25253;&#21578;\&#20915;&#31639;\2023&#24180;&#20915;&#31639;\&#20915;&#31639;&#20844;&#24320;\&#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6446;&#29678;&#29678;&#65281;&#65281;&#65281;&#65281;&#65281;\&#39044;&#31639;&#12289;&#20915;&#31639;&#12289;&#20869;&#25511;&#12289;&#32489;&#25928;&#12289;&#36130;&#21153;&#25253;&#21578;\&#20915;&#31639;\2023&#24180;&#20915;&#31639;\&#20915;&#31639;&#20844;&#24320;\&#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26446;&#29678;&#29678;&#65281;&#65281;&#65281;&#65281;&#65281;\&#39044;&#31639;&#12289;&#20915;&#31639;&#12289;&#20869;&#25511;&#12289;&#32489;&#25928;&#12289;&#36130;&#21153;&#25253;&#21578;\&#20915;&#31639;\2023&#24180;&#20915;&#31639;\&#20915;&#31639;&#20844;&#24320;\&#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26446;&#29678;&#29678;&#65281;&#65281;&#65281;&#65281;&#65281;\&#39044;&#31639;&#12289;&#20915;&#31639;&#12289;&#20869;&#25511;&#12289;&#32489;&#25928;&#12289;&#36130;&#21153;&#25253;&#21578;\&#20915;&#31639;\2024&#24180;&#20915;&#31639;\&#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[图表.xlsx]Sheet1!$A$2</c:f>
              <c:strCache>
                <c:ptCount val="1"/>
                <c:pt idx="0">
                  <c:v>收入</c:v>
                </c:pt>
              </c:strCache>
            </c:strRef>
          </c:tx>
          <c:spPr>
            <a:solidFill>
              <a:schemeClr val="accent1"/>
            </a:solidFill>
            <a:ln>
              <a:noFill/>
            </a:ln>
            <a:effectLst/>
          </c:spPr>
          <c:invertIfNegative val="0"/>
          <c:dLbls>
            <c:delete val="1"/>
          </c:dLbls>
          <c:cat>
            <c:strRef>
              <c:f>[图表.xlsx]Sheet1!$B$1:$C$1</c:f>
              <c:strCache>
                <c:ptCount val="2"/>
                <c:pt idx="0">
                  <c:v>2023年</c:v>
                </c:pt>
                <c:pt idx="1">
                  <c:v>2024年</c:v>
                </c:pt>
              </c:strCache>
            </c:strRef>
          </c:cat>
          <c:val>
            <c:numRef>
              <c:f>[图表.xlsx]Sheet1!$B$2:$C$2</c:f>
              <c:numCache>
                <c:formatCode>General</c:formatCode>
                <c:ptCount val="2"/>
                <c:pt idx="0">
                  <c:v>4056.31</c:v>
                </c:pt>
                <c:pt idx="1">
                  <c:v>3753.13</c:v>
                </c:pt>
              </c:numCache>
            </c:numRef>
          </c:val>
        </c:ser>
        <c:ser>
          <c:idx val="1"/>
          <c:order val="1"/>
          <c:tx>
            <c:strRef>
              <c:f>[图表.xlsx]Sheet1!$A$3</c:f>
              <c:strCache>
                <c:ptCount val="1"/>
                <c:pt idx="0">
                  <c:v>支出</c:v>
                </c:pt>
              </c:strCache>
            </c:strRef>
          </c:tx>
          <c:spPr>
            <a:solidFill>
              <a:schemeClr val="accent2"/>
            </a:solidFill>
            <a:ln>
              <a:noFill/>
            </a:ln>
            <a:effectLst/>
          </c:spPr>
          <c:invertIfNegative val="0"/>
          <c:dLbls>
            <c:delete val="1"/>
          </c:dLbls>
          <c:cat>
            <c:strRef>
              <c:f>[图表.xlsx]Sheet1!$B$1:$C$1</c:f>
              <c:strCache>
                <c:ptCount val="2"/>
                <c:pt idx="0">
                  <c:v>2023年</c:v>
                </c:pt>
                <c:pt idx="1">
                  <c:v>2024年</c:v>
                </c:pt>
              </c:strCache>
            </c:strRef>
          </c:cat>
          <c:val>
            <c:numRef>
              <c:f>[图表.xlsx]Sheet1!$B$3:$C$3</c:f>
              <c:numCache>
                <c:formatCode>General</c:formatCode>
                <c:ptCount val="2"/>
                <c:pt idx="0">
                  <c:v>4056.31</c:v>
                </c:pt>
                <c:pt idx="1">
                  <c:v>3753.13</c:v>
                </c:pt>
              </c:numCache>
            </c:numRef>
          </c:val>
        </c:ser>
        <c:dLbls>
          <c:showLegendKey val="0"/>
          <c:showVal val="0"/>
          <c:showCatName val="0"/>
          <c:showSerName val="0"/>
          <c:showPercent val="0"/>
          <c:showBubbleSize val="0"/>
        </c:dLbls>
        <c:gapWidth val="219"/>
        <c:overlap val="-27"/>
        <c:axId val="970647047"/>
        <c:axId val="773080328"/>
      </c:barChart>
      <c:catAx>
        <c:axId val="9706470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3080328"/>
        <c:crosses val="autoZero"/>
        <c:auto val="1"/>
        <c:lblAlgn val="ctr"/>
        <c:lblOffset val="100"/>
        <c:noMultiLvlLbl val="0"/>
      </c:catAx>
      <c:valAx>
        <c:axId val="773080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06470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[图表.xlsx]Sheet2!$A$1:$A$2</c:f>
              <c:strCache>
                <c:ptCount val="2"/>
                <c:pt idx="0">
                  <c:v>一般公共预算财政拨款收入</c:v>
                </c:pt>
                <c:pt idx="1">
                  <c:v>政府性基金预算财政拨款收入</c:v>
                </c:pt>
              </c:strCache>
            </c:strRef>
          </c:cat>
          <c:val>
            <c:numRef>
              <c:f>[图表.xlsx]Sheet2!$B$1:$B$2</c:f>
              <c:numCache>
                <c:formatCode>#,##0.00</c:formatCode>
                <c:ptCount val="2"/>
                <c:pt idx="0">
                  <c:v>3684.05</c:v>
                </c:pt>
                <c:pt idx="1" c:formatCode="General">
                  <c:v>69.08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[图表.xlsx]Sheet3!$A$1:$A$2</c:f>
              <c:strCache>
                <c:ptCount val="2"/>
                <c:pt idx="0">
                  <c:v>基本支出</c:v>
                </c:pt>
                <c:pt idx="1">
                  <c:v>项目支出</c:v>
                </c:pt>
              </c:strCache>
            </c:strRef>
          </c:cat>
          <c:val>
            <c:numRef>
              <c:f>[图表.xlsx]Sheet3!$B$1:$B$2</c:f>
              <c:numCache>
                <c:formatCode>General</c:formatCode>
                <c:ptCount val="2"/>
                <c:pt idx="0">
                  <c:v>1972.69</c:v>
                </c:pt>
                <c:pt idx="1" c:formatCode="#,##0.00">
                  <c:v>1780.44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[图表.xlsx]Sheet1!$A$2</c:f>
              <c:strCache>
                <c:ptCount val="1"/>
                <c:pt idx="0">
                  <c:v>收入</c:v>
                </c:pt>
              </c:strCache>
            </c:strRef>
          </c:tx>
          <c:spPr>
            <a:solidFill>
              <a:schemeClr val="accent1"/>
            </a:solidFill>
            <a:ln>
              <a:noFill/>
            </a:ln>
            <a:effectLst/>
          </c:spPr>
          <c:invertIfNegative val="0"/>
          <c:dLbls>
            <c:delete val="1"/>
          </c:dLbls>
          <c:cat>
            <c:strRef>
              <c:f>[图表.xlsx]Sheet1!$B$1:$C$1</c:f>
              <c:strCache>
                <c:ptCount val="2"/>
                <c:pt idx="0">
                  <c:v>2023年</c:v>
                </c:pt>
                <c:pt idx="1">
                  <c:v>2024年</c:v>
                </c:pt>
              </c:strCache>
            </c:strRef>
          </c:cat>
          <c:val>
            <c:numRef>
              <c:f>[图表.xlsx]Sheet1!$B$2:$C$2</c:f>
              <c:numCache>
                <c:formatCode>General</c:formatCode>
                <c:ptCount val="2"/>
                <c:pt idx="0">
                  <c:v>4056.31</c:v>
                </c:pt>
                <c:pt idx="1">
                  <c:v>3753.13</c:v>
                </c:pt>
              </c:numCache>
            </c:numRef>
          </c:val>
        </c:ser>
        <c:ser>
          <c:idx val="1"/>
          <c:order val="1"/>
          <c:tx>
            <c:strRef>
              <c:f>[图表.xlsx]Sheet1!$A$3</c:f>
              <c:strCache>
                <c:ptCount val="1"/>
                <c:pt idx="0">
                  <c:v>支出</c:v>
                </c:pt>
              </c:strCache>
            </c:strRef>
          </c:tx>
          <c:spPr>
            <a:solidFill>
              <a:schemeClr val="accent2"/>
            </a:solidFill>
            <a:ln>
              <a:noFill/>
            </a:ln>
            <a:effectLst/>
          </c:spPr>
          <c:invertIfNegative val="0"/>
          <c:dLbls>
            <c:delete val="1"/>
          </c:dLbls>
          <c:cat>
            <c:strRef>
              <c:f>[图表.xlsx]Sheet1!$B$1:$C$1</c:f>
              <c:strCache>
                <c:ptCount val="2"/>
                <c:pt idx="0">
                  <c:v>2023年</c:v>
                </c:pt>
                <c:pt idx="1">
                  <c:v>2024年</c:v>
                </c:pt>
              </c:strCache>
            </c:strRef>
          </c:cat>
          <c:val>
            <c:numRef>
              <c:f>[图表.xlsx]Sheet1!$B$3:$C$3</c:f>
              <c:numCache>
                <c:formatCode>General</c:formatCode>
                <c:ptCount val="2"/>
                <c:pt idx="0">
                  <c:v>4056.31</c:v>
                </c:pt>
                <c:pt idx="1">
                  <c:v>3753.13</c:v>
                </c:pt>
              </c:numCache>
            </c:numRef>
          </c:val>
        </c:ser>
        <c:dLbls>
          <c:showLegendKey val="0"/>
          <c:showVal val="0"/>
          <c:showCatName val="0"/>
          <c:showSerName val="0"/>
          <c:showPercent val="0"/>
          <c:showBubbleSize val="0"/>
        </c:dLbls>
        <c:gapWidth val="219"/>
        <c:overlap val="-27"/>
        <c:axId val="970647047"/>
        <c:axId val="773080328"/>
      </c:barChart>
      <c:catAx>
        <c:axId val="9706470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3080328"/>
        <c:crosses val="autoZero"/>
        <c:auto val="1"/>
        <c:lblAlgn val="ctr"/>
        <c:lblOffset val="100"/>
        <c:noMultiLvlLbl val="0"/>
      </c:catAx>
      <c:valAx>
        <c:axId val="773080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06470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[图表.xlsx]Sheet5!$A$2</c:f>
              <c:strCache>
                <c:ptCount val="1"/>
                <c:pt idx="0">
                  <c:v>支出</c:v>
                </c:pt>
              </c:strCache>
            </c:strRef>
          </c:tx>
          <c:spPr>
            <a:solidFill>
              <a:schemeClr val="accent1"/>
            </a:solidFill>
            <a:ln>
              <a:noFill/>
            </a:ln>
            <a:effectLst/>
          </c:spPr>
          <c:invertIfNegative val="0"/>
          <c:dLbls>
            <c:delete val="1"/>
          </c:dLbls>
          <c:cat>
            <c:strRef>
              <c:f>[图表.xlsx]Sheet5!$B$1:$C$1</c:f>
              <c:strCache>
                <c:ptCount val="2"/>
                <c:pt idx="0">
                  <c:v>2023年</c:v>
                </c:pt>
                <c:pt idx="1">
                  <c:v>2024年</c:v>
                </c:pt>
              </c:strCache>
            </c:strRef>
          </c:cat>
          <c:val>
            <c:numRef>
              <c:f>[图表.xlsx]Sheet5!$B$2:$C$2</c:f>
              <c:numCache>
                <c:formatCode>General</c:formatCode>
                <c:ptCount val="2"/>
                <c:pt idx="0">
                  <c:v>3985.24</c:v>
                </c:pt>
                <c:pt idx="1">
                  <c:v>3684.05</c:v>
                </c:pt>
              </c:numCache>
            </c:numRef>
          </c:val>
        </c:ser>
        <c:dLbls>
          <c:showLegendKey val="0"/>
          <c:showVal val="0"/>
          <c:showCatName val="0"/>
          <c:showSerName val="0"/>
          <c:showPercent val="0"/>
          <c:showBubbleSize val="0"/>
        </c:dLbls>
        <c:gapWidth val="219"/>
        <c:overlap val="-27"/>
        <c:axId val="668528908"/>
        <c:axId val="996199252"/>
      </c:barChart>
      <c:catAx>
        <c:axId val="6685289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6199252"/>
        <c:crosses val="autoZero"/>
        <c:auto val="1"/>
        <c:lblAlgn val="ctr"/>
        <c:lblOffset val="100"/>
        <c:noMultiLvlLbl val="0"/>
      </c:catAx>
      <c:valAx>
        <c:axId val="9961992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85289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[图表.xlsx]Sheet6!$A$1:$A$7</c:f>
              <c:strCache>
                <c:ptCount val="7"/>
                <c:pt idx="0">
                  <c:v>一般公共服务支出</c:v>
                </c:pt>
                <c:pt idx="1">
                  <c:v>社会保障和就业支出</c:v>
                </c:pt>
                <c:pt idx="2">
                  <c:v>卫生健康支出</c:v>
                </c:pt>
                <c:pt idx="3">
                  <c:v>节能环保支出</c:v>
                </c:pt>
                <c:pt idx="4">
                  <c:v>城乡社区支出</c:v>
                </c:pt>
                <c:pt idx="5">
                  <c:v>农林水支出</c:v>
                </c:pt>
                <c:pt idx="6">
                  <c:v>住房保障支出</c:v>
                </c:pt>
              </c:strCache>
            </c:strRef>
          </c:cat>
          <c:val>
            <c:numRef>
              <c:f>[图表.xlsx]Sheet6!$B$1:$B$7</c:f>
              <c:numCache>
                <c:formatCode>General</c:formatCode>
                <c:ptCount val="7"/>
                <c:pt idx="0">
                  <c:v>1655.52</c:v>
                </c:pt>
                <c:pt idx="1">
                  <c:v>315.23</c:v>
                </c:pt>
                <c:pt idx="2">
                  <c:v>62.39</c:v>
                </c:pt>
                <c:pt idx="3">
                  <c:v>23.36</c:v>
                </c:pt>
                <c:pt idx="4">
                  <c:v>37.77</c:v>
                </c:pt>
                <c:pt idx="5">
                  <c:v>1441.6</c:v>
                </c:pt>
                <c:pt idx="6">
                  <c:v>148.16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[图表.xlsx]Sheet6!$J$2</c:f>
              <c:strCache>
                <c:ptCount val="1"/>
                <c:pt idx="0">
                  <c:v>2024年</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[图表.xlsx]Sheet6!$K$1:$M$1</c:f>
              <c:strCache>
                <c:ptCount val="3"/>
                <c:pt idx="0">
                  <c:v>因公出国（境）费</c:v>
                </c:pt>
                <c:pt idx="1">
                  <c:v>公务接待费</c:v>
                </c:pt>
                <c:pt idx="2">
                  <c:v>公务用车购置及运行维护费</c:v>
                </c:pt>
              </c:strCache>
            </c:strRef>
          </c:cat>
          <c:val>
            <c:numRef>
              <c:f>[图表.xlsx]Sheet6!$K$2:$M$2</c:f>
              <c:numCache>
                <c:formatCode>General</c:formatCode>
                <c:ptCount val="3"/>
                <c:pt idx="0">
                  <c:v>0</c:v>
                </c:pt>
                <c:pt idx="1">
                  <c:v>0</c:v>
                </c:pt>
                <c:pt idx="2">
                  <c:v>92045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23</TotalTime>
  <ScaleCrop>false</ScaleCrop>
  <LinksUpToDate>false</LinksUpToDate>
  <CharactersWithSpaces>8692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Administrator</cp:lastModifiedBy>
  <cp:lastPrinted>2025-08-06T17:34:00Z</cp:lastPrinted>
  <dcterms:modified xsi:type="dcterms:W3CDTF">2025-09-09T07:13:48Z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04787F2533EB45DC91BCDE4AB213247F</vt:lpwstr>
  </property>
</Properties>
</file>