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8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shd w:val="clear" w:color="auto" w:fill="FFFFFF"/>
        <w:spacing w:line="580" w:lineRule="exact"/>
        <w:ind w:left="1958" w:leftChars="304" w:hanging="1320" w:hangingChars="300"/>
        <w:jc w:val="center"/>
        <w:rPr>
          <w:rFonts w:eastAsia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eastAsia="方正小标宋简体"/>
          <w:kern w:val="0"/>
          <w:sz w:val="44"/>
          <w:szCs w:val="44"/>
          <w:shd w:val="clear" w:color="auto" w:fill="FFFFFF"/>
          <w:lang w:bidi="ar"/>
        </w:rPr>
        <w:t>市对县“百日攻坚”动态监测及考评内容</w:t>
      </w:r>
    </w:p>
    <w:p>
      <w:pPr>
        <w:shd w:val="clear" w:color="auto" w:fill="FFFFFF"/>
        <w:spacing w:line="580" w:lineRule="exact"/>
        <w:ind w:firstLine="640" w:firstLineChars="200"/>
        <w:jc w:val="left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3"/>
        <w:tblW w:w="1464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145"/>
        <w:gridCol w:w="9991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考核内容</w:t>
            </w:r>
          </w:p>
        </w:tc>
        <w:tc>
          <w:tcPr>
            <w:tcW w:w="9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报送范围及认定依据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新签约项目</w:t>
            </w:r>
          </w:p>
        </w:tc>
        <w:tc>
          <w:tcPr>
            <w:tcW w:w="9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指2022年5月10日至8月17日期间签约的正式投资合同项目。认定依据：提供签约项目合同原件扫描件。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落地、开工项目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，</w:t>
            </w:r>
            <w:r>
              <w:rPr>
                <w:rFonts w:eastAsia="仿宋_GB2312"/>
                <w:color w:val="000000"/>
                <w:kern w:val="0"/>
                <w:sz w:val="24"/>
              </w:rPr>
              <w:t>新增到位资金</w:t>
            </w:r>
          </w:p>
        </w:tc>
        <w:tc>
          <w:tcPr>
            <w:tcW w:w="9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指2022年5月10日至8月17日期间落地、开工的投资项目。认定依据：提供市场监管部门在该期间发放的营业执照的复印件、住建部门发放的施工许可证复印件、统计部门项目固定资产投资数据盖章证明材料。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专场推介会次数</w:t>
            </w:r>
          </w:p>
        </w:tc>
        <w:tc>
          <w:tcPr>
            <w:tcW w:w="9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指2022年5月10日至8月17日期间，组织召开的专场推介会次数。认定依据：提供经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县委、县政府</w:t>
            </w:r>
            <w:r>
              <w:rPr>
                <w:rFonts w:eastAsia="仿宋_GB2312"/>
                <w:color w:val="000000"/>
                <w:kern w:val="0"/>
                <w:sz w:val="24"/>
              </w:rPr>
              <w:t>分管领导签字审定的活动方案，会场现场图片或新闻媒体报道等佐证资料。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县委、县政府</w:t>
            </w:r>
            <w:r>
              <w:rPr>
                <w:rFonts w:eastAsia="仿宋_GB2312"/>
                <w:color w:val="000000"/>
                <w:kern w:val="0"/>
                <w:sz w:val="24"/>
              </w:rPr>
              <w:t>领导带队招商次数、走访对接企业数量</w:t>
            </w:r>
          </w:p>
        </w:tc>
        <w:tc>
          <w:tcPr>
            <w:tcW w:w="9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指2022年5月10日至8月17日期间，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县委、县政府</w:t>
            </w:r>
            <w:r>
              <w:rPr>
                <w:rFonts w:eastAsia="仿宋_GB2312"/>
                <w:color w:val="000000"/>
                <w:kern w:val="0"/>
                <w:sz w:val="24"/>
              </w:rPr>
              <w:t>领导带队到乐山市外或“请进来”开展招商引资工作次数、走访对接企业数量。认定依据：提供政府门户网站发布的信息、新闻媒体报道或招商现场照片等佐证资料。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上一季行动签约项目履行情况</w:t>
            </w:r>
          </w:p>
        </w:tc>
        <w:tc>
          <w:tcPr>
            <w:tcW w:w="9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指制造业“百日攻坚”行动（第一季）签约并纳入省经济合作局“四川省项目管理系统”统计的项目履约情况。认定依据：提供营业执照、施工许可证、固定资产投资数据证明。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工作动态简报</w:t>
            </w:r>
          </w:p>
        </w:tc>
        <w:tc>
          <w:tcPr>
            <w:tcW w:w="9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每周报送2篇动态简报。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00000287" w:usb1="00000000" w:usb2="00000000" w:usb3="00000000" w:csb0="2000009F" w:csb1="DFD7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F96BE"/>
    <w:rsid w:val="677F96BE"/>
    <w:rsid w:val="7F9F6449"/>
    <w:rsid w:val="F7BB5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2022-06-08T18:04:00Z</dcterms:created>
  <dc:creator>是梦～～不是命</dc:creator>
  <cp:lastModifiedBy>是梦～～不是命</cp:lastModifiedBy>
  <dcterms:modified xsi:type="dcterms:W3CDTF">2022-08-03T17:58:13Z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