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20705">
      <w:pPr>
        <w:keepNext w:val="0"/>
        <w:keepLines w:val="0"/>
        <w:pageBreakBefore w:val="0"/>
        <w:widowControl w:val="0"/>
        <w:kinsoku/>
        <w:wordWrap/>
        <w:overflowPunct/>
        <w:topLinePunct w:val="0"/>
        <w:autoSpaceDE w:val="0"/>
        <w:autoSpaceDN w:val="0"/>
        <w:bidi w:val="0"/>
        <w:adjustRightInd/>
        <w:snapToGrid/>
        <w:spacing w:line="64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0D658980">
      <w:pPr>
        <w:pStyle w:val="5"/>
        <w:spacing w:before="0" w:beforeAutospacing="0" w:after="0" w:afterAutospacing="0" w:line="560" w:lineRule="exact"/>
        <w:jc w:val="center"/>
        <w:textAlignment w:val="baseline"/>
        <w:rPr>
          <w:rFonts w:hint="eastAsia" w:ascii="方正小标宋简体" w:hAnsi="方正小标宋简体" w:eastAsia="方正小标宋简体" w:cs="方正小标宋简体"/>
          <w:color w:val="333333"/>
          <w:sz w:val="44"/>
          <w:szCs w:val="44"/>
          <w:shd w:val="clear" w:color="auto" w:fill="FFFFFF"/>
          <w:lang w:val="en-US" w:eastAsia="zh-CN"/>
        </w:rPr>
      </w:pPr>
      <w:bookmarkStart w:id="0" w:name="_GoBack"/>
      <w:r>
        <w:rPr>
          <w:rFonts w:hint="eastAsia" w:ascii="方正小标宋简体" w:hAnsi="方正小标宋简体" w:eastAsia="方正小标宋简体" w:cs="方正小标宋简体"/>
          <w:color w:val="333333"/>
          <w:sz w:val="44"/>
          <w:szCs w:val="44"/>
          <w:shd w:val="clear" w:color="auto" w:fill="FFFFFF"/>
          <w:lang w:val="en-US" w:eastAsia="zh-CN"/>
        </w:rPr>
        <w:t>井研县</w:t>
      </w:r>
      <w:r>
        <w:rPr>
          <w:rFonts w:hint="eastAsia" w:ascii="方正小标宋简体" w:hAnsi="方正小标宋简体" w:eastAsia="方正小标宋简体" w:cs="方正小标宋简体"/>
          <w:color w:val="333333"/>
          <w:sz w:val="44"/>
          <w:szCs w:val="44"/>
          <w:shd w:val="clear" w:color="auto" w:fill="FFFFFF"/>
        </w:rPr>
        <w:t>烟花爆竹零售经营布点规划</w:t>
      </w:r>
      <w:r>
        <w:rPr>
          <w:rFonts w:hint="eastAsia" w:ascii="方正小标宋简体" w:hAnsi="方正小标宋简体" w:eastAsia="方正小标宋简体" w:cs="方正小标宋简体"/>
          <w:color w:val="333333"/>
          <w:sz w:val="44"/>
          <w:szCs w:val="44"/>
          <w:shd w:val="clear" w:color="auto" w:fill="FFFFFF"/>
          <w:lang w:val="en-US" w:eastAsia="zh-CN"/>
        </w:rPr>
        <w:t>方案</w:t>
      </w:r>
    </w:p>
    <w:p w14:paraId="6D0FF6FD">
      <w:pPr>
        <w:pStyle w:val="5"/>
        <w:spacing w:before="0" w:beforeAutospacing="0" w:after="0" w:afterAutospacing="0" w:line="560" w:lineRule="exact"/>
        <w:jc w:val="center"/>
        <w:textAlignment w:val="baseline"/>
        <w:rPr>
          <w:rFonts w:hint="eastAsia" w:ascii="方正小标宋简体" w:hAnsi="方正小标宋简体" w:eastAsia="方正小标宋简体" w:cs="方正小标宋简体"/>
          <w:color w:val="333333"/>
          <w:sz w:val="44"/>
          <w:szCs w:val="44"/>
          <w:shd w:val="clear" w:color="auto" w:fill="FFFFFF"/>
        </w:rPr>
      </w:pPr>
      <w:r>
        <w:rPr>
          <w:rFonts w:hint="eastAsia" w:ascii="楷体_GB2312" w:hAnsi="楷体_GB2312" w:eastAsia="楷体_GB2312" w:cs="楷体_GB2312"/>
          <w:color w:val="333333"/>
          <w:sz w:val="32"/>
          <w:szCs w:val="32"/>
          <w:shd w:val="clear" w:color="auto" w:fill="FFFFFF"/>
        </w:rPr>
        <w:t>（</w:t>
      </w:r>
      <w:r>
        <w:rPr>
          <w:rFonts w:hint="eastAsia" w:ascii="楷体_GB2312" w:hAnsi="楷体_GB2312" w:eastAsia="楷体_GB2312" w:cs="楷体_GB2312"/>
          <w:color w:val="333333"/>
          <w:sz w:val="32"/>
          <w:szCs w:val="32"/>
          <w:shd w:val="clear" w:color="auto" w:fill="FFFFFF"/>
          <w:lang w:val="en-US" w:eastAsia="zh-CN"/>
        </w:rPr>
        <w:t>征求意见稿</w:t>
      </w:r>
      <w:r>
        <w:rPr>
          <w:rFonts w:hint="eastAsia" w:ascii="楷体_GB2312" w:hAnsi="楷体_GB2312" w:eastAsia="楷体_GB2312" w:cs="楷体_GB2312"/>
          <w:color w:val="333333"/>
          <w:sz w:val="32"/>
          <w:szCs w:val="32"/>
          <w:shd w:val="clear" w:color="auto" w:fill="FFFFFF"/>
        </w:rPr>
        <w:t>）</w:t>
      </w:r>
    </w:p>
    <w:bookmarkEnd w:id="0"/>
    <w:p w14:paraId="3597875C">
      <w:pPr>
        <w:ind w:firstLine="640" w:firstLineChars="200"/>
        <w:rPr>
          <w:rFonts w:ascii="仿宋_GB2312" w:hAnsi="宋体" w:eastAsia="仿宋_GB2312" w:cs="仿宋_GB2312"/>
          <w:i w:val="0"/>
          <w:iCs w:val="0"/>
          <w:caps w:val="0"/>
          <w:color w:val="333333"/>
          <w:spacing w:val="0"/>
          <w:sz w:val="32"/>
          <w:szCs w:val="32"/>
          <w:shd w:val="clear" w:fill="FFFFFF"/>
        </w:rPr>
      </w:pPr>
      <w:r>
        <w:rPr>
          <w:rFonts w:ascii="仿宋_GB2312" w:hAnsi="宋体" w:eastAsia="仿宋_GB2312" w:cs="仿宋_GB2312"/>
          <w:i w:val="0"/>
          <w:iCs w:val="0"/>
          <w:caps w:val="0"/>
          <w:color w:val="333333"/>
          <w:spacing w:val="0"/>
          <w:sz w:val="32"/>
          <w:szCs w:val="32"/>
          <w:shd w:val="clear" w:fill="FFFFFF"/>
        </w:rPr>
        <w:t>为统筹兼顾我县经济社会发展、人民生活需求和安全生产要求，切实加强烟花爆竹经营安全监管，营造稳定、合规、有序的市场环境。结合我县实际，特制定本</w:t>
      </w:r>
      <w:r>
        <w:rPr>
          <w:rFonts w:hint="eastAsia" w:ascii="仿宋_GB2312" w:hAnsi="微软雅黑" w:eastAsia="仿宋_GB2312" w:cs="仿宋_GB2312"/>
          <w:i w:val="0"/>
          <w:iCs w:val="0"/>
          <w:caps w:val="0"/>
          <w:color w:val="333333"/>
          <w:spacing w:val="0"/>
          <w:sz w:val="32"/>
          <w:szCs w:val="32"/>
          <w:shd w:val="clear" w:fill="FFFFFF"/>
        </w:rPr>
        <w:t>烟花爆竹</w:t>
      </w:r>
      <w:r>
        <w:rPr>
          <w:rFonts w:hint="eastAsia" w:ascii="仿宋_GB2312" w:hAnsi="微软雅黑" w:eastAsia="仿宋_GB2312" w:cs="仿宋_GB2312"/>
          <w:i w:val="0"/>
          <w:iCs w:val="0"/>
          <w:caps w:val="0"/>
          <w:color w:val="333333"/>
          <w:spacing w:val="0"/>
          <w:sz w:val="32"/>
          <w:szCs w:val="32"/>
          <w:shd w:val="clear" w:fill="FFFFFF"/>
          <w:lang w:val="en-US" w:eastAsia="zh-CN"/>
        </w:rPr>
        <w:t>经营（</w:t>
      </w:r>
      <w:r>
        <w:rPr>
          <w:rFonts w:hint="eastAsia" w:ascii="仿宋_GB2312" w:hAnsi="微软雅黑" w:eastAsia="仿宋_GB2312" w:cs="仿宋_GB2312"/>
          <w:i w:val="0"/>
          <w:iCs w:val="0"/>
          <w:caps w:val="0"/>
          <w:color w:val="333333"/>
          <w:spacing w:val="0"/>
          <w:sz w:val="32"/>
          <w:szCs w:val="32"/>
          <w:shd w:val="clear" w:fill="FFFFFF"/>
        </w:rPr>
        <w:t>零售</w:t>
      </w:r>
      <w:r>
        <w:rPr>
          <w:rFonts w:hint="eastAsia" w:ascii="仿宋_GB2312" w:hAnsi="微软雅黑" w:eastAsia="仿宋_GB2312" w:cs="仿宋_GB2312"/>
          <w:i w:val="0"/>
          <w:iCs w:val="0"/>
          <w:caps w:val="0"/>
          <w:color w:val="333333"/>
          <w:spacing w:val="0"/>
          <w:sz w:val="32"/>
          <w:szCs w:val="32"/>
          <w:shd w:val="clear" w:fill="FFFFFF"/>
          <w:lang w:val="en-US" w:eastAsia="zh-CN"/>
        </w:rPr>
        <w:t>）</w:t>
      </w:r>
      <w:r>
        <w:rPr>
          <w:rFonts w:hint="eastAsia" w:ascii="仿宋_GB2312" w:hAnsi="微软雅黑" w:eastAsia="仿宋_GB2312" w:cs="仿宋_GB2312"/>
          <w:i w:val="0"/>
          <w:iCs w:val="0"/>
          <w:caps w:val="0"/>
          <w:color w:val="333333"/>
          <w:spacing w:val="0"/>
          <w:sz w:val="32"/>
          <w:szCs w:val="32"/>
          <w:shd w:val="clear" w:fill="FFFFFF"/>
        </w:rPr>
        <w:t>店</w:t>
      </w:r>
      <w:r>
        <w:rPr>
          <w:rFonts w:ascii="仿宋_GB2312" w:hAnsi="宋体" w:eastAsia="仿宋_GB2312" w:cs="仿宋_GB2312"/>
          <w:i w:val="0"/>
          <w:iCs w:val="0"/>
          <w:caps w:val="0"/>
          <w:color w:val="333333"/>
          <w:spacing w:val="0"/>
          <w:sz w:val="32"/>
          <w:szCs w:val="32"/>
          <w:shd w:val="clear" w:fill="FFFFFF"/>
        </w:rPr>
        <w:t>布点规划方案。</w:t>
      </w:r>
    </w:p>
    <w:p w14:paraId="2B4D355B">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640" w:firstLineChars="200"/>
        <w:rPr>
          <w:rFonts w:hint="eastAsia" w:ascii="黑体" w:hAnsi="宋体" w:eastAsia="黑体" w:cs="黑体"/>
          <w:i w:val="0"/>
          <w:iCs w:val="0"/>
          <w:caps w:val="0"/>
          <w:color w:val="333333"/>
          <w:spacing w:val="0"/>
          <w:sz w:val="32"/>
          <w:szCs w:val="32"/>
          <w:shd w:val="clear" w:fill="FFFFFF"/>
        </w:rPr>
      </w:pPr>
      <w:r>
        <w:rPr>
          <w:rFonts w:hint="eastAsia" w:ascii="黑体" w:eastAsia="黑体" w:cs="黑体"/>
          <w:i w:val="0"/>
          <w:iCs w:val="0"/>
          <w:caps w:val="0"/>
          <w:color w:val="333333"/>
          <w:spacing w:val="0"/>
          <w:sz w:val="32"/>
          <w:szCs w:val="32"/>
          <w:shd w:val="clear" w:fill="FFFFFF"/>
          <w:lang w:val="en-US" w:eastAsia="zh-CN"/>
        </w:rPr>
        <w:t>一、</w:t>
      </w:r>
      <w:r>
        <w:rPr>
          <w:rFonts w:hint="eastAsia" w:ascii="黑体" w:hAnsi="宋体" w:eastAsia="黑体" w:cs="黑体"/>
          <w:i w:val="0"/>
          <w:iCs w:val="0"/>
          <w:caps w:val="0"/>
          <w:color w:val="333333"/>
          <w:spacing w:val="0"/>
          <w:sz w:val="32"/>
          <w:szCs w:val="32"/>
          <w:shd w:val="clear" w:fill="FFFFFF"/>
        </w:rPr>
        <w:t>规划依据</w:t>
      </w:r>
    </w:p>
    <w:p w14:paraId="4FED44F9">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640" w:firstLineChars="200"/>
        <w:rPr>
          <w:rFonts w:ascii="仿宋_GB2312" w:hAnsi="微软雅黑" w:eastAsia="仿宋_GB2312" w:cs="仿宋_GB2312"/>
          <w:i w:val="0"/>
          <w:iCs w:val="0"/>
          <w:caps w:val="0"/>
          <w:color w:val="333333"/>
          <w:spacing w:val="0"/>
          <w:sz w:val="32"/>
          <w:szCs w:val="32"/>
          <w:shd w:val="clear" w:fill="FFFFFF"/>
        </w:rPr>
      </w:pPr>
      <w:r>
        <w:rPr>
          <w:rFonts w:ascii="仿宋_GB2312" w:hAnsi="微软雅黑" w:eastAsia="仿宋_GB2312" w:cs="仿宋_GB2312"/>
          <w:i w:val="0"/>
          <w:iCs w:val="0"/>
          <w:caps w:val="0"/>
          <w:color w:val="333333"/>
          <w:spacing w:val="0"/>
          <w:sz w:val="32"/>
          <w:szCs w:val="32"/>
          <w:shd w:val="clear" w:fill="FFFFFF"/>
        </w:rPr>
        <w:t>《</w:t>
      </w:r>
      <w:r>
        <w:rPr>
          <w:rFonts w:hint="eastAsia" w:ascii="仿宋_GB2312" w:hAnsi="微软雅黑" w:eastAsia="仿宋_GB2312" w:cs="仿宋_GB2312"/>
          <w:i w:val="0"/>
          <w:iCs w:val="0"/>
          <w:caps w:val="0"/>
          <w:color w:val="333333"/>
          <w:spacing w:val="0"/>
          <w:sz w:val="32"/>
          <w:szCs w:val="32"/>
          <w:shd w:val="clear" w:fill="FFFFFF"/>
          <w:lang w:val="en-US" w:eastAsia="zh-CN"/>
        </w:rPr>
        <w:t>中华人民共和国</w:t>
      </w:r>
      <w:r>
        <w:rPr>
          <w:rFonts w:ascii="仿宋_GB2312" w:hAnsi="微软雅黑" w:eastAsia="仿宋_GB2312" w:cs="仿宋_GB2312"/>
          <w:i w:val="0"/>
          <w:iCs w:val="0"/>
          <w:caps w:val="0"/>
          <w:color w:val="333333"/>
          <w:spacing w:val="0"/>
          <w:sz w:val="32"/>
          <w:szCs w:val="32"/>
          <w:shd w:val="clear" w:fill="FFFFFF"/>
        </w:rPr>
        <w:t>安全生产法》</w:t>
      </w:r>
    </w:p>
    <w:p w14:paraId="1C5E7DD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leftChars="0" w:right="-525" w:rightChars="-250" w:firstLine="640" w:firstLineChars="200"/>
        <w:textAlignment w:val="auto"/>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《烟花爆竹安全管理条例》（国务院令第455号 2016年修改）</w:t>
      </w:r>
    </w:p>
    <w:p w14:paraId="6880BF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leftChars="0" w:right="-525" w:rightChars="-250" w:firstLine="640" w:firstLineChars="200"/>
        <w:textAlignment w:val="auto"/>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《烟花爆竹经营许可实施办法》（国家安全监管总局令第65号）</w:t>
      </w:r>
    </w:p>
    <w:p w14:paraId="2FCC1D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leftChars="0" w:right="-525" w:rightChars="-250" w:firstLine="640" w:firstLineChars="200"/>
        <w:textAlignment w:val="auto"/>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《烟花爆竹零售店（点）安全技术规范》（AQ4128－2019）</w:t>
      </w:r>
    </w:p>
    <w:p w14:paraId="66AB80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leftChars="0" w:right="-525" w:rightChars="-250" w:firstLine="640" w:firstLineChars="200"/>
        <w:textAlignment w:val="auto"/>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《烟花爆竹作业安全技术规程》（GB 11652-2012）</w:t>
      </w:r>
    </w:p>
    <w:p w14:paraId="621B6E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shd w:val="clear" w:fill="FFFFFF"/>
        </w:rPr>
        <w:t>二、布点规划原则</w:t>
      </w:r>
    </w:p>
    <w:p w14:paraId="785AD3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按照“保障安全、统一规划、合理布局、总量控制、适度竞争”的原则，综合考虑我县各镇</w:t>
      </w:r>
      <w:r>
        <w:rPr>
          <w:rFonts w:hint="eastAsia" w:ascii="仿宋_GB2312" w:hAnsi="微软雅黑" w:eastAsia="仿宋_GB2312" w:cs="仿宋_GB2312"/>
          <w:i w:val="0"/>
          <w:iCs w:val="0"/>
          <w:caps w:val="0"/>
          <w:color w:val="333333"/>
          <w:spacing w:val="0"/>
          <w:sz w:val="32"/>
          <w:szCs w:val="32"/>
          <w:shd w:val="clear" w:fill="FFFFFF"/>
          <w:lang w:eastAsia="zh-CN"/>
        </w:rPr>
        <w:t>（</w:t>
      </w:r>
      <w:r>
        <w:rPr>
          <w:rFonts w:hint="eastAsia" w:ascii="仿宋_GB2312" w:hAnsi="微软雅黑" w:eastAsia="仿宋_GB2312" w:cs="仿宋_GB2312"/>
          <w:i w:val="0"/>
          <w:iCs w:val="0"/>
          <w:caps w:val="0"/>
          <w:color w:val="333333"/>
          <w:spacing w:val="0"/>
          <w:sz w:val="32"/>
          <w:szCs w:val="32"/>
          <w:shd w:val="clear" w:fill="FFFFFF"/>
          <w:lang w:val="en-US" w:eastAsia="zh-CN"/>
        </w:rPr>
        <w:t>街道</w:t>
      </w:r>
      <w:r>
        <w:rPr>
          <w:rFonts w:hint="eastAsia" w:ascii="仿宋_GB2312" w:hAnsi="微软雅黑" w:eastAsia="仿宋_GB2312" w:cs="仿宋_GB2312"/>
          <w:i w:val="0"/>
          <w:iCs w:val="0"/>
          <w:caps w:val="0"/>
          <w:color w:val="333333"/>
          <w:spacing w:val="0"/>
          <w:sz w:val="32"/>
          <w:szCs w:val="32"/>
          <w:shd w:val="clear" w:fill="FFFFFF"/>
          <w:lang w:eastAsia="zh-CN"/>
        </w:rPr>
        <w:t>）</w:t>
      </w:r>
      <w:r>
        <w:rPr>
          <w:rFonts w:hint="eastAsia" w:ascii="仿宋_GB2312" w:hAnsi="微软雅黑" w:eastAsia="仿宋_GB2312" w:cs="仿宋_GB2312"/>
          <w:i w:val="0"/>
          <w:iCs w:val="0"/>
          <w:caps w:val="0"/>
          <w:color w:val="333333"/>
          <w:spacing w:val="0"/>
          <w:sz w:val="32"/>
          <w:szCs w:val="32"/>
          <w:shd w:val="clear" w:fill="FFFFFF"/>
        </w:rPr>
        <w:t>人口总量、区域面积、风俗习惯、经济消费能力等因素，结合历年烟花爆竹</w:t>
      </w:r>
      <w:r>
        <w:rPr>
          <w:rFonts w:hint="eastAsia" w:ascii="仿宋_GB2312" w:hAnsi="微软雅黑" w:eastAsia="仿宋_GB2312" w:cs="仿宋_GB2312"/>
          <w:i w:val="0"/>
          <w:iCs w:val="0"/>
          <w:caps w:val="0"/>
          <w:color w:val="333333"/>
          <w:spacing w:val="0"/>
          <w:sz w:val="32"/>
          <w:szCs w:val="32"/>
          <w:shd w:val="clear" w:fill="FFFFFF"/>
          <w:lang w:val="en-US" w:eastAsia="zh-CN"/>
        </w:rPr>
        <w:t>经营（</w:t>
      </w:r>
      <w:r>
        <w:rPr>
          <w:rFonts w:hint="eastAsia" w:ascii="仿宋_GB2312" w:hAnsi="微软雅黑" w:eastAsia="仿宋_GB2312" w:cs="仿宋_GB2312"/>
          <w:i w:val="0"/>
          <w:iCs w:val="0"/>
          <w:caps w:val="0"/>
          <w:color w:val="333333"/>
          <w:spacing w:val="0"/>
          <w:sz w:val="32"/>
          <w:szCs w:val="32"/>
          <w:shd w:val="clear" w:fill="FFFFFF"/>
        </w:rPr>
        <w:t>零售</w:t>
      </w:r>
      <w:r>
        <w:rPr>
          <w:rFonts w:hint="eastAsia" w:ascii="仿宋_GB2312" w:hAnsi="微软雅黑" w:eastAsia="仿宋_GB2312" w:cs="仿宋_GB2312"/>
          <w:i w:val="0"/>
          <w:iCs w:val="0"/>
          <w:caps w:val="0"/>
          <w:color w:val="333333"/>
          <w:spacing w:val="0"/>
          <w:sz w:val="32"/>
          <w:szCs w:val="32"/>
          <w:shd w:val="clear" w:fill="FFFFFF"/>
          <w:lang w:val="en-US" w:eastAsia="zh-CN"/>
        </w:rPr>
        <w:t>）</w:t>
      </w:r>
      <w:r>
        <w:rPr>
          <w:rFonts w:hint="eastAsia" w:ascii="仿宋_GB2312" w:hAnsi="微软雅黑" w:eastAsia="仿宋_GB2312" w:cs="仿宋_GB2312"/>
          <w:i w:val="0"/>
          <w:iCs w:val="0"/>
          <w:caps w:val="0"/>
          <w:color w:val="333333"/>
          <w:spacing w:val="0"/>
          <w:sz w:val="32"/>
          <w:szCs w:val="32"/>
          <w:shd w:val="clear" w:fill="FFFFFF"/>
        </w:rPr>
        <w:t>店分布情况，合理布局本县烟花爆竹</w:t>
      </w:r>
      <w:r>
        <w:rPr>
          <w:rFonts w:hint="eastAsia" w:ascii="仿宋_GB2312" w:hAnsi="微软雅黑" w:eastAsia="仿宋_GB2312" w:cs="仿宋_GB2312"/>
          <w:i w:val="0"/>
          <w:iCs w:val="0"/>
          <w:caps w:val="0"/>
          <w:color w:val="333333"/>
          <w:spacing w:val="0"/>
          <w:sz w:val="32"/>
          <w:szCs w:val="32"/>
          <w:shd w:val="clear" w:fill="FFFFFF"/>
          <w:lang w:val="en-US" w:eastAsia="zh-CN"/>
        </w:rPr>
        <w:t>经营（</w:t>
      </w:r>
      <w:r>
        <w:rPr>
          <w:rFonts w:hint="eastAsia" w:ascii="仿宋_GB2312" w:hAnsi="微软雅黑" w:eastAsia="仿宋_GB2312" w:cs="仿宋_GB2312"/>
          <w:i w:val="0"/>
          <w:iCs w:val="0"/>
          <w:caps w:val="0"/>
          <w:color w:val="333333"/>
          <w:spacing w:val="0"/>
          <w:sz w:val="32"/>
          <w:szCs w:val="32"/>
          <w:shd w:val="clear" w:fill="FFFFFF"/>
        </w:rPr>
        <w:t>零售</w:t>
      </w:r>
      <w:r>
        <w:rPr>
          <w:rFonts w:hint="eastAsia" w:ascii="仿宋_GB2312" w:hAnsi="微软雅黑" w:eastAsia="仿宋_GB2312" w:cs="仿宋_GB2312"/>
          <w:i w:val="0"/>
          <w:iCs w:val="0"/>
          <w:caps w:val="0"/>
          <w:color w:val="333333"/>
          <w:spacing w:val="0"/>
          <w:sz w:val="32"/>
          <w:szCs w:val="32"/>
          <w:shd w:val="clear" w:fill="FFFFFF"/>
          <w:lang w:val="en-US" w:eastAsia="zh-CN"/>
        </w:rPr>
        <w:t>）</w:t>
      </w:r>
      <w:r>
        <w:rPr>
          <w:rFonts w:hint="eastAsia" w:ascii="仿宋_GB2312" w:hAnsi="微软雅黑" w:eastAsia="仿宋_GB2312" w:cs="仿宋_GB2312"/>
          <w:i w:val="0"/>
          <w:iCs w:val="0"/>
          <w:caps w:val="0"/>
          <w:color w:val="333333"/>
          <w:spacing w:val="0"/>
          <w:sz w:val="32"/>
          <w:szCs w:val="32"/>
          <w:shd w:val="clear" w:fill="FFFFFF"/>
        </w:rPr>
        <w:t>店。</w:t>
      </w:r>
    </w:p>
    <w:p w14:paraId="621B605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shd w:val="clear" w:fill="FFFFFF"/>
        </w:rPr>
        <w:t>三、布点规划分布</w:t>
      </w:r>
    </w:p>
    <w:p w14:paraId="4DE036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lang w:val="en-US" w:eastAsia="zh-CN"/>
        </w:rPr>
        <w:t>全县</w:t>
      </w:r>
      <w:r>
        <w:rPr>
          <w:rFonts w:hint="eastAsia" w:ascii="仿宋_GB2312" w:hAnsi="微软雅黑" w:eastAsia="仿宋_GB2312" w:cs="仿宋_GB2312"/>
          <w:i w:val="0"/>
          <w:iCs w:val="0"/>
          <w:caps w:val="0"/>
          <w:color w:val="333333"/>
          <w:spacing w:val="0"/>
          <w:sz w:val="32"/>
          <w:szCs w:val="32"/>
          <w:shd w:val="clear" w:fill="FFFFFF"/>
        </w:rPr>
        <w:t>烟花爆竹经营（零售）</w:t>
      </w:r>
      <w:r>
        <w:rPr>
          <w:rFonts w:hint="eastAsia" w:ascii="仿宋_GB2312" w:hAnsi="微软雅黑" w:eastAsia="仿宋_GB2312" w:cs="仿宋_GB2312"/>
          <w:i w:val="0"/>
          <w:iCs w:val="0"/>
          <w:caps w:val="0"/>
          <w:color w:val="333333"/>
          <w:spacing w:val="0"/>
          <w:sz w:val="32"/>
          <w:szCs w:val="32"/>
          <w:shd w:val="clear" w:fill="FFFFFF"/>
          <w:lang w:val="en-US" w:eastAsia="zh-CN"/>
        </w:rPr>
        <w:t>店</w:t>
      </w:r>
      <w:r>
        <w:rPr>
          <w:rFonts w:hint="eastAsia" w:ascii="仿宋_GB2312" w:hAnsi="微软雅黑" w:eastAsia="仿宋_GB2312" w:cs="仿宋_GB2312"/>
          <w:i w:val="0"/>
          <w:iCs w:val="0"/>
          <w:caps w:val="0"/>
          <w:color w:val="333333"/>
          <w:spacing w:val="0"/>
          <w:sz w:val="32"/>
          <w:szCs w:val="32"/>
          <w:shd w:val="clear" w:fill="FFFFFF"/>
        </w:rPr>
        <w:t>规模控制在</w:t>
      </w:r>
      <w:r>
        <w:rPr>
          <w:rFonts w:hint="eastAsia" w:ascii="仿宋_GB2312" w:hAnsi="微软雅黑" w:eastAsia="仿宋_GB2312" w:cs="仿宋_GB2312"/>
          <w:i w:val="0"/>
          <w:iCs w:val="0"/>
          <w:caps w:val="0"/>
          <w:color w:val="333333"/>
          <w:spacing w:val="0"/>
          <w:sz w:val="32"/>
          <w:szCs w:val="32"/>
          <w:shd w:val="clear" w:fill="FFFFFF"/>
          <w:lang w:val="en-US" w:eastAsia="zh-CN"/>
        </w:rPr>
        <w:t>15</w:t>
      </w:r>
      <w:r>
        <w:rPr>
          <w:rFonts w:hint="eastAsia" w:ascii="仿宋_GB2312" w:hAnsi="微软雅黑" w:eastAsia="仿宋_GB2312" w:cs="仿宋_GB2312"/>
          <w:i w:val="0"/>
          <w:iCs w:val="0"/>
          <w:caps w:val="0"/>
          <w:color w:val="333333"/>
          <w:spacing w:val="0"/>
          <w:sz w:val="32"/>
          <w:szCs w:val="32"/>
          <w:shd w:val="clear" w:fill="FFFFFF"/>
        </w:rPr>
        <w:t>家。（具体详见《井研县烟花爆竹经营（零售）布点规划表》</w:t>
      </w:r>
      <w:r>
        <w:rPr>
          <w:rFonts w:hint="eastAsia" w:ascii="微软雅黑" w:hAnsi="微软雅黑" w:eastAsia="微软雅黑" w:cs="微软雅黑"/>
          <w:i w:val="0"/>
          <w:iCs w:val="0"/>
          <w:caps w:val="0"/>
          <w:color w:val="333333"/>
          <w:spacing w:val="0"/>
          <w:kern w:val="0"/>
          <w:sz w:val="27"/>
          <w:szCs w:val="27"/>
          <w:shd w:val="clear" w:fill="FFFFFF"/>
          <w:lang w:val="en-US" w:eastAsia="zh-CN" w:bidi="ar"/>
        </w:rPr>
        <w:drawing>
          <wp:inline distT="0" distB="0" distL="114300" distR="114300">
            <wp:extent cx="304800" cy="304800"/>
            <wp:effectExtent l="0" t="0" r="0" b="0"/>
            <wp:docPr id="1" name="图片 1" descr="背景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背景照片"/>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14:paraId="62D1C3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微软雅黑" w:hAnsi="微软雅黑" w:eastAsia="微软雅黑" w:cs="微软雅黑"/>
          <w:i w:val="0"/>
          <w:iCs w:val="0"/>
          <w:caps w:val="0"/>
          <w:color w:val="333333"/>
          <w:spacing w:val="0"/>
          <w:sz w:val="27"/>
          <w:szCs w:val="27"/>
        </w:rPr>
      </w:pPr>
      <w:r>
        <w:rPr>
          <w:rFonts w:hint="eastAsia" w:ascii="黑体" w:eastAsia="黑体" w:cs="黑体"/>
          <w:i w:val="0"/>
          <w:iCs w:val="0"/>
          <w:caps w:val="0"/>
          <w:color w:val="333333"/>
          <w:spacing w:val="0"/>
          <w:sz w:val="32"/>
          <w:szCs w:val="32"/>
          <w:shd w:val="clear" w:fill="FFFFFF"/>
          <w:lang w:val="en-US" w:eastAsia="zh-CN"/>
        </w:rPr>
        <w:t>四</w:t>
      </w:r>
      <w:r>
        <w:rPr>
          <w:rFonts w:hint="eastAsia" w:ascii="黑体" w:hAnsi="宋体" w:eastAsia="黑体" w:cs="黑体"/>
          <w:i w:val="0"/>
          <w:iCs w:val="0"/>
          <w:caps w:val="0"/>
          <w:color w:val="333333"/>
          <w:spacing w:val="0"/>
          <w:sz w:val="32"/>
          <w:szCs w:val="32"/>
          <w:shd w:val="clear" w:fill="FFFFFF"/>
        </w:rPr>
        <w:t>、零售店重点安全要求</w:t>
      </w:r>
    </w:p>
    <w:p w14:paraId="31F7E8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1.烟花爆竹零售店经营需落实“五个严禁”及“三个务必”八项硬措施。五个严禁：严禁下店上宅（不得与居住场所同楼）、严禁超量储存（不超许可证核定储量）、严禁产品摆放到店外（店外不摆放、不销售）、严禁在零售店周边100米内燃放/试放、严禁在禁放区及人员密集场所燃放；三个务必：务必专人现场盯守、务必严控进店人数、务必张贴“五个严禁”警示标语及务必履行责任事项。</w:t>
      </w:r>
    </w:p>
    <w:p w14:paraId="7378D7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2.烟花爆竹经营零售店应选择在消防车辆可以顺畅到达的区域。</w:t>
      </w:r>
    </w:p>
    <w:p w14:paraId="3986BD6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3.烟花爆竹</w:t>
      </w:r>
      <w:r>
        <w:rPr>
          <w:rFonts w:hint="eastAsia" w:ascii="仿宋_GB2312" w:hAnsi="微软雅黑" w:eastAsia="仿宋_GB2312" w:cs="仿宋_GB2312"/>
          <w:i w:val="0"/>
          <w:iCs w:val="0"/>
          <w:caps w:val="0"/>
          <w:color w:val="333333"/>
          <w:spacing w:val="0"/>
          <w:sz w:val="32"/>
          <w:szCs w:val="32"/>
          <w:shd w:val="clear" w:fill="FFFFFF"/>
          <w:lang w:val="en-US" w:eastAsia="zh-CN"/>
        </w:rPr>
        <w:t>产品</w:t>
      </w:r>
      <w:r>
        <w:rPr>
          <w:rFonts w:hint="eastAsia" w:ascii="仿宋_GB2312" w:hAnsi="微软雅黑" w:eastAsia="仿宋_GB2312" w:cs="仿宋_GB2312"/>
          <w:i w:val="0"/>
          <w:iCs w:val="0"/>
          <w:caps w:val="0"/>
          <w:color w:val="333333"/>
          <w:spacing w:val="0"/>
          <w:sz w:val="32"/>
          <w:szCs w:val="32"/>
          <w:shd w:val="clear" w:fill="FFFFFF"/>
        </w:rPr>
        <w:t>必须由烟花爆竹批发企业</w:t>
      </w:r>
      <w:r>
        <w:rPr>
          <w:rFonts w:hint="eastAsia" w:ascii="仿宋_GB2312" w:hAnsi="微软雅黑" w:eastAsia="仿宋_GB2312" w:cs="仿宋_GB2312"/>
          <w:i w:val="0"/>
          <w:iCs w:val="0"/>
          <w:caps w:val="0"/>
          <w:color w:val="333333"/>
          <w:spacing w:val="0"/>
          <w:sz w:val="32"/>
          <w:szCs w:val="32"/>
          <w:shd w:val="clear" w:fill="FFFFFF"/>
          <w:lang w:val="en-US" w:eastAsia="zh-CN"/>
        </w:rPr>
        <w:t>使用防爆车辆</w:t>
      </w:r>
      <w:r>
        <w:rPr>
          <w:rFonts w:hint="eastAsia" w:ascii="仿宋_GB2312" w:hAnsi="微软雅黑" w:eastAsia="仿宋_GB2312" w:cs="仿宋_GB2312"/>
          <w:i w:val="0"/>
          <w:iCs w:val="0"/>
          <w:caps w:val="0"/>
          <w:color w:val="333333"/>
          <w:spacing w:val="0"/>
          <w:sz w:val="32"/>
          <w:szCs w:val="32"/>
          <w:shd w:val="clear" w:fill="FFFFFF"/>
        </w:rPr>
        <w:t>统一配送到烟花爆竹零售店，坚决杜绝使用客运车辆和无运输资质的车辆运输烟花爆竹。</w:t>
      </w:r>
    </w:p>
    <w:p w14:paraId="2CB10F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4.安全距离要求：烟花爆竹零售店周边100米范围内无加油站等易燃易爆危险物品生产、储存设施；烟花爆竹零售店周边100米范围内无学校、幼儿园、医院、集贸市场等人员聚集场所；烟花爆竹零售店之间的距离，不得少于50米。</w:t>
      </w:r>
    </w:p>
    <w:p w14:paraId="08571F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5.烟花爆竹经营范围仅限当地许可销售的C、D级烟花爆竹。</w:t>
      </w:r>
    </w:p>
    <w:p w14:paraId="0385F4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6.其他烟花爆竹零售店选址条件、安全要求、经营要求详见《烟花爆竹零售店（点）安全技术规范》（AQ4128－2019）、《烟花爆竹</w:t>
      </w:r>
      <w:r>
        <w:rPr>
          <w:rFonts w:hint="default" w:ascii="仿宋_GB2312" w:hAnsi="微软雅黑" w:eastAsia="仿宋_GB2312" w:cs="仿宋_GB2312"/>
          <w:i w:val="0"/>
          <w:iCs w:val="0"/>
          <w:caps w:val="0"/>
          <w:color w:val="333333"/>
          <w:spacing w:val="0"/>
          <w:sz w:val="32"/>
          <w:szCs w:val="32"/>
          <w:shd w:val="clear" w:fill="FFFFFF"/>
        </w:rPr>
        <w:t>经营许可实施办法</w:t>
      </w:r>
      <w:r>
        <w:rPr>
          <w:rFonts w:hint="eastAsia" w:ascii="仿宋_GB2312" w:hAnsi="微软雅黑" w:eastAsia="仿宋_GB2312" w:cs="仿宋_GB2312"/>
          <w:i w:val="0"/>
          <w:iCs w:val="0"/>
          <w:caps w:val="0"/>
          <w:color w:val="333333"/>
          <w:spacing w:val="0"/>
          <w:sz w:val="32"/>
          <w:szCs w:val="32"/>
          <w:shd w:val="clear" w:fill="FFFFFF"/>
        </w:rPr>
        <w:t>》（国家安全监督总局令第</w:t>
      </w:r>
      <w:r>
        <w:rPr>
          <w:rFonts w:hint="default" w:ascii="仿宋_GB2312" w:hAnsi="微软雅黑" w:eastAsia="仿宋_GB2312" w:cs="仿宋_GB2312"/>
          <w:i w:val="0"/>
          <w:iCs w:val="0"/>
          <w:caps w:val="0"/>
          <w:color w:val="333333"/>
          <w:spacing w:val="0"/>
          <w:sz w:val="32"/>
          <w:szCs w:val="32"/>
          <w:shd w:val="clear" w:fill="FFFFFF"/>
        </w:rPr>
        <w:t>65</w:t>
      </w:r>
      <w:r>
        <w:rPr>
          <w:rFonts w:hint="eastAsia" w:ascii="仿宋_GB2312" w:hAnsi="微软雅黑" w:eastAsia="仿宋_GB2312" w:cs="仿宋_GB2312"/>
          <w:i w:val="0"/>
          <w:iCs w:val="0"/>
          <w:caps w:val="0"/>
          <w:color w:val="333333"/>
          <w:spacing w:val="0"/>
          <w:sz w:val="32"/>
          <w:szCs w:val="32"/>
          <w:shd w:val="clear" w:fill="FFFFFF"/>
        </w:rPr>
        <w:t>号）等相关规范。</w:t>
      </w:r>
    </w:p>
    <w:p w14:paraId="3BA76E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微软雅黑" w:hAnsi="微软雅黑" w:eastAsia="微软雅黑" w:cs="微软雅黑"/>
          <w:i w:val="0"/>
          <w:iCs w:val="0"/>
          <w:caps w:val="0"/>
          <w:color w:val="333333"/>
          <w:spacing w:val="0"/>
          <w:sz w:val="27"/>
          <w:szCs w:val="27"/>
        </w:rPr>
      </w:pPr>
      <w:r>
        <w:rPr>
          <w:rFonts w:hint="eastAsia" w:ascii="黑体" w:eastAsia="黑体" w:cs="黑体"/>
          <w:i w:val="0"/>
          <w:iCs w:val="0"/>
          <w:caps w:val="0"/>
          <w:color w:val="333333"/>
          <w:spacing w:val="0"/>
          <w:sz w:val="32"/>
          <w:szCs w:val="32"/>
          <w:shd w:val="clear" w:fill="FFFFFF"/>
          <w:lang w:val="en-US" w:eastAsia="zh-CN"/>
        </w:rPr>
        <w:t>五</w:t>
      </w:r>
      <w:r>
        <w:rPr>
          <w:rFonts w:hint="eastAsia" w:ascii="黑体" w:hAnsi="宋体" w:eastAsia="黑体" w:cs="黑体"/>
          <w:i w:val="0"/>
          <w:iCs w:val="0"/>
          <w:caps w:val="0"/>
          <w:color w:val="333333"/>
          <w:spacing w:val="0"/>
          <w:sz w:val="32"/>
          <w:szCs w:val="32"/>
          <w:shd w:val="clear" w:fill="FFFFFF"/>
        </w:rPr>
        <w:t>、相关单位安全监管职责</w:t>
      </w:r>
    </w:p>
    <w:p w14:paraId="57DB0E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27"/>
          <w:szCs w:val="27"/>
        </w:rPr>
      </w:pPr>
      <w:r>
        <w:rPr>
          <w:rFonts w:hint="eastAsia" w:ascii="楷体_GB2312" w:hAnsi="楷体_GB2312" w:eastAsia="楷体_GB2312" w:cs="楷体_GB2312"/>
          <w:i w:val="0"/>
          <w:iCs w:val="0"/>
          <w:caps w:val="0"/>
          <w:color w:val="333333"/>
          <w:spacing w:val="0"/>
          <w:sz w:val="32"/>
          <w:szCs w:val="32"/>
          <w:shd w:val="clear" w:fill="FFFFFF"/>
        </w:rPr>
        <w:t>（一）县</w:t>
      </w:r>
      <w:r>
        <w:rPr>
          <w:rFonts w:hint="eastAsia" w:ascii="楷体_GB2312" w:hAnsi="楷体_GB2312" w:eastAsia="楷体_GB2312" w:cs="楷体_GB2312"/>
          <w:i w:val="0"/>
          <w:iCs w:val="0"/>
          <w:caps w:val="0"/>
          <w:color w:val="333333"/>
          <w:spacing w:val="0"/>
          <w:sz w:val="32"/>
          <w:szCs w:val="32"/>
          <w:shd w:val="clear" w:fill="FFFFFF"/>
          <w:lang w:val="en-US" w:eastAsia="zh-CN"/>
        </w:rPr>
        <w:t>行政审批</w:t>
      </w:r>
      <w:r>
        <w:rPr>
          <w:rFonts w:hint="eastAsia" w:ascii="楷体_GB2312" w:hAnsi="楷体_GB2312" w:eastAsia="楷体_GB2312" w:cs="楷体_GB2312"/>
          <w:i w:val="0"/>
          <w:iCs w:val="0"/>
          <w:caps w:val="0"/>
          <w:color w:val="333333"/>
          <w:spacing w:val="0"/>
          <w:sz w:val="32"/>
          <w:szCs w:val="32"/>
          <w:shd w:val="clear" w:fill="FFFFFF"/>
        </w:rPr>
        <w:t>局</w:t>
      </w:r>
    </w:p>
    <w:p w14:paraId="741FBA5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lang w:val="en-US" w:eastAsia="zh-CN"/>
        </w:rPr>
        <w:t>1</w:t>
      </w:r>
      <w:r>
        <w:rPr>
          <w:rFonts w:hint="eastAsia" w:ascii="仿宋_GB2312" w:hAnsi="微软雅黑" w:eastAsia="仿宋_GB2312" w:cs="仿宋_GB2312"/>
          <w:i w:val="0"/>
          <w:iCs w:val="0"/>
          <w:caps w:val="0"/>
          <w:color w:val="333333"/>
          <w:spacing w:val="0"/>
          <w:sz w:val="32"/>
          <w:szCs w:val="32"/>
          <w:shd w:val="clear" w:fill="FFFFFF"/>
        </w:rPr>
        <w:t>.负责全县烟花爆竹经营（零售）许可</w:t>
      </w:r>
      <w:r>
        <w:rPr>
          <w:rFonts w:hint="eastAsia" w:ascii="仿宋_GB2312" w:hAnsi="微软雅黑" w:eastAsia="仿宋_GB2312" w:cs="仿宋_GB2312"/>
          <w:i w:val="0"/>
          <w:iCs w:val="0"/>
          <w:caps w:val="0"/>
          <w:color w:val="333333"/>
          <w:spacing w:val="0"/>
          <w:sz w:val="32"/>
          <w:szCs w:val="32"/>
          <w:shd w:val="clear" w:fill="FFFFFF"/>
          <w:lang w:val="en-US" w:eastAsia="zh-CN"/>
        </w:rPr>
        <w:t>及现场安全条件核查</w:t>
      </w:r>
      <w:r>
        <w:rPr>
          <w:rFonts w:hint="eastAsia" w:ascii="仿宋_GB2312" w:hAnsi="微软雅黑" w:eastAsia="仿宋_GB2312" w:cs="仿宋_GB2312"/>
          <w:i w:val="0"/>
          <w:iCs w:val="0"/>
          <w:caps w:val="0"/>
          <w:color w:val="333333"/>
          <w:spacing w:val="0"/>
          <w:sz w:val="32"/>
          <w:szCs w:val="32"/>
          <w:shd w:val="clear" w:fill="FFFFFF"/>
        </w:rPr>
        <w:t>工作。</w:t>
      </w:r>
    </w:p>
    <w:p w14:paraId="69A3C8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27"/>
          <w:szCs w:val="27"/>
        </w:rPr>
      </w:pP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val="en-US" w:eastAsia="zh-CN"/>
        </w:rPr>
        <w:t>二</w:t>
      </w:r>
      <w:r>
        <w:rPr>
          <w:rFonts w:hint="eastAsia" w:ascii="楷体_GB2312" w:hAnsi="楷体_GB2312" w:eastAsia="楷体_GB2312" w:cs="楷体_GB2312"/>
          <w:i w:val="0"/>
          <w:iCs w:val="0"/>
          <w:caps w:val="0"/>
          <w:color w:val="333333"/>
          <w:spacing w:val="0"/>
          <w:sz w:val="32"/>
          <w:szCs w:val="32"/>
          <w:shd w:val="clear" w:fill="FFFFFF"/>
        </w:rPr>
        <w:t>）县应急管理局</w:t>
      </w:r>
    </w:p>
    <w:p w14:paraId="342F1C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1.负责制定全县烟花爆竹零售经营布点规划。</w:t>
      </w:r>
    </w:p>
    <w:p w14:paraId="2972121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lang w:val="en-US" w:eastAsia="zh-CN"/>
        </w:rPr>
        <w:t>2</w:t>
      </w:r>
      <w:r>
        <w:rPr>
          <w:rFonts w:hint="eastAsia" w:ascii="仿宋_GB2312" w:hAnsi="微软雅黑" w:eastAsia="仿宋_GB2312" w:cs="仿宋_GB2312"/>
          <w:i w:val="0"/>
          <w:iCs w:val="0"/>
          <w:caps w:val="0"/>
          <w:color w:val="333333"/>
          <w:spacing w:val="0"/>
          <w:sz w:val="32"/>
          <w:szCs w:val="32"/>
          <w:shd w:val="clear" w:fill="FFFFFF"/>
        </w:rPr>
        <w:t>.负责联合县公安局、市场监督管理局、交通运输局等部门，全面抓好烟花爆竹安全监管工作，严厉打击非法、违法生产、经营、运输、储存烟花爆竹的行为，严厉打击无证经营、从非法渠道购货、销售伪劣产品、超量储存和超范围经营等违法违规现象，对发现的非法、违法行为依法依规进行处置。</w:t>
      </w:r>
    </w:p>
    <w:p w14:paraId="71BEE54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lang w:val="en-US" w:eastAsia="zh-CN"/>
        </w:rPr>
        <w:t>3</w:t>
      </w:r>
      <w:r>
        <w:rPr>
          <w:rFonts w:hint="eastAsia" w:ascii="仿宋_GB2312" w:hAnsi="微软雅黑" w:eastAsia="仿宋_GB2312" w:cs="仿宋_GB2312"/>
          <w:i w:val="0"/>
          <w:iCs w:val="0"/>
          <w:caps w:val="0"/>
          <w:color w:val="333333"/>
          <w:spacing w:val="0"/>
          <w:sz w:val="32"/>
          <w:szCs w:val="32"/>
          <w:shd w:val="clear" w:fill="FFFFFF"/>
        </w:rPr>
        <w:t>.负责通过广播、电视、微信公众号、村（社区）宣传栏等渠道，对烟花爆竹安全生产经营的有关法律、法规、安全知识进行宣传，强化宣传教育，使烟花爆竹有关安全知识家喻户晓，提高烟花爆竹零售经营户的守法观念和自律意识。</w:t>
      </w:r>
    </w:p>
    <w:p w14:paraId="23804B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val="en-US" w:eastAsia="zh-CN"/>
        </w:rPr>
        <w:t>三</w:t>
      </w:r>
      <w:r>
        <w:rPr>
          <w:rFonts w:hint="eastAsia" w:ascii="楷体_GB2312" w:hAnsi="楷体_GB2312" w:eastAsia="楷体_GB2312" w:cs="楷体_GB2312"/>
          <w:i w:val="0"/>
          <w:iCs w:val="0"/>
          <w:caps w:val="0"/>
          <w:color w:val="333333"/>
          <w:spacing w:val="0"/>
          <w:sz w:val="32"/>
          <w:szCs w:val="32"/>
          <w:shd w:val="clear" w:fill="FFFFFF"/>
        </w:rPr>
        <w:t>）县公安局</w:t>
      </w:r>
    </w:p>
    <w:p w14:paraId="398CB1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1.核发《烟花爆竹道路运输许可证》，严厉打击非法运输烟花爆竹行为。</w:t>
      </w:r>
    </w:p>
    <w:p w14:paraId="5279D5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2.应当加强对举办焰火晚会以及其他大型焰火燃放活动的管理，尤其是对危险等级较高的焰火晚会以及其他大型焰火燃放活动的监督检查。</w:t>
      </w:r>
    </w:p>
    <w:p w14:paraId="2DD6626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3.加大烟花爆竹“打非治违”力度，依法规范组织销毁处置打非收缴的非法烟花爆竹物品。</w:t>
      </w:r>
    </w:p>
    <w:p w14:paraId="5AE0A5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4.联合生态环境</w:t>
      </w:r>
      <w:r>
        <w:rPr>
          <w:rFonts w:hint="eastAsia" w:ascii="仿宋_GB2312" w:hAnsi="微软雅黑" w:eastAsia="仿宋_GB2312" w:cs="仿宋_GB2312"/>
          <w:i w:val="0"/>
          <w:iCs w:val="0"/>
          <w:caps w:val="0"/>
          <w:color w:val="333333"/>
          <w:spacing w:val="0"/>
          <w:sz w:val="32"/>
          <w:szCs w:val="32"/>
          <w:shd w:val="clear" w:fill="FFFFFF"/>
          <w:lang w:val="en-US" w:eastAsia="zh-CN"/>
        </w:rPr>
        <w:t>等</w:t>
      </w:r>
      <w:r>
        <w:rPr>
          <w:rFonts w:hint="eastAsia" w:ascii="仿宋_GB2312" w:hAnsi="微软雅黑" w:eastAsia="仿宋_GB2312" w:cs="仿宋_GB2312"/>
          <w:i w:val="0"/>
          <w:iCs w:val="0"/>
          <w:caps w:val="0"/>
          <w:color w:val="333333"/>
          <w:spacing w:val="0"/>
          <w:sz w:val="32"/>
          <w:szCs w:val="32"/>
          <w:shd w:val="clear" w:fill="FFFFFF"/>
        </w:rPr>
        <w:t>部门严厉打击禁</w:t>
      </w:r>
      <w:r>
        <w:rPr>
          <w:rFonts w:hint="eastAsia" w:ascii="仿宋_GB2312" w:hAnsi="微软雅黑" w:eastAsia="仿宋_GB2312" w:cs="仿宋_GB2312"/>
          <w:i w:val="0"/>
          <w:iCs w:val="0"/>
          <w:caps w:val="0"/>
          <w:color w:val="333333"/>
          <w:spacing w:val="0"/>
          <w:sz w:val="32"/>
          <w:szCs w:val="32"/>
          <w:shd w:val="clear" w:fill="FFFFFF"/>
          <w:lang w:val="en-US" w:eastAsia="zh-CN"/>
        </w:rPr>
        <w:t>放</w:t>
      </w:r>
      <w:r>
        <w:rPr>
          <w:rFonts w:hint="eastAsia" w:ascii="仿宋_GB2312" w:hAnsi="微软雅黑" w:eastAsia="仿宋_GB2312" w:cs="仿宋_GB2312"/>
          <w:i w:val="0"/>
          <w:iCs w:val="0"/>
          <w:caps w:val="0"/>
          <w:color w:val="333333"/>
          <w:spacing w:val="0"/>
          <w:sz w:val="32"/>
          <w:szCs w:val="32"/>
          <w:shd w:val="clear" w:fill="FFFFFF"/>
        </w:rPr>
        <w:t>区内燃放烟花爆竹行为。</w:t>
      </w:r>
    </w:p>
    <w:p w14:paraId="51F5DD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val="en-US" w:eastAsia="zh-CN"/>
        </w:rPr>
        <w:t>四</w:t>
      </w:r>
      <w:r>
        <w:rPr>
          <w:rFonts w:hint="eastAsia" w:ascii="楷体_GB2312" w:hAnsi="楷体_GB2312" w:eastAsia="楷体_GB2312" w:cs="楷体_GB2312"/>
          <w:i w:val="0"/>
          <w:iCs w:val="0"/>
          <w:caps w:val="0"/>
          <w:color w:val="333333"/>
          <w:spacing w:val="0"/>
          <w:sz w:val="32"/>
          <w:szCs w:val="32"/>
          <w:shd w:val="clear" w:fill="FFFFFF"/>
        </w:rPr>
        <w:t>）县市场监督管理局</w:t>
      </w:r>
    </w:p>
    <w:p w14:paraId="2F54B6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1.负责核发烟花爆竹经营（零售）店的营业执照。</w:t>
      </w:r>
    </w:p>
    <w:p w14:paraId="58780A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2.负责烟花爆竹产品质量的监督检查，查处不合格的烟花爆竹产品。</w:t>
      </w:r>
    </w:p>
    <w:p w14:paraId="2AFB78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3.积极配合参与烟花爆竹打非专项工作。</w:t>
      </w:r>
    </w:p>
    <w:p w14:paraId="6DACE3E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val="en-US" w:eastAsia="zh-CN"/>
        </w:rPr>
        <w:t>五</w:t>
      </w:r>
      <w:r>
        <w:rPr>
          <w:rFonts w:hint="eastAsia" w:ascii="楷体_GB2312" w:hAnsi="楷体_GB2312" w:eastAsia="楷体_GB2312" w:cs="楷体_GB2312"/>
          <w:i w:val="0"/>
          <w:iCs w:val="0"/>
          <w:caps w:val="0"/>
          <w:color w:val="333333"/>
          <w:spacing w:val="0"/>
          <w:sz w:val="32"/>
          <w:szCs w:val="32"/>
          <w:shd w:val="clear" w:fill="FFFFFF"/>
        </w:rPr>
        <w:t>）县交通运输局</w:t>
      </w:r>
    </w:p>
    <w:p w14:paraId="6EBFED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1.负责加强对烟花爆竹危运车辆道路安全运输的监管工作，查处非法运输烟花爆竹的车辆。</w:t>
      </w:r>
    </w:p>
    <w:p w14:paraId="735811B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2.积极配合参与烟花爆竹打非专项工作。</w:t>
      </w:r>
    </w:p>
    <w:p w14:paraId="6F1258B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val="en-US" w:eastAsia="zh-CN"/>
        </w:rPr>
        <w:t>六</w:t>
      </w: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val="en-US" w:eastAsia="zh-CN"/>
        </w:rPr>
        <w:t>井研</w:t>
      </w:r>
      <w:r>
        <w:rPr>
          <w:rFonts w:hint="eastAsia" w:ascii="楷体_GB2312" w:hAnsi="楷体_GB2312" w:eastAsia="楷体_GB2312" w:cs="楷体_GB2312"/>
          <w:i w:val="0"/>
          <w:iCs w:val="0"/>
          <w:caps w:val="0"/>
          <w:color w:val="333333"/>
          <w:spacing w:val="0"/>
          <w:sz w:val="32"/>
          <w:szCs w:val="32"/>
          <w:shd w:val="clear" w:fill="FFFFFF"/>
        </w:rPr>
        <w:t>生态环境局　</w:t>
      </w:r>
      <w:r>
        <w:rPr>
          <w:rFonts w:hint="eastAsia" w:ascii="仿宋_GB2312" w:hAnsi="微软雅黑" w:eastAsia="仿宋_GB2312" w:cs="仿宋_GB2312"/>
          <w:i w:val="0"/>
          <w:iCs w:val="0"/>
          <w:caps w:val="0"/>
          <w:color w:val="333333"/>
          <w:spacing w:val="0"/>
          <w:sz w:val="32"/>
          <w:szCs w:val="32"/>
          <w:shd w:val="clear" w:fill="FFFFFF"/>
        </w:rPr>
        <w:t>　</w:t>
      </w:r>
    </w:p>
    <w:p w14:paraId="5E2B6F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负责</w:t>
      </w:r>
      <w:r>
        <w:rPr>
          <w:rFonts w:hint="eastAsia" w:ascii="仿宋_GB2312" w:hAnsi="微软雅黑" w:eastAsia="仿宋_GB2312" w:cs="仿宋_GB2312"/>
          <w:i w:val="0"/>
          <w:iCs w:val="0"/>
          <w:caps w:val="0"/>
          <w:color w:val="333333"/>
          <w:spacing w:val="0"/>
          <w:sz w:val="32"/>
          <w:szCs w:val="32"/>
          <w:shd w:val="clear" w:fill="FFFFFF"/>
          <w:lang w:val="en-US" w:eastAsia="zh-CN"/>
        </w:rPr>
        <w:t>县</w:t>
      </w:r>
      <w:r>
        <w:rPr>
          <w:rFonts w:hint="eastAsia" w:ascii="仿宋_GB2312" w:hAnsi="微软雅黑" w:eastAsia="仿宋_GB2312" w:cs="仿宋_GB2312"/>
          <w:i w:val="0"/>
          <w:iCs w:val="0"/>
          <w:caps w:val="0"/>
          <w:color w:val="333333"/>
          <w:spacing w:val="0"/>
          <w:sz w:val="32"/>
          <w:szCs w:val="32"/>
          <w:shd w:val="clear" w:fill="FFFFFF"/>
        </w:rPr>
        <w:t>政府划定的烟花爆竹禁燃区的空气质量监控，积极配合公安部门打击禁燃区内燃放烟花爆竹行为。</w:t>
      </w:r>
    </w:p>
    <w:p w14:paraId="6EF3E74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32"/>
          <w:szCs w:val="32"/>
          <w:shd w:val="clear" w:fill="FFFFFF"/>
          <w:lang w:val="en-US" w:eastAsia="zh-CN"/>
        </w:rPr>
      </w:pPr>
      <w:r>
        <w:rPr>
          <w:rFonts w:hint="eastAsia" w:ascii="楷体_GB2312" w:hAnsi="楷体_GB2312" w:eastAsia="楷体_GB2312" w:cs="楷体_GB2312"/>
          <w:i w:val="0"/>
          <w:iCs w:val="0"/>
          <w:caps w:val="0"/>
          <w:color w:val="333333"/>
          <w:spacing w:val="0"/>
          <w:sz w:val="32"/>
          <w:szCs w:val="32"/>
          <w:shd w:val="clear" w:fill="FFFFFF"/>
          <w:lang w:val="en-US" w:eastAsia="zh-CN"/>
        </w:rPr>
        <w:t>（七）县消防救援局</w:t>
      </w:r>
    </w:p>
    <w:p w14:paraId="1ECDE4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负责辖区内烟花爆竹行业消防安全综合监管工作，将烟花爆竹零售店纳入“双随机”抽查检查范畴，处置烟花爆竹零售</w:t>
      </w:r>
      <w:r>
        <w:rPr>
          <w:rFonts w:hint="eastAsia" w:ascii="仿宋_GB2312" w:hAnsi="微软雅黑" w:eastAsia="仿宋_GB2312" w:cs="仿宋_GB2312"/>
          <w:i w:val="0"/>
          <w:iCs w:val="0"/>
          <w:caps w:val="0"/>
          <w:color w:val="333333"/>
          <w:spacing w:val="0"/>
          <w:sz w:val="32"/>
          <w:szCs w:val="32"/>
          <w:shd w:val="clear" w:fill="FFFFFF"/>
          <w:lang w:val="en-US" w:eastAsia="zh-CN"/>
        </w:rPr>
        <w:t>店</w:t>
      </w:r>
      <w:r>
        <w:rPr>
          <w:rFonts w:hint="eastAsia" w:ascii="仿宋_GB2312" w:hAnsi="微软雅黑" w:eastAsia="仿宋_GB2312" w:cs="仿宋_GB2312"/>
          <w:i w:val="0"/>
          <w:iCs w:val="0"/>
          <w:caps w:val="0"/>
          <w:color w:val="333333"/>
          <w:spacing w:val="0"/>
          <w:sz w:val="32"/>
          <w:szCs w:val="32"/>
          <w:shd w:val="clear" w:fill="FFFFFF"/>
        </w:rPr>
        <w:t>爆燃事故。</w:t>
      </w:r>
    </w:p>
    <w:p w14:paraId="4AC28F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楷体_GB2312" w:hAnsi="楷体_GB2312" w:eastAsia="楷体_GB2312" w:cs="楷体_GB2312"/>
          <w:i w:val="0"/>
          <w:iCs w:val="0"/>
          <w:caps w:val="0"/>
          <w:color w:val="333333"/>
          <w:spacing w:val="0"/>
          <w:sz w:val="32"/>
          <w:szCs w:val="32"/>
          <w:shd w:val="clear" w:fill="FFFFFF"/>
          <w:lang w:val="en-US" w:eastAsia="zh-CN"/>
        </w:rPr>
      </w:pPr>
      <w:r>
        <w:rPr>
          <w:rFonts w:hint="eastAsia" w:ascii="楷体_GB2312" w:hAnsi="楷体_GB2312" w:eastAsia="楷体_GB2312" w:cs="楷体_GB2312"/>
          <w:i w:val="0"/>
          <w:iCs w:val="0"/>
          <w:caps w:val="0"/>
          <w:color w:val="333333"/>
          <w:spacing w:val="0"/>
          <w:sz w:val="32"/>
          <w:szCs w:val="32"/>
          <w:shd w:val="clear" w:fill="FFFFFF"/>
          <w:lang w:val="en-US" w:eastAsia="zh-CN"/>
        </w:rPr>
        <w:t>（八）研城街道办事处及各镇人民政府</w:t>
      </w:r>
    </w:p>
    <w:p w14:paraId="4ABCD9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仿宋_GB2312" w:hAnsi="微软雅黑" w:eastAsia="仿宋_GB2312" w:cs="仿宋_GB2312"/>
          <w:i w:val="0"/>
          <w:iCs w:val="0"/>
          <w:caps w:val="0"/>
          <w:color w:val="333333"/>
          <w:spacing w:val="0"/>
          <w:sz w:val="32"/>
          <w:szCs w:val="32"/>
          <w:shd w:val="clear" w:fill="FFFFFF"/>
        </w:rPr>
      </w:pPr>
      <w:r>
        <w:rPr>
          <w:rFonts w:hint="eastAsia" w:ascii="仿宋_GB2312" w:hAnsi="微软雅黑" w:eastAsia="仿宋_GB2312" w:cs="仿宋_GB2312"/>
          <w:i w:val="0"/>
          <w:iCs w:val="0"/>
          <w:caps w:val="0"/>
          <w:color w:val="333333"/>
          <w:spacing w:val="0"/>
          <w:sz w:val="32"/>
          <w:szCs w:val="32"/>
          <w:shd w:val="clear" w:fill="FFFFFF"/>
        </w:rPr>
        <w:t>1.贯彻落实《</w:t>
      </w:r>
      <w:r>
        <w:rPr>
          <w:rFonts w:hint="eastAsia" w:ascii="仿宋_GB2312" w:hAnsi="微软雅黑" w:eastAsia="仿宋_GB2312" w:cs="仿宋_GB2312"/>
          <w:i w:val="0"/>
          <w:iCs w:val="0"/>
          <w:caps w:val="0"/>
          <w:color w:val="333333"/>
          <w:spacing w:val="0"/>
          <w:sz w:val="32"/>
          <w:szCs w:val="32"/>
          <w:shd w:val="clear" w:fill="FFFFFF"/>
          <w:lang w:val="en-US" w:eastAsia="zh-CN"/>
        </w:rPr>
        <w:t>中华人民共和国</w:t>
      </w:r>
      <w:r>
        <w:rPr>
          <w:rFonts w:hint="eastAsia" w:ascii="仿宋_GB2312" w:hAnsi="微软雅黑" w:eastAsia="仿宋_GB2312" w:cs="仿宋_GB2312"/>
          <w:i w:val="0"/>
          <w:iCs w:val="0"/>
          <w:caps w:val="0"/>
          <w:color w:val="333333"/>
          <w:spacing w:val="0"/>
          <w:sz w:val="32"/>
          <w:szCs w:val="32"/>
          <w:shd w:val="clear" w:fill="FFFFFF"/>
        </w:rPr>
        <w:t>安全生产法》相关条款要求，</w:t>
      </w:r>
      <w:r>
        <w:rPr>
          <w:rFonts w:hint="eastAsia" w:ascii="仿宋_GB2312" w:hAnsi="微软雅黑" w:eastAsia="仿宋_GB2312" w:cs="仿宋_GB2312"/>
          <w:i w:val="0"/>
          <w:iCs w:val="0"/>
          <w:caps w:val="0"/>
          <w:color w:val="333333"/>
          <w:spacing w:val="0"/>
          <w:sz w:val="32"/>
          <w:szCs w:val="32"/>
          <w:shd w:val="clear" w:fill="FFFFFF"/>
          <w:lang w:val="en-US" w:eastAsia="zh-CN"/>
        </w:rPr>
        <w:t>做好宣传贯彻和政策解释，纠正经营户思想认识上的偏差，确立安全经营意识，切实改进和提升安全管理，确保烟花爆竹经营安全。</w:t>
      </w:r>
      <w:r>
        <w:rPr>
          <w:rFonts w:hint="eastAsia" w:ascii="仿宋_GB2312" w:hAnsi="微软雅黑" w:eastAsia="仿宋_GB2312" w:cs="仿宋_GB2312"/>
          <w:i w:val="0"/>
          <w:iCs w:val="0"/>
          <w:caps w:val="0"/>
          <w:color w:val="333333"/>
          <w:spacing w:val="0"/>
          <w:sz w:val="32"/>
          <w:szCs w:val="32"/>
          <w:shd w:val="clear" w:fill="FFFFFF"/>
        </w:rPr>
        <w:t>严格履行属地监管责任，对辖区内烟花爆竹零售经营点进行常态化监督检查、抽查，通过远程视频监控等技术手段，实现对属地烟花爆竹零售店的动态管控；</w:t>
      </w:r>
    </w:p>
    <w:p w14:paraId="24B7E50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2.配合做好辖区烟花爆竹经营（零售）店布点工作；加强对禁燃区禁止燃放烟花爆竹宣传。</w:t>
      </w:r>
    </w:p>
    <w:p w14:paraId="2C0F258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shd w:val="clear" w:fill="FFFFFF"/>
        </w:rPr>
        <w:t>3.成立行动专班，明确专班负责人、成员及职责，制定排查整治方案及排查清单，明确排查网格、责任人、排查频次，发现隐患</w:t>
      </w:r>
      <w:r>
        <w:rPr>
          <w:rFonts w:hint="eastAsia" w:ascii="仿宋_GB2312" w:hAnsi="微软雅黑" w:eastAsia="仿宋_GB2312" w:cs="仿宋_GB2312"/>
          <w:i w:val="0"/>
          <w:iCs w:val="0"/>
          <w:caps w:val="0"/>
          <w:color w:val="333333"/>
          <w:spacing w:val="0"/>
          <w:sz w:val="32"/>
          <w:szCs w:val="32"/>
          <w:shd w:val="clear" w:fill="FFFFFF"/>
          <w:lang w:val="en-US" w:eastAsia="zh-CN"/>
        </w:rPr>
        <w:t>督促</w:t>
      </w:r>
      <w:r>
        <w:rPr>
          <w:rFonts w:hint="eastAsia" w:ascii="仿宋_GB2312" w:hAnsi="微软雅黑" w:eastAsia="仿宋_GB2312" w:cs="仿宋_GB2312"/>
          <w:i w:val="0"/>
          <w:iCs w:val="0"/>
          <w:caps w:val="0"/>
          <w:color w:val="333333"/>
          <w:spacing w:val="0"/>
          <w:sz w:val="32"/>
          <w:szCs w:val="32"/>
          <w:shd w:val="clear" w:fill="FFFFFF"/>
        </w:rPr>
        <w:t>立即</w:t>
      </w:r>
      <w:r>
        <w:rPr>
          <w:rFonts w:hint="eastAsia" w:ascii="仿宋_GB2312" w:hAnsi="微软雅黑" w:eastAsia="仿宋_GB2312" w:cs="仿宋_GB2312"/>
          <w:i w:val="0"/>
          <w:iCs w:val="0"/>
          <w:caps w:val="0"/>
          <w:color w:val="333333"/>
          <w:spacing w:val="0"/>
          <w:sz w:val="32"/>
          <w:szCs w:val="32"/>
          <w:shd w:val="clear" w:fill="FFFFFF"/>
          <w:lang w:val="en-US" w:eastAsia="zh-CN"/>
        </w:rPr>
        <w:t>或限期</w:t>
      </w:r>
      <w:r>
        <w:rPr>
          <w:rFonts w:hint="eastAsia" w:ascii="仿宋_GB2312" w:hAnsi="微软雅黑" w:eastAsia="仿宋_GB2312" w:cs="仿宋_GB2312"/>
          <w:i w:val="0"/>
          <w:iCs w:val="0"/>
          <w:caps w:val="0"/>
          <w:color w:val="333333"/>
          <w:spacing w:val="0"/>
          <w:sz w:val="32"/>
          <w:szCs w:val="32"/>
          <w:shd w:val="clear" w:fill="FFFFFF"/>
        </w:rPr>
        <w:t>整改</w:t>
      </w:r>
      <w:r>
        <w:rPr>
          <w:rFonts w:hint="eastAsia" w:ascii="仿宋_GB2312" w:hAnsi="微软雅黑" w:eastAsia="仿宋_GB2312" w:cs="仿宋_GB2312"/>
          <w:i w:val="0"/>
          <w:iCs w:val="0"/>
          <w:caps w:val="0"/>
          <w:color w:val="333333"/>
          <w:spacing w:val="0"/>
          <w:sz w:val="32"/>
          <w:szCs w:val="32"/>
          <w:shd w:val="clear" w:fill="FFFFFF"/>
          <w:lang w:val="en-US" w:eastAsia="zh-CN"/>
        </w:rPr>
        <w:t>到位</w:t>
      </w:r>
      <w:r>
        <w:rPr>
          <w:rFonts w:hint="eastAsia" w:ascii="仿宋_GB2312" w:hAnsi="微软雅黑" w:eastAsia="仿宋_GB2312" w:cs="仿宋_GB2312"/>
          <w:i w:val="0"/>
          <w:iCs w:val="0"/>
          <w:caps w:val="0"/>
          <w:color w:val="333333"/>
          <w:spacing w:val="0"/>
          <w:sz w:val="32"/>
          <w:szCs w:val="32"/>
          <w:shd w:val="clear" w:fill="FFFFFF"/>
        </w:rPr>
        <w:t>，发现违法行为</w:t>
      </w:r>
      <w:r>
        <w:rPr>
          <w:rFonts w:hint="eastAsia" w:ascii="仿宋_GB2312" w:hAnsi="微软雅黑" w:eastAsia="仿宋_GB2312" w:cs="仿宋_GB2312"/>
          <w:i w:val="0"/>
          <w:iCs w:val="0"/>
          <w:caps w:val="0"/>
          <w:color w:val="333333"/>
          <w:spacing w:val="0"/>
          <w:sz w:val="32"/>
          <w:szCs w:val="32"/>
          <w:shd w:val="clear" w:fill="FFFFFF"/>
          <w:lang w:val="en-US" w:eastAsia="zh-CN"/>
        </w:rPr>
        <w:t>移交有关执法部门</w:t>
      </w:r>
      <w:r>
        <w:rPr>
          <w:rFonts w:hint="eastAsia" w:ascii="仿宋_GB2312" w:hAnsi="微软雅黑" w:eastAsia="仿宋_GB2312" w:cs="仿宋_GB2312"/>
          <w:i w:val="0"/>
          <w:iCs w:val="0"/>
          <w:caps w:val="0"/>
          <w:color w:val="333333"/>
          <w:spacing w:val="0"/>
          <w:sz w:val="32"/>
          <w:szCs w:val="32"/>
          <w:shd w:val="clear" w:fill="FFFFFF"/>
        </w:rPr>
        <w:t>依法从严查处。</w:t>
      </w:r>
    </w:p>
    <w:p w14:paraId="3DF95EFD">
      <w:pPr>
        <w:ind w:firstLine="640" w:firstLineChars="200"/>
        <w:rPr>
          <w:rFonts w:ascii="仿宋_GB2312" w:hAnsi="宋体" w:eastAsia="仿宋_GB2312" w:cs="仿宋_GB2312"/>
          <w:i w:val="0"/>
          <w:iCs w:val="0"/>
          <w:caps w:val="0"/>
          <w:color w:val="333333"/>
          <w:spacing w:val="0"/>
          <w:sz w:val="32"/>
          <w:szCs w:val="32"/>
          <w:shd w:val="clear" w:fill="FFFFFF"/>
        </w:rPr>
      </w:pPr>
    </w:p>
    <w:p w14:paraId="590EF9EE">
      <w:pPr>
        <w:ind w:firstLine="640" w:firstLineChars="200"/>
        <w:rPr>
          <w:rFonts w:ascii="仿宋_GB2312" w:hAnsi="宋体" w:eastAsia="仿宋_GB2312" w:cs="仿宋_GB2312"/>
          <w:i w:val="0"/>
          <w:iCs w:val="0"/>
          <w:caps w:val="0"/>
          <w:color w:val="333333"/>
          <w:spacing w:val="0"/>
          <w:sz w:val="32"/>
          <w:szCs w:val="32"/>
          <w:shd w:val="clear" w:fill="FFFFFF"/>
        </w:rPr>
      </w:pPr>
    </w:p>
    <w:p w14:paraId="5D5F42C1">
      <w:pPr>
        <w:ind w:firstLine="640" w:firstLineChars="200"/>
        <w:rPr>
          <w:rFonts w:ascii="仿宋_GB2312" w:hAnsi="宋体" w:eastAsia="仿宋_GB2312" w:cs="仿宋_GB2312"/>
          <w:i w:val="0"/>
          <w:iCs w:val="0"/>
          <w:caps w:val="0"/>
          <w:color w:val="333333"/>
          <w:spacing w:val="0"/>
          <w:sz w:val="32"/>
          <w:szCs w:val="32"/>
          <w:shd w:val="clear" w:fill="FFFFFF"/>
        </w:rPr>
      </w:pPr>
    </w:p>
    <w:p w14:paraId="48EDE36F">
      <w:pPr>
        <w:ind w:firstLine="640" w:firstLineChars="200"/>
        <w:rPr>
          <w:rFonts w:ascii="仿宋_GB2312" w:hAnsi="宋体" w:eastAsia="仿宋_GB2312" w:cs="仿宋_GB2312"/>
          <w:i w:val="0"/>
          <w:iCs w:val="0"/>
          <w:caps w:val="0"/>
          <w:color w:val="333333"/>
          <w:spacing w:val="0"/>
          <w:sz w:val="32"/>
          <w:szCs w:val="32"/>
          <w:shd w:val="clear" w:fill="FFFFFF"/>
        </w:rPr>
      </w:pPr>
    </w:p>
    <w:p w14:paraId="44F44BEB">
      <w:pPr>
        <w:ind w:firstLine="640" w:firstLineChars="200"/>
        <w:rPr>
          <w:rFonts w:ascii="仿宋_GB2312" w:hAnsi="宋体" w:eastAsia="仿宋_GB2312" w:cs="仿宋_GB2312"/>
          <w:i w:val="0"/>
          <w:iCs w:val="0"/>
          <w:caps w:val="0"/>
          <w:color w:val="333333"/>
          <w:spacing w:val="0"/>
          <w:sz w:val="32"/>
          <w:szCs w:val="32"/>
          <w:shd w:val="clear" w:fill="FFFFFF"/>
        </w:rPr>
      </w:pPr>
    </w:p>
    <w:p w14:paraId="4E77633F">
      <w:pPr>
        <w:ind w:firstLine="640" w:firstLineChars="200"/>
        <w:rPr>
          <w:rFonts w:ascii="仿宋_GB2312" w:hAnsi="宋体" w:eastAsia="仿宋_GB2312" w:cs="仿宋_GB2312"/>
          <w:i w:val="0"/>
          <w:iCs w:val="0"/>
          <w:caps w:val="0"/>
          <w:color w:val="333333"/>
          <w:spacing w:val="0"/>
          <w:sz w:val="32"/>
          <w:szCs w:val="32"/>
          <w:shd w:val="clear" w:fill="FFFFFF"/>
        </w:rPr>
      </w:pPr>
    </w:p>
    <w:p w14:paraId="0F8B3AA0">
      <w:pPr>
        <w:ind w:firstLine="640" w:firstLineChars="200"/>
        <w:rPr>
          <w:rFonts w:ascii="仿宋_GB2312" w:hAnsi="宋体" w:eastAsia="仿宋_GB2312" w:cs="仿宋_GB2312"/>
          <w:i w:val="0"/>
          <w:iCs w:val="0"/>
          <w:caps w:val="0"/>
          <w:color w:val="333333"/>
          <w:spacing w:val="0"/>
          <w:sz w:val="32"/>
          <w:szCs w:val="32"/>
          <w:shd w:val="clear" w:fill="FFFFFF"/>
        </w:rPr>
      </w:pPr>
    </w:p>
    <w:p w14:paraId="40EEFA27">
      <w:pPr>
        <w:rPr>
          <w:rFonts w:ascii="仿宋_GB2312" w:hAnsi="宋体" w:eastAsia="仿宋_GB2312" w:cs="仿宋_GB2312"/>
          <w:i w:val="0"/>
          <w:iCs w:val="0"/>
          <w:caps w:val="0"/>
          <w:color w:val="333333"/>
          <w:spacing w:val="0"/>
          <w:sz w:val="32"/>
          <w:szCs w:val="32"/>
          <w:shd w:val="clear" w:fill="FFFFFF"/>
        </w:rPr>
      </w:pPr>
    </w:p>
    <w:p w14:paraId="5D3C33D9">
      <w:pPr>
        <w:shd w:val="solid" w:color="FFFFFF" w:fill="auto"/>
        <w:autoSpaceDN w:val="0"/>
        <w:ind w:firstLine="880" w:firstLineChars="200"/>
        <w:jc w:val="both"/>
        <w:rPr>
          <w:rFonts w:hint="eastAsia"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井研县烟花爆竹经营（零售）布点规划表</w:t>
      </w:r>
    </w:p>
    <w:tbl>
      <w:tblPr>
        <w:tblStyle w:val="6"/>
        <w:tblpPr w:leftFromText="180" w:rightFromText="180" w:vertAnchor="text" w:horzAnchor="page" w:tblpX="2325" w:tblpY="403"/>
        <w:tblOverlap w:val="never"/>
        <w:tblW w:w="7939" w:type="dxa"/>
        <w:tblInd w:w="0" w:type="dxa"/>
        <w:tblLayout w:type="fixed"/>
        <w:tblCellMar>
          <w:top w:w="0" w:type="dxa"/>
          <w:left w:w="108" w:type="dxa"/>
          <w:bottom w:w="0" w:type="dxa"/>
          <w:right w:w="108" w:type="dxa"/>
        </w:tblCellMar>
      </w:tblPr>
      <w:tblGrid>
        <w:gridCol w:w="1883"/>
        <w:gridCol w:w="1987"/>
        <w:gridCol w:w="1950"/>
        <w:gridCol w:w="2119"/>
      </w:tblGrid>
      <w:tr w14:paraId="59DF2B64">
        <w:tblPrEx>
          <w:tblCellMar>
            <w:top w:w="0" w:type="dxa"/>
            <w:left w:w="108" w:type="dxa"/>
            <w:bottom w:w="0" w:type="dxa"/>
            <w:right w:w="108" w:type="dxa"/>
          </w:tblCellMar>
        </w:tblPrEx>
        <w:trPr>
          <w:trHeight w:val="779" w:hRule="atLeast"/>
        </w:trPr>
        <w:tc>
          <w:tcPr>
            <w:tcW w:w="1883" w:type="dxa"/>
            <w:tcBorders>
              <w:top w:val="single" w:color="000000" w:sz="4" w:space="0"/>
              <w:left w:val="single" w:color="000000" w:sz="4" w:space="0"/>
              <w:bottom w:val="single" w:color="auto" w:sz="4" w:space="0"/>
              <w:right w:val="single" w:color="000000" w:sz="4" w:space="0"/>
            </w:tcBorders>
            <w:noWrap w:val="0"/>
            <w:vAlign w:val="center"/>
          </w:tcPr>
          <w:p w14:paraId="681875A1">
            <w:pPr>
              <w:autoSpaceDN w:val="0"/>
              <w:jc w:val="center"/>
              <w:textAlignment w:val="center"/>
              <w:rPr>
                <w:rFonts w:eastAsia="仿宋_GB2312"/>
                <w:color w:val="000000"/>
                <w:sz w:val="32"/>
                <w:szCs w:val="32"/>
              </w:rPr>
            </w:pPr>
            <w:r>
              <w:rPr>
                <w:rFonts w:hint="eastAsia" w:eastAsia="仿宋_GB2312"/>
                <w:color w:val="000000"/>
                <w:sz w:val="32"/>
                <w:szCs w:val="32"/>
              </w:rPr>
              <w:t>镇（街道）</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5D4E2C43">
            <w:pPr>
              <w:autoSpaceDN w:val="0"/>
              <w:jc w:val="center"/>
              <w:textAlignment w:val="center"/>
              <w:rPr>
                <w:rFonts w:eastAsia="仿宋_GB2312"/>
                <w:color w:val="000000"/>
                <w:sz w:val="32"/>
                <w:szCs w:val="32"/>
              </w:rPr>
            </w:pPr>
            <w:r>
              <w:rPr>
                <w:rFonts w:hint="eastAsia" w:eastAsia="仿宋_GB2312"/>
                <w:color w:val="000000"/>
                <w:sz w:val="32"/>
                <w:szCs w:val="32"/>
              </w:rPr>
              <w:t>规划数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532A60A">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镇（街道）</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2A6BDD88">
            <w:pPr>
              <w:autoSpaceDN w:val="0"/>
              <w:jc w:val="center"/>
              <w:textAlignment w:val="center"/>
              <w:rPr>
                <w:rFonts w:eastAsia="仿宋_GB2312"/>
                <w:color w:val="000000"/>
                <w:sz w:val="32"/>
                <w:szCs w:val="32"/>
              </w:rPr>
            </w:pPr>
            <w:r>
              <w:rPr>
                <w:rFonts w:hint="eastAsia" w:eastAsia="仿宋_GB2312"/>
                <w:color w:val="000000"/>
                <w:sz w:val="32"/>
                <w:szCs w:val="32"/>
              </w:rPr>
              <w:t>规划数</w:t>
            </w:r>
          </w:p>
        </w:tc>
      </w:tr>
      <w:tr w14:paraId="7CECAA58">
        <w:tblPrEx>
          <w:tblCellMar>
            <w:top w:w="0" w:type="dxa"/>
            <w:left w:w="108" w:type="dxa"/>
            <w:bottom w:w="0" w:type="dxa"/>
            <w:right w:w="108" w:type="dxa"/>
          </w:tblCellMar>
        </w:tblPrEx>
        <w:trPr>
          <w:trHeight w:val="1021" w:hRule="atLeast"/>
        </w:trPr>
        <w:tc>
          <w:tcPr>
            <w:tcW w:w="1883" w:type="dxa"/>
            <w:tcBorders>
              <w:top w:val="single" w:color="auto" w:sz="4" w:space="0"/>
              <w:left w:val="single" w:color="auto" w:sz="4" w:space="0"/>
              <w:bottom w:val="single" w:color="auto" w:sz="4" w:space="0"/>
              <w:right w:val="single" w:color="auto" w:sz="4" w:space="0"/>
            </w:tcBorders>
            <w:noWrap w:val="0"/>
            <w:vAlign w:val="center"/>
          </w:tcPr>
          <w:p w14:paraId="62B3E97B">
            <w:pPr>
              <w:autoSpaceDN w:val="0"/>
              <w:jc w:val="center"/>
              <w:textAlignment w:val="center"/>
              <w:rPr>
                <w:rFonts w:eastAsia="仿宋_GB2312"/>
                <w:color w:val="000000"/>
                <w:sz w:val="32"/>
                <w:szCs w:val="32"/>
              </w:rPr>
            </w:pPr>
            <w:r>
              <w:rPr>
                <w:rFonts w:hint="eastAsia" w:hAnsi="仿宋_GB2312" w:eastAsia="仿宋_GB2312"/>
                <w:bCs/>
                <w:color w:val="000000"/>
                <w:sz w:val="32"/>
                <w:szCs w:val="32"/>
              </w:rPr>
              <w:t>研城街道</w:t>
            </w:r>
          </w:p>
        </w:tc>
        <w:tc>
          <w:tcPr>
            <w:tcW w:w="1987" w:type="dxa"/>
            <w:tcBorders>
              <w:top w:val="single" w:color="000000" w:sz="4" w:space="0"/>
              <w:left w:val="single" w:color="auto" w:sz="4" w:space="0"/>
              <w:bottom w:val="single" w:color="000000" w:sz="4" w:space="0"/>
              <w:right w:val="single" w:color="000000" w:sz="4" w:space="0"/>
            </w:tcBorders>
            <w:noWrap w:val="0"/>
            <w:vAlign w:val="center"/>
          </w:tcPr>
          <w:p w14:paraId="3150D6C0">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B3BFDC7">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纯复镇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5B2F039E">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r>
      <w:tr w14:paraId="3F4FA510">
        <w:tblPrEx>
          <w:tblCellMar>
            <w:top w:w="0" w:type="dxa"/>
            <w:left w:w="108" w:type="dxa"/>
            <w:bottom w:w="0" w:type="dxa"/>
            <w:right w:w="108" w:type="dxa"/>
          </w:tblCellMar>
        </w:tblPrEx>
        <w:trPr>
          <w:trHeight w:val="874" w:hRule="atLeast"/>
        </w:trPr>
        <w:tc>
          <w:tcPr>
            <w:tcW w:w="1883" w:type="dxa"/>
            <w:tcBorders>
              <w:top w:val="single" w:color="auto" w:sz="4" w:space="0"/>
              <w:left w:val="single" w:color="000000" w:sz="4" w:space="0"/>
              <w:bottom w:val="single" w:color="000000" w:sz="4" w:space="0"/>
              <w:right w:val="single" w:color="000000" w:sz="4" w:space="0"/>
            </w:tcBorders>
            <w:noWrap w:val="0"/>
            <w:vAlign w:val="center"/>
          </w:tcPr>
          <w:p w14:paraId="3FB9F6A9">
            <w:pPr>
              <w:autoSpaceDN w:val="0"/>
              <w:jc w:val="center"/>
              <w:textAlignment w:val="center"/>
              <w:rPr>
                <w:rFonts w:eastAsia="仿宋_GB2312"/>
                <w:color w:val="000000"/>
                <w:sz w:val="32"/>
                <w:szCs w:val="32"/>
              </w:rPr>
            </w:pPr>
            <w:r>
              <w:rPr>
                <w:rFonts w:hint="eastAsia" w:eastAsia="仿宋_GB2312"/>
                <w:color w:val="000000"/>
                <w:sz w:val="32"/>
                <w:szCs w:val="32"/>
              </w:rPr>
              <w:t>周坡镇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3657B9AA">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FF30E2F">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宝五镇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4B057DF8">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r>
      <w:tr w14:paraId="0210A203">
        <w:tblPrEx>
          <w:tblCellMar>
            <w:top w:w="0" w:type="dxa"/>
            <w:left w:w="108" w:type="dxa"/>
            <w:bottom w:w="0" w:type="dxa"/>
            <w:right w:w="108" w:type="dxa"/>
          </w:tblCellMar>
        </w:tblPrEx>
        <w:trPr>
          <w:trHeight w:val="824"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3B9E18E0">
            <w:pPr>
              <w:autoSpaceDN w:val="0"/>
              <w:jc w:val="center"/>
              <w:textAlignment w:val="center"/>
              <w:rPr>
                <w:rFonts w:eastAsia="仿宋_GB2312"/>
                <w:color w:val="000000"/>
                <w:sz w:val="32"/>
                <w:szCs w:val="32"/>
              </w:rPr>
            </w:pPr>
            <w:r>
              <w:rPr>
                <w:rFonts w:hint="eastAsia" w:eastAsia="仿宋_GB2312"/>
                <w:color w:val="000000"/>
                <w:sz w:val="32"/>
                <w:szCs w:val="32"/>
              </w:rPr>
              <w:t>集益镇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43AEA64E">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5D942F7B">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东林镇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8CD76CE">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r>
      <w:tr w14:paraId="6E3F956A">
        <w:tblPrEx>
          <w:tblCellMar>
            <w:top w:w="0" w:type="dxa"/>
            <w:left w:w="108" w:type="dxa"/>
            <w:bottom w:w="0" w:type="dxa"/>
            <w:right w:w="108" w:type="dxa"/>
          </w:tblCellMar>
        </w:tblPrEx>
        <w:trPr>
          <w:trHeight w:val="839"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17C7ACA2">
            <w:pPr>
              <w:autoSpaceDN w:val="0"/>
              <w:jc w:val="center"/>
              <w:textAlignment w:val="center"/>
              <w:rPr>
                <w:rFonts w:eastAsia="仿宋_GB2312"/>
                <w:color w:val="000000"/>
                <w:sz w:val="32"/>
                <w:szCs w:val="32"/>
              </w:rPr>
            </w:pPr>
            <w:r>
              <w:rPr>
                <w:rFonts w:hint="eastAsia" w:eastAsia="仿宋_GB2312"/>
                <w:color w:val="000000"/>
                <w:sz w:val="32"/>
                <w:szCs w:val="32"/>
              </w:rPr>
              <w:t>研经镇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2C250DE0">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949E8EC">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千佛镇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60A413D1">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r>
      <w:tr w14:paraId="39BFD2DA">
        <w:tblPrEx>
          <w:tblCellMar>
            <w:top w:w="0" w:type="dxa"/>
            <w:left w:w="108" w:type="dxa"/>
            <w:bottom w:w="0" w:type="dxa"/>
            <w:right w:w="108" w:type="dxa"/>
          </w:tblCellMar>
        </w:tblPrEx>
        <w:trPr>
          <w:trHeight w:val="904"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1F6092C7">
            <w:pPr>
              <w:autoSpaceDN w:val="0"/>
              <w:jc w:val="center"/>
              <w:textAlignment w:val="center"/>
              <w:rPr>
                <w:rFonts w:eastAsia="仿宋_GB2312"/>
                <w:color w:val="000000"/>
                <w:sz w:val="32"/>
                <w:szCs w:val="32"/>
              </w:rPr>
            </w:pPr>
            <w:r>
              <w:rPr>
                <w:rFonts w:hint="eastAsia" w:eastAsia="仿宋_GB2312"/>
                <w:color w:val="000000"/>
                <w:sz w:val="32"/>
                <w:szCs w:val="32"/>
              </w:rPr>
              <w:t>高凤镇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26370CF7">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73DD59C">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门坎镇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57283274">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1</w:t>
            </w:r>
          </w:p>
        </w:tc>
      </w:tr>
      <w:tr w14:paraId="2BEFBD33">
        <w:tblPrEx>
          <w:tblCellMar>
            <w:top w:w="0" w:type="dxa"/>
            <w:left w:w="108" w:type="dxa"/>
            <w:bottom w:w="0" w:type="dxa"/>
            <w:right w:w="108" w:type="dxa"/>
          </w:tblCellMar>
        </w:tblPrEx>
        <w:trPr>
          <w:trHeight w:val="949"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76BDEE33">
            <w:pPr>
              <w:autoSpaceDN w:val="0"/>
              <w:jc w:val="center"/>
              <w:textAlignment w:val="center"/>
              <w:rPr>
                <w:rFonts w:eastAsia="仿宋_GB2312"/>
                <w:color w:val="000000"/>
                <w:kern w:val="2"/>
                <w:sz w:val="32"/>
                <w:szCs w:val="32"/>
                <w:lang w:val="en-US" w:eastAsia="zh-CN" w:bidi="ar-SA"/>
              </w:rPr>
            </w:pPr>
            <w:r>
              <w:rPr>
                <w:rFonts w:hint="eastAsia" w:eastAsia="仿宋_GB2312"/>
                <w:color w:val="000000"/>
                <w:sz w:val="32"/>
                <w:szCs w:val="32"/>
              </w:rPr>
              <w:t>马踏镇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4F135096">
            <w:pPr>
              <w:autoSpaceDN w:val="0"/>
              <w:jc w:val="center"/>
              <w:textAlignment w:val="center"/>
              <w:rPr>
                <w:rFonts w:hint="eastAsia" w:eastAsia="仿宋_GB2312"/>
                <w:color w:val="000000"/>
                <w:sz w:val="32"/>
                <w:szCs w:val="32"/>
                <w:lang w:val="en-US"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5488EFA4">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竹园镇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3EBEFBA6">
            <w:pPr>
              <w:autoSpaceDN w:val="0"/>
              <w:jc w:val="center"/>
              <w:textAlignment w:val="center"/>
              <w:rPr>
                <w:rFonts w:hint="eastAsia" w:eastAsia="仿宋_GB2312"/>
                <w:color w:val="000000"/>
                <w:sz w:val="32"/>
                <w:szCs w:val="32"/>
                <w:lang w:val="en-US" w:eastAsia="zh-CN"/>
              </w:rPr>
            </w:pPr>
            <w:r>
              <w:rPr>
                <w:rFonts w:hint="eastAsia" w:eastAsia="仿宋_GB2312"/>
                <w:color w:val="000000"/>
                <w:sz w:val="32"/>
                <w:szCs w:val="32"/>
                <w:lang w:val="en-US" w:eastAsia="zh-CN"/>
              </w:rPr>
              <w:t>1</w:t>
            </w:r>
          </w:p>
        </w:tc>
      </w:tr>
      <w:tr w14:paraId="1F4F50C9">
        <w:tblPrEx>
          <w:tblCellMar>
            <w:top w:w="0" w:type="dxa"/>
            <w:left w:w="108" w:type="dxa"/>
            <w:bottom w:w="0" w:type="dxa"/>
            <w:right w:w="108" w:type="dxa"/>
          </w:tblCellMar>
        </w:tblPrEx>
        <w:trPr>
          <w:trHeight w:val="964"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46566552">
            <w:pPr>
              <w:autoSpaceDN w:val="0"/>
              <w:jc w:val="center"/>
              <w:textAlignment w:val="center"/>
              <w:rPr>
                <w:rFonts w:eastAsia="仿宋_GB2312"/>
                <w:color w:val="000000"/>
                <w:kern w:val="2"/>
                <w:sz w:val="32"/>
                <w:szCs w:val="32"/>
                <w:lang w:val="en-US" w:eastAsia="zh-CN" w:bidi="ar-SA"/>
              </w:rPr>
            </w:pPr>
            <w:r>
              <w:rPr>
                <w:rFonts w:hint="eastAsia" w:eastAsia="仿宋_GB2312"/>
                <w:color w:val="000000"/>
                <w:sz w:val="32"/>
                <w:szCs w:val="32"/>
              </w:rPr>
              <w:t>王村镇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32DCAB8E">
            <w:pPr>
              <w:autoSpaceDN w:val="0"/>
              <w:jc w:val="center"/>
              <w:textAlignment w:val="center"/>
              <w:rPr>
                <w:rFonts w:hint="eastAsia" w:eastAsia="仿宋_GB2312"/>
                <w:color w:val="000000"/>
                <w:sz w:val="32"/>
                <w:szCs w:val="32"/>
                <w:lang w:val="en-US"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5C7233D">
            <w:pPr>
              <w:autoSpaceDN w:val="0"/>
              <w:jc w:val="center"/>
              <w:textAlignment w:val="center"/>
              <w:rPr>
                <w:rFonts w:hint="eastAsia" w:eastAsia="仿宋_GB2312"/>
                <w:color w:val="000000"/>
                <w:sz w:val="32"/>
                <w:szCs w:val="32"/>
                <w:lang w:eastAsia="zh-CN"/>
              </w:rPr>
            </w:pPr>
            <w:r>
              <w:rPr>
                <w:rFonts w:hint="eastAsia" w:eastAsia="仿宋_GB2312"/>
                <w:color w:val="000000"/>
                <w:sz w:val="32"/>
                <w:szCs w:val="32"/>
                <w:lang w:eastAsia="zh-CN"/>
              </w:rPr>
              <w:t>镇阳镇</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6B1FF51">
            <w:pPr>
              <w:autoSpaceDN w:val="0"/>
              <w:jc w:val="center"/>
              <w:textAlignment w:val="center"/>
              <w:rPr>
                <w:rFonts w:hint="eastAsia" w:eastAsia="仿宋_GB2312"/>
                <w:color w:val="000000"/>
                <w:sz w:val="32"/>
                <w:szCs w:val="32"/>
                <w:lang w:val="en-US" w:eastAsia="zh-CN"/>
              </w:rPr>
            </w:pPr>
            <w:r>
              <w:rPr>
                <w:rFonts w:hint="eastAsia" w:eastAsia="仿宋_GB2312"/>
                <w:color w:val="000000"/>
                <w:sz w:val="32"/>
                <w:szCs w:val="32"/>
                <w:lang w:val="en-US" w:eastAsia="zh-CN"/>
              </w:rPr>
              <w:t>1</w:t>
            </w:r>
          </w:p>
        </w:tc>
      </w:tr>
      <w:tr w14:paraId="356ADDFE">
        <w:tblPrEx>
          <w:tblCellMar>
            <w:top w:w="0" w:type="dxa"/>
            <w:left w:w="108" w:type="dxa"/>
            <w:bottom w:w="0" w:type="dxa"/>
            <w:right w:w="108" w:type="dxa"/>
          </w:tblCellMar>
        </w:tblPrEx>
        <w:trPr>
          <w:trHeight w:val="919"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4E31F7BC">
            <w:pPr>
              <w:autoSpaceDN w:val="0"/>
              <w:jc w:val="center"/>
              <w:textAlignment w:val="center"/>
              <w:rPr>
                <w:rFonts w:eastAsia="仿宋_GB2312"/>
                <w:color w:val="000000"/>
                <w:kern w:val="2"/>
                <w:sz w:val="32"/>
                <w:szCs w:val="32"/>
                <w:lang w:val="en-US" w:eastAsia="zh-CN" w:bidi="ar-SA"/>
              </w:rPr>
            </w:pPr>
            <w:r>
              <w:rPr>
                <w:rFonts w:hint="eastAsia" w:eastAsia="仿宋_GB2312"/>
                <w:color w:val="000000"/>
                <w:sz w:val="32"/>
                <w:szCs w:val="32"/>
              </w:rPr>
              <w:t>三江镇</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3F0AA7FA">
            <w:pPr>
              <w:autoSpaceDN w:val="0"/>
              <w:jc w:val="center"/>
              <w:textAlignment w:val="center"/>
              <w:rPr>
                <w:rFonts w:hint="eastAsia" w:eastAsia="仿宋_GB2312"/>
                <w:color w:val="000000"/>
                <w:sz w:val="32"/>
                <w:szCs w:val="32"/>
                <w:lang w:val="en-US" w:eastAsia="zh-CN"/>
              </w:rPr>
            </w:pPr>
            <w:r>
              <w:rPr>
                <w:rFonts w:hint="eastAsia" w:eastAsia="仿宋_GB2312"/>
                <w:color w:val="000000"/>
                <w:sz w:val="32"/>
                <w:szCs w:val="32"/>
                <w:lang w:val="en-US" w:eastAsia="zh-CN"/>
              </w:rPr>
              <w:t>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3DC576E">
            <w:pPr>
              <w:autoSpaceDN w:val="0"/>
              <w:jc w:val="center"/>
              <w:textAlignment w:val="center"/>
              <w:rPr>
                <w:rFonts w:hint="eastAsia" w:eastAsia="仿宋_GB2312"/>
                <w:color w:val="000000"/>
                <w:sz w:val="32"/>
                <w:szCs w:val="32"/>
                <w:lang w:eastAsia="zh-CN"/>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6AC68EA2">
            <w:pPr>
              <w:autoSpaceDN w:val="0"/>
              <w:jc w:val="center"/>
              <w:textAlignment w:val="center"/>
              <w:rPr>
                <w:rFonts w:hint="eastAsia" w:eastAsia="仿宋_GB2312"/>
                <w:color w:val="000000"/>
                <w:sz w:val="32"/>
                <w:szCs w:val="32"/>
                <w:lang w:eastAsia="zh-CN"/>
              </w:rPr>
            </w:pPr>
          </w:p>
        </w:tc>
      </w:tr>
      <w:tr w14:paraId="5A6DFB83">
        <w:tblPrEx>
          <w:tblCellMar>
            <w:top w:w="0" w:type="dxa"/>
            <w:left w:w="108" w:type="dxa"/>
            <w:bottom w:w="0" w:type="dxa"/>
            <w:right w:w="108" w:type="dxa"/>
          </w:tblCellMar>
        </w:tblPrEx>
        <w:trPr>
          <w:trHeight w:val="1055" w:hRule="atLeast"/>
        </w:trPr>
        <w:tc>
          <w:tcPr>
            <w:tcW w:w="1883" w:type="dxa"/>
            <w:tcBorders>
              <w:top w:val="single" w:color="000000" w:sz="4" w:space="0"/>
              <w:left w:val="single" w:color="000000" w:sz="4" w:space="0"/>
              <w:bottom w:val="single" w:color="000000" w:sz="4" w:space="0"/>
              <w:right w:val="single" w:color="000000" w:sz="4" w:space="0"/>
            </w:tcBorders>
            <w:noWrap w:val="0"/>
            <w:vAlign w:val="center"/>
          </w:tcPr>
          <w:p w14:paraId="743E4D84">
            <w:pPr>
              <w:autoSpaceDN w:val="0"/>
              <w:jc w:val="center"/>
              <w:textAlignment w:val="center"/>
              <w:rPr>
                <w:rFonts w:eastAsia="仿宋_GB2312"/>
                <w:color w:val="000000"/>
                <w:kern w:val="2"/>
                <w:sz w:val="32"/>
                <w:szCs w:val="32"/>
                <w:lang w:val="en-US" w:eastAsia="zh-CN" w:bidi="ar-SA"/>
              </w:rPr>
            </w:pPr>
            <w:r>
              <w:rPr>
                <w:rFonts w:hint="eastAsia" w:eastAsia="仿宋_GB2312"/>
                <w:color w:val="000000"/>
                <w:kern w:val="2"/>
                <w:sz w:val="32"/>
                <w:szCs w:val="32"/>
                <w:lang w:val="en-US" w:eastAsia="zh-CN" w:bidi="ar-SA"/>
              </w:rPr>
              <w:t>合计</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3571D839">
            <w:pPr>
              <w:autoSpaceDN w:val="0"/>
              <w:jc w:val="center"/>
              <w:textAlignment w:val="center"/>
              <w:rPr>
                <w:rFonts w:hint="default" w:eastAsia="仿宋_GB2312"/>
                <w:color w:val="000000"/>
                <w:sz w:val="32"/>
                <w:szCs w:val="32"/>
                <w:lang w:val="en-US" w:eastAsia="zh-CN"/>
              </w:rPr>
            </w:pPr>
            <w:r>
              <w:rPr>
                <w:rFonts w:hint="eastAsia" w:eastAsia="仿宋_GB2312"/>
                <w:color w:val="000000"/>
                <w:sz w:val="32"/>
                <w:szCs w:val="32"/>
                <w:lang w:val="en-US" w:eastAsia="zh-CN"/>
              </w:rPr>
              <w:t>15</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EA8E289">
            <w:pPr>
              <w:autoSpaceDN w:val="0"/>
              <w:jc w:val="center"/>
              <w:textAlignment w:val="center"/>
              <w:rPr>
                <w:rFonts w:eastAsia="仿宋_GB2312"/>
                <w:color w:val="000000"/>
                <w:sz w:val="32"/>
                <w:szCs w:val="32"/>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285DD0BB">
            <w:pPr>
              <w:autoSpaceDN w:val="0"/>
              <w:jc w:val="center"/>
              <w:textAlignment w:val="center"/>
              <w:rPr>
                <w:rFonts w:eastAsia="仿宋_GB2312"/>
                <w:color w:val="000000"/>
                <w:sz w:val="32"/>
                <w:szCs w:val="32"/>
              </w:rPr>
            </w:pPr>
          </w:p>
        </w:tc>
      </w:tr>
    </w:tbl>
    <w:p w14:paraId="7B1DDD27">
      <w:pPr>
        <w:ind w:firstLine="640" w:firstLineChars="200"/>
        <w:rPr>
          <w:rFonts w:ascii="仿宋_GB2312" w:hAnsi="宋体" w:eastAsia="仿宋_GB2312" w:cs="仿宋_GB2312"/>
          <w:i w:val="0"/>
          <w:iCs w:val="0"/>
          <w:caps w:val="0"/>
          <w:color w:val="333333"/>
          <w:spacing w:val="0"/>
          <w:sz w:val="32"/>
          <w:szCs w:val="32"/>
          <w:shd w:val="clear" w:fill="FFFFFF"/>
        </w:rPr>
      </w:pPr>
    </w:p>
    <w:p w14:paraId="6E08ABF8"/>
    <w:sectPr>
      <w:footerReference r:id="rId3" w:type="default"/>
      <w:pgSz w:w="11906" w:h="16838"/>
      <w:pgMar w:top="2041" w:right="1468" w:bottom="1587" w:left="146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0460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5EF89">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375EF89">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421D1"/>
    <w:rsid w:val="232A4E2E"/>
    <w:rsid w:val="68042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table of figures"/>
    <w:basedOn w:val="1"/>
    <w:next w:val="1"/>
    <w:unhideWhenUsed/>
    <w:qFormat/>
    <w:uiPriority w:val="99"/>
    <w:pPr>
      <w:ind w:left="200" w:leftChars="200" w:hanging="200" w:hangingChars="200"/>
    </w:pPr>
  </w:style>
  <w:style w:type="paragraph" w:styleId="5">
    <w:name w:val="Normal (Web)"/>
    <w:qFormat/>
    <w:uiPriority w:val="0"/>
    <w:pPr>
      <w:widowControl/>
      <w:spacing w:before="100" w:beforeAutospacing="1" w:after="100" w:afterAutospacing="1" w:line="240" w:lineRule="auto"/>
      <w:jc w:val="left"/>
    </w:pPr>
    <w:rPr>
      <w:rFonts w:ascii="宋体" w:hAnsi="宋体"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1294</Words>
  <Characters>1356</Characters>
  <Lines>0</Lines>
  <Paragraphs>0</Paragraphs>
  <TotalTime>0</TotalTime>
  <ScaleCrop>false</ScaleCrop>
  <LinksUpToDate>false</LinksUpToDate>
  <CharactersWithSpaces>1359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2025-10-29T02:35:00Z</dcterms:created>
  <dc:creator>花季、看雨飘</dc:creator>
  <cp:lastModifiedBy>花季、看雨飘</cp:lastModifiedBy>
  <dcterms:modified xsi:type="dcterms:W3CDTF">2026-07-17T02:31:30Z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FCE35709A1314EE195BFB25AF9CDB04E_13</vt:lpwstr>
  </property>
  <property fmtid="{D5CDD505-2E9C-101B-9397-08002B2CF9AE}" pid="4" name="KSOTemplateDocerSaveRecord">
    <vt:lpwstr>eyJoZGlkIjoiOWVjZWEwYzU5YWMwZjlhNWY2YzQyZGJlODlhYWVkYjYiLCJ1c2VySWQiOiIzMDA0NTgwNTAifQ==</vt:lpwstr>
  </property>
</Properties>
</file>