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pPr>
      <w:bookmarkStart w:id="0" w:name="_Hlk92986084"/>
      <w:bookmarkEnd w:id="0"/>
      <w:bookmarkStart w:id="1" w:name="_Toc79070156"/>
    </w:p>
    <w:p>
      <w:pPr>
        <w:ind w:firstLine="0" w:firstLineChars="0"/>
      </w:pPr>
    </w:p>
    <w:p>
      <w:pPr>
        <w:ind w:firstLine="0" w:firstLineChars="0"/>
      </w:pPr>
    </w:p>
    <w:p>
      <w:pPr>
        <w:spacing w:line="240" w:lineRule="auto"/>
        <w:ind w:firstLine="0" w:firstLineChars="0"/>
        <w:jc w:val="center"/>
        <w:outlineLvl w:val="0"/>
        <w:rPr>
          <w:rFonts w:ascii="方正小标宋简体" w:eastAsia="方正小标宋简体" w:cs="Times New Roman"/>
          <w:b/>
          <w:sz w:val="52"/>
          <w:szCs w:val="48"/>
        </w:rPr>
      </w:pPr>
      <w:bookmarkStart w:id="2" w:name="_Toc28841"/>
      <w:r>
        <w:rPr>
          <w:rFonts w:hint="eastAsia" w:ascii="方正小标宋简体" w:eastAsia="方正小标宋简体" w:cs="Times New Roman"/>
          <w:b/>
          <w:sz w:val="52"/>
          <w:szCs w:val="48"/>
        </w:rPr>
        <w:t>井研县“十四五”</w:t>
      </w:r>
      <w:bookmarkEnd w:id="2"/>
    </w:p>
    <w:p>
      <w:pPr>
        <w:spacing w:line="240" w:lineRule="auto"/>
        <w:ind w:firstLine="0" w:firstLineChars="0"/>
        <w:jc w:val="center"/>
        <w:outlineLvl w:val="0"/>
        <w:rPr>
          <w:rFonts w:ascii="方正小标宋简体" w:eastAsia="方正小标宋简体" w:cs="Times New Roman"/>
          <w:b/>
          <w:sz w:val="52"/>
          <w:szCs w:val="48"/>
        </w:rPr>
      </w:pPr>
      <w:bookmarkStart w:id="3" w:name="_Toc14290"/>
      <w:r>
        <w:rPr>
          <w:rFonts w:hint="eastAsia" w:ascii="方正小标宋简体" w:eastAsia="方正小标宋简体" w:cs="Times New Roman"/>
          <w:b/>
          <w:sz w:val="52"/>
          <w:szCs w:val="48"/>
        </w:rPr>
        <w:t>推进农业农村现代化规划</w:t>
      </w:r>
      <w:bookmarkEnd w:id="1"/>
      <w:bookmarkEnd w:id="3"/>
    </w:p>
    <w:p>
      <w:pPr>
        <w:spacing w:line="240" w:lineRule="auto"/>
        <w:ind w:firstLine="0" w:firstLineChars="0"/>
        <w:jc w:val="center"/>
        <w:outlineLvl w:val="0"/>
        <w:rPr>
          <w:rFonts w:ascii="方正小标宋简体" w:eastAsia="方正小标宋简体" w:cs="Times New Roman"/>
          <w:b/>
          <w:sz w:val="52"/>
          <w:szCs w:val="48"/>
        </w:rPr>
      </w:pPr>
      <w:bookmarkStart w:id="4" w:name="_Toc2509"/>
      <w:r>
        <w:rPr>
          <w:rFonts w:hint="eastAsia" w:ascii="方正小标宋简体" w:eastAsia="方正小标宋简体" w:cs="Times New Roman"/>
          <w:b/>
          <w:sz w:val="52"/>
          <w:szCs w:val="48"/>
        </w:rPr>
        <w:t>（</w:t>
      </w:r>
      <w:r>
        <w:rPr>
          <w:rFonts w:hint="eastAsia" w:ascii="方正小标宋简体" w:eastAsia="方正小标宋简体" w:cs="Times New Roman"/>
          <w:b/>
          <w:sz w:val="52"/>
          <w:szCs w:val="48"/>
          <w:lang w:eastAsia="zh-CN"/>
        </w:rPr>
        <w:t>征求意见</w:t>
      </w:r>
      <w:r>
        <w:rPr>
          <w:rFonts w:hint="eastAsia" w:ascii="方正小标宋简体" w:eastAsia="方正小标宋简体" w:cs="Times New Roman"/>
          <w:b/>
          <w:sz w:val="52"/>
          <w:szCs w:val="48"/>
        </w:rPr>
        <w:t>稿）</w:t>
      </w:r>
      <w:bookmarkEnd w:id="4"/>
    </w:p>
    <w:p>
      <w:pPr>
        <w:ind w:firstLine="0" w:firstLineChars="0"/>
        <w:jc w:val="center"/>
        <w:rPr>
          <w:rFonts w:ascii="黑体" w:hAnsi="黑体" w:eastAsia="黑体"/>
          <w:b/>
          <w:sz w:val="44"/>
          <w:szCs w:val="32"/>
        </w:rPr>
      </w:pPr>
    </w:p>
    <w:p>
      <w:pPr>
        <w:ind w:firstLine="0" w:firstLineChars="0"/>
        <w:jc w:val="center"/>
        <w:rPr>
          <w:rFonts w:ascii="黑体" w:hAnsi="黑体" w:eastAsia="黑体"/>
          <w:b/>
          <w:sz w:val="44"/>
          <w:szCs w:val="32"/>
        </w:rPr>
      </w:pPr>
    </w:p>
    <w:p>
      <w:pPr>
        <w:ind w:firstLine="0" w:firstLineChars="0"/>
        <w:jc w:val="center"/>
        <w:rPr>
          <w:rFonts w:ascii="黑体" w:hAnsi="黑体" w:eastAsia="黑体"/>
          <w:b/>
          <w:sz w:val="44"/>
          <w:szCs w:val="32"/>
        </w:rPr>
      </w:pPr>
    </w:p>
    <w:p>
      <w:pPr>
        <w:ind w:firstLine="0" w:firstLineChars="0"/>
        <w:jc w:val="center"/>
        <w:rPr>
          <w:rFonts w:ascii="黑体" w:hAnsi="黑体" w:eastAsia="黑体"/>
          <w:b/>
          <w:sz w:val="44"/>
          <w:szCs w:val="32"/>
        </w:rPr>
      </w:pPr>
    </w:p>
    <w:p>
      <w:pPr>
        <w:ind w:firstLine="0" w:firstLineChars="0"/>
        <w:jc w:val="center"/>
        <w:rPr>
          <w:rFonts w:ascii="黑体" w:hAnsi="黑体" w:eastAsia="黑体"/>
          <w:b/>
          <w:sz w:val="44"/>
          <w:szCs w:val="32"/>
        </w:rPr>
      </w:pPr>
    </w:p>
    <w:p>
      <w:pPr>
        <w:ind w:firstLine="0" w:firstLineChars="0"/>
        <w:jc w:val="center"/>
        <w:rPr>
          <w:rFonts w:ascii="黑体" w:hAnsi="黑体" w:eastAsia="黑体"/>
          <w:b/>
          <w:sz w:val="44"/>
          <w:szCs w:val="32"/>
        </w:rPr>
      </w:pPr>
    </w:p>
    <w:p>
      <w:pPr>
        <w:ind w:firstLine="0" w:firstLineChars="0"/>
        <w:rPr>
          <w:b/>
        </w:rPr>
      </w:pPr>
    </w:p>
    <w:p>
      <w:pPr>
        <w:ind w:firstLine="0" w:firstLineChars="0"/>
        <w:rPr>
          <w:b/>
        </w:rPr>
      </w:pPr>
    </w:p>
    <w:p>
      <w:pPr>
        <w:ind w:firstLine="0" w:firstLineChars="0"/>
        <w:rPr>
          <w:b/>
        </w:rPr>
      </w:pPr>
    </w:p>
    <w:p>
      <w:pPr>
        <w:ind w:firstLine="0" w:firstLineChars="0"/>
        <w:rPr>
          <w:b/>
        </w:rPr>
      </w:pPr>
    </w:p>
    <w:p>
      <w:pPr>
        <w:ind w:firstLine="0" w:firstLineChars="0"/>
        <w:rPr>
          <w:b/>
        </w:rPr>
      </w:pPr>
    </w:p>
    <w:p>
      <w:pPr>
        <w:ind w:firstLine="0" w:firstLineChars="0"/>
        <w:rPr>
          <w:b/>
        </w:rPr>
      </w:pPr>
    </w:p>
    <w:p>
      <w:pPr>
        <w:ind w:firstLine="0" w:firstLineChars="0"/>
        <w:rPr>
          <w:b/>
        </w:rPr>
      </w:pPr>
    </w:p>
    <w:p>
      <w:pPr>
        <w:ind w:firstLine="0" w:firstLineChars="0"/>
        <w:rPr>
          <w:b/>
          <w:sz w:val="36"/>
          <w:szCs w:val="24"/>
        </w:rPr>
      </w:pPr>
    </w:p>
    <w:p>
      <w:pPr>
        <w:spacing w:line="240" w:lineRule="auto"/>
        <w:ind w:firstLine="0" w:firstLineChars="0"/>
        <w:jc w:val="center"/>
        <w:outlineLvl w:val="0"/>
        <w:rPr>
          <w:rFonts w:ascii="方正小标宋简体" w:eastAsia="方正小标宋简体" w:cs="Times New Roman"/>
          <w:b/>
          <w:szCs w:val="28"/>
        </w:rPr>
      </w:pPr>
      <w:bookmarkStart w:id="5" w:name="_Toc18725"/>
      <w:r>
        <w:rPr>
          <w:rFonts w:hint="eastAsia" w:ascii="方正小标宋简体" w:eastAsia="方正小标宋简体" w:cs="Times New Roman"/>
          <w:b/>
          <w:szCs w:val="28"/>
        </w:rPr>
        <w:t>井研县农业农村局</w:t>
      </w:r>
      <w:bookmarkEnd w:id="5"/>
    </w:p>
    <w:p>
      <w:pPr>
        <w:spacing w:line="240" w:lineRule="auto"/>
        <w:ind w:firstLine="0" w:firstLineChars="0"/>
        <w:jc w:val="center"/>
        <w:outlineLvl w:val="0"/>
        <w:rPr>
          <w:rFonts w:ascii="方正小标宋简体" w:eastAsia="方正小标宋简体" w:cs="Times New Roman"/>
          <w:bCs/>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531" w:right="1588" w:bottom="1418" w:left="1701" w:header="851" w:footer="850" w:gutter="0"/>
          <w:pgNumType w:fmt="numberInDash" w:start="1"/>
          <w:cols w:space="425" w:num="1"/>
          <w:titlePg/>
          <w:docGrid w:type="lines" w:linePitch="435" w:charSpace="0"/>
        </w:sectPr>
      </w:pPr>
      <w:bookmarkStart w:id="6" w:name="_Toc10286"/>
      <w:r>
        <w:rPr>
          <w:rFonts w:hint="eastAsia" w:ascii="方正小标宋简体" w:eastAsia="方正小标宋简体" w:cs="Times New Roman"/>
          <w:b/>
          <w:szCs w:val="28"/>
        </w:rPr>
        <w:t>2023年11月</w:t>
      </w:r>
      <w:bookmarkEnd w:id="6"/>
    </w:p>
    <w:p>
      <w:pPr>
        <w:widowControl/>
        <w:adjustRightInd/>
        <w:snapToGrid/>
        <w:spacing w:line="240" w:lineRule="auto"/>
        <w:ind w:firstLine="0" w:firstLineChars="0"/>
        <w:jc w:val="left"/>
        <w:sectPr>
          <w:pgSz w:w="11906" w:h="16838"/>
          <w:pgMar w:top="1531" w:right="1588" w:bottom="1418" w:left="1701" w:header="851" w:footer="850" w:gutter="0"/>
          <w:pgNumType w:fmt="numberInDash" w:start="1"/>
          <w:cols w:space="425" w:num="1"/>
          <w:titlePg/>
          <w:docGrid w:type="lines" w:linePitch="435" w:charSpace="0"/>
        </w:sectPr>
      </w:pPr>
      <w:r>
        <w:br w:type="page"/>
      </w:r>
    </w:p>
    <w:p>
      <w:pPr>
        <w:pStyle w:val="2"/>
        <w:numPr>
          <w:ilvl w:val="0"/>
          <w:numId w:val="0"/>
        </w:numPr>
        <w:spacing w:before="217" w:after="217"/>
      </w:pPr>
      <w:bookmarkStart w:id="7" w:name="_Toc15635"/>
      <w:bookmarkStart w:id="8" w:name="_Toc111818517"/>
      <w:r>
        <w:rPr>
          <w:rFonts w:hint="eastAsia"/>
        </w:rPr>
        <w:t>前    言</w:t>
      </w:r>
      <w:bookmarkEnd w:id="7"/>
      <w:bookmarkEnd w:id="8"/>
    </w:p>
    <w:p>
      <w:pPr>
        <w:ind w:firstLine="640"/>
      </w:pPr>
      <w:r>
        <w:rPr>
          <w:rFonts w:hint="eastAsia"/>
        </w:rPr>
        <w:t>“十四五”时期是开启全面建设社会主义现代化国家新征程、向第二个百年奋斗目标进军的第一个五年，也是全县脱贫攻坚任务完成后，巩固拓展脱贫攻坚成果，全面推进乡村振兴、加快农业农村现代化建设的关键五年。为深入贯彻党的二十大、十九大等全会精神，认真落实省委十一届历次全会精神和市委第八次党代会精神，响应省委、省政府关于“一带、五区、三十集群、千个园区”的“1531”的“天府粮仓”布局及建设宜居宜业和美乡村省级示范村的相关要求，依据《四川省“十四五”推进农业农村现代化规划》《成渝现代高效特色农业带建设规划》《建设新时代更高水平“天府粮仓”行动方案》《乐山市“十四五”推进农业农村现代化规划》《井研县国民经济和社会发展第十四个五年规划和二</w:t>
      </w:r>
      <w:r>
        <w:rPr>
          <w:rFonts w:hint="eastAsia" w:ascii="微软雅黑" w:hAnsi="微软雅黑" w:eastAsia="微软雅黑" w:cs="微软雅黑"/>
        </w:rPr>
        <w:t>〇</w:t>
      </w:r>
      <w:r>
        <w:rPr>
          <w:rFonts w:hint="eastAsia"/>
        </w:rPr>
        <w:t>三五年远景目标纲要》等，编制本规划。</w:t>
      </w:r>
    </w:p>
    <w:p>
      <w:pPr>
        <w:ind w:firstLine="640"/>
      </w:pPr>
      <w:r>
        <w:rPr>
          <w:rFonts w:hint="eastAsia"/>
        </w:rPr>
        <w:t>本规划以习近平新时代中国特色社会主义思想为指导，立足井研县农业农村发展实际，聚焦“十四五”时期全县农业农村发展关键领域、薄弱环节，提出“十四五”时期农业农村现代化发展基本思路、总体目标、重点任务和重大举措，对“十四五”时期扎实推进井研县农业农村工作，开启全面建设社会主义现代化井研新征程具有重要意义。</w:t>
      </w:r>
    </w:p>
    <w:p>
      <w:pPr>
        <w:ind w:firstLine="640"/>
      </w:pPr>
      <w:r>
        <w:rPr>
          <w:rFonts w:hint="eastAsia"/>
        </w:rPr>
        <w:t>本规划是“十四五”时期井研县推进农业农村现代化建设的指导性规划。</w:t>
      </w:r>
    </w:p>
    <w:p>
      <w:pPr>
        <w:pStyle w:val="16"/>
        <w:ind w:firstLine="640"/>
      </w:pPr>
    </w:p>
    <w:p>
      <w:pPr>
        <w:widowControl/>
        <w:adjustRightInd/>
        <w:snapToGrid/>
        <w:spacing w:line="240" w:lineRule="auto"/>
        <w:ind w:firstLine="0" w:firstLineChars="0"/>
        <w:jc w:val="left"/>
      </w:pPr>
      <w:r>
        <w:br w:type="page"/>
      </w:r>
    </w:p>
    <w:p>
      <w:pPr>
        <w:widowControl/>
        <w:adjustRightInd/>
        <w:snapToGrid/>
        <w:spacing w:line="240" w:lineRule="auto"/>
        <w:ind w:firstLine="0" w:firstLineChars="0"/>
        <w:jc w:val="left"/>
      </w:pPr>
      <w:r>
        <w:br w:type="page"/>
      </w:r>
    </w:p>
    <w:p>
      <w:pPr>
        <w:ind w:firstLine="640"/>
        <w:sectPr>
          <w:headerReference r:id="rId11" w:type="default"/>
          <w:pgSz w:w="11906" w:h="16838"/>
          <w:pgMar w:top="1531" w:right="1588" w:bottom="1418" w:left="1701" w:header="851" w:footer="850" w:gutter="0"/>
          <w:pgNumType w:fmt="numberInDash" w:start="1"/>
          <w:cols w:space="425" w:num="1"/>
          <w:titlePg/>
          <w:docGrid w:type="lines" w:linePitch="435" w:charSpace="0"/>
        </w:sectPr>
      </w:pPr>
    </w:p>
    <w:sdt>
      <w:sdtPr>
        <w:rPr>
          <w:rFonts w:ascii="仿宋_GB2312" w:eastAsia="黑体" w:hAnsiTheme="minorHAnsi"/>
          <w:b/>
          <w:bCs/>
          <w:lang w:val="zh-CN"/>
        </w:rPr>
        <w:id w:val="-288049786"/>
        <w:docPartObj>
          <w:docPartGallery w:val="Table of Contents"/>
          <w:docPartUnique/>
        </w:docPartObj>
      </w:sdtPr>
      <w:sdtEndPr>
        <w:rPr>
          <w:rFonts w:ascii="Times New Roman" w:hAnsi="Times New Roman" w:eastAsia="黑体"/>
          <w:b/>
          <w:bCs/>
          <w:sz w:val="36"/>
          <w:szCs w:val="24"/>
          <w:lang w:val="zh-CN"/>
        </w:rPr>
      </w:sdtEndPr>
      <w:sdtContent>
        <w:p>
          <w:pPr>
            <w:spacing w:line="240" w:lineRule="auto"/>
            <w:ind w:firstLine="0" w:firstLineChars="0"/>
            <w:jc w:val="center"/>
            <w:rPr>
              <w:rFonts w:ascii="黑体" w:hAnsi="黑体" w:eastAsia="黑体"/>
              <w:b/>
              <w:bCs/>
              <w:sz w:val="40"/>
              <w:szCs w:val="32"/>
            </w:rPr>
          </w:pPr>
          <w:r>
            <w:rPr>
              <w:rFonts w:cstheme="majorBidi"/>
              <w:color w:val="376092" w:themeColor="accent1" w:themeShade="BF"/>
              <w:kern w:val="0"/>
              <w:szCs w:val="36"/>
            </w:rPr>
            <w:fldChar w:fldCharType="begin"/>
          </w:r>
          <w:r>
            <w:rPr>
              <w:szCs w:val="24"/>
            </w:rPr>
            <w:instrText xml:space="preserve"> TOC \o "1-3" \h \z \u </w:instrText>
          </w:r>
          <w:r>
            <w:rPr>
              <w:rFonts w:cstheme="majorBidi"/>
              <w:color w:val="376092" w:themeColor="accent1" w:themeShade="BF"/>
              <w:kern w:val="0"/>
              <w:szCs w:val="36"/>
            </w:rPr>
            <w:fldChar w:fldCharType="separate"/>
          </w:r>
          <w:r>
            <w:rPr>
              <w:rFonts w:hint="eastAsia" w:ascii="黑体" w:hAnsi="黑体" w:eastAsia="黑体"/>
              <w:b/>
              <w:bCs/>
              <w:sz w:val="40"/>
              <w:szCs w:val="32"/>
            </w:rPr>
            <w:t>目  录</w:t>
          </w:r>
        </w:p>
        <w:p>
          <w:pPr>
            <w:pStyle w:val="21"/>
            <w:tabs>
              <w:tab w:val="right" w:leader="dot" w:pos="8617"/>
              <w:tab w:val="clear" w:pos="8607"/>
            </w:tabs>
            <w:spacing w:before="217" w:beforeLines="50" w:line="240" w:lineRule="auto"/>
            <w:rPr>
              <w:rFonts w:ascii="Times New Roman" w:hAnsi="Times New Roman" w:eastAsia="仿宋_GB2312"/>
              <w:sz w:val="28"/>
              <w:szCs w:val="21"/>
            </w:rPr>
          </w:pPr>
          <w:r>
            <w:fldChar w:fldCharType="begin"/>
          </w:r>
          <w:r>
            <w:instrText xml:space="preserve"> HYPERLINK \l "_Toc3288" </w:instrText>
          </w:r>
          <w:r>
            <w:fldChar w:fldCharType="separate"/>
          </w:r>
          <w:r>
            <w:rPr>
              <w:rFonts w:ascii="Times New Roman" w:hAnsi="Times New Roman" w:eastAsia="仿宋_GB2312"/>
              <w:sz w:val="28"/>
              <w:szCs w:val="21"/>
            </w:rPr>
            <w:t xml:space="preserve">第一章 </w:t>
          </w:r>
          <w:r>
            <w:rPr>
              <w:rFonts w:hint="eastAsia" w:ascii="Times New Roman" w:hAnsi="Times New Roman" w:eastAsia="仿宋_GB2312"/>
              <w:sz w:val="28"/>
              <w:szCs w:val="21"/>
            </w:rPr>
            <w:t>开启全面推进农业农村现代化井研新征程</w:t>
          </w:r>
          <w:r>
            <w:rPr>
              <w:rFonts w:hint="eastAsia" w:ascii="Times New Roman" w:hAnsi="Times New Roman" w:eastAsia="仿宋_GB2312"/>
              <w:sz w:val="28"/>
              <w:szCs w:val="21"/>
            </w:rPr>
            <w:tab/>
          </w:r>
          <w:r>
            <w:rPr>
              <w:rFonts w:hint="eastAsia" w:ascii="Times New Roman" w:hAnsi="Times New Roman" w:eastAsia="仿宋_GB2312"/>
              <w:sz w:val="28"/>
              <w:szCs w:val="21"/>
            </w:rPr>
            <w:fldChar w:fldCharType="begin"/>
          </w:r>
          <w:r>
            <w:rPr>
              <w:rFonts w:hint="eastAsia" w:ascii="Times New Roman" w:hAnsi="Times New Roman" w:eastAsia="仿宋_GB2312"/>
              <w:sz w:val="28"/>
              <w:szCs w:val="21"/>
            </w:rPr>
            <w:instrText xml:space="preserve"> PAGEREF _Toc3288 \h </w:instrText>
          </w:r>
          <w:r>
            <w:rPr>
              <w:rFonts w:hint="eastAsia" w:ascii="Times New Roman" w:hAnsi="Times New Roman" w:eastAsia="仿宋_GB2312"/>
              <w:sz w:val="28"/>
              <w:szCs w:val="21"/>
            </w:rPr>
            <w:fldChar w:fldCharType="separate"/>
          </w:r>
          <w:r>
            <w:rPr>
              <w:rFonts w:ascii="Times New Roman" w:hAnsi="Times New Roman" w:eastAsia="仿宋_GB2312"/>
              <w:sz w:val="28"/>
              <w:szCs w:val="21"/>
            </w:rPr>
            <w:t>1</w:t>
          </w:r>
          <w:r>
            <w:rPr>
              <w:rFonts w:hint="eastAsia" w:ascii="Times New Roman" w:hAnsi="Times New Roman" w:eastAsia="仿宋_GB2312"/>
              <w:sz w:val="28"/>
              <w:szCs w:val="21"/>
            </w:rPr>
            <w:fldChar w:fldCharType="end"/>
          </w:r>
          <w:r>
            <w:rPr>
              <w:rFonts w:hint="eastAsia" w:ascii="Times New Roman" w:hAnsi="Times New Roman" w:eastAsia="仿宋_GB2312"/>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"_Toc17627" </w:instrText>
          </w:r>
          <w:r>
            <w:fldChar w:fldCharType="separate"/>
          </w:r>
          <w:r>
            <w:rPr>
              <w:rFonts w:ascii="Times New Roman" w:eastAsia="仿宋_GB2312"/>
              <w:b w:val="0"/>
              <w:bCs w:val="0"/>
              <w:sz w:val="28"/>
              <w:szCs w:val="21"/>
            </w:rPr>
            <w:t xml:space="preserve">第一节 </w:t>
          </w:r>
          <w:r>
            <w:rPr>
              <w:rFonts w:hint="eastAsia" w:ascii="Times New Roman" w:eastAsia="仿宋_GB2312"/>
              <w:b w:val="0"/>
              <w:bCs w:val="0"/>
              <w:sz w:val="28"/>
              <w:szCs w:val="21"/>
            </w:rPr>
            <w:t>发展基础</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_Toc17627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1</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"_Toc22451" </w:instrText>
          </w:r>
          <w:r>
            <w:fldChar w:fldCharType="separate"/>
          </w:r>
          <w:r>
            <w:rPr>
              <w:rFonts w:ascii="Times New Roman" w:eastAsia="仿宋_GB2312"/>
              <w:b w:val="0"/>
              <w:bCs w:val="0"/>
              <w:sz w:val="28"/>
              <w:szCs w:val="21"/>
            </w:rPr>
            <w:t xml:space="preserve">第二节 </w:t>
          </w:r>
          <w:r>
            <w:rPr>
              <w:rFonts w:hint="eastAsia" w:ascii="Times New Roman" w:eastAsia="仿宋_GB2312"/>
              <w:b w:val="0"/>
              <w:bCs w:val="0"/>
              <w:sz w:val="28"/>
              <w:szCs w:val="21"/>
            </w:rPr>
            <w:t>面临机遇</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_Toc22451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7</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"_Toc3643" </w:instrText>
          </w:r>
          <w:r>
            <w:fldChar w:fldCharType="separate"/>
          </w:r>
          <w:r>
            <w:rPr>
              <w:rFonts w:ascii="Times New Roman" w:eastAsia="仿宋_GB2312"/>
              <w:b w:val="0"/>
              <w:bCs w:val="0"/>
              <w:sz w:val="28"/>
              <w:szCs w:val="21"/>
            </w:rPr>
            <w:t xml:space="preserve">第三节 </w:t>
          </w:r>
          <w:r>
            <w:rPr>
              <w:rFonts w:hint="eastAsia" w:ascii="Times New Roman" w:eastAsia="仿宋_GB2312"/>
              <w:b w:val="0"/>
              <w:bCs w:val="0"/>
              <w:sz w:val="28"/>
              <w:szCs w:val="21"/>
            </w:rPr>
            <w:t>面临挑战</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_Toc3643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8</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"_Toc11564" </w:instrText>
          </w:r>
          <w:r>
            <w:fldChar w:fldCharType="separate"/>
          </w:r>
          <w:r>
            <w:rPr>
              <w:rFonts w:ascii="Times New Roman" w:eastAsia="仿宋_GB2312"/>
              <w:b w:val="0"/>
              <w:bCs w:val="0"/>
              <w:sz w:val="28"/>
              <w:szCs w:val="21"/>
            </w:rPr>
            <w:t xml:space="preserve">第四节 </w:t>
          </w:r>
          <w:r>
            <w:rPr>
              <w:rFonts w:hint="eastAsia" w:ascii="Times New Roman" w:eastAsia="仿宋_GB2312"/>
              <w:b w:val="0"/>
              <w:bCs w:val="0"/>
              <w:sz w:val="28"/>
              <w:szCs w:val="21"/>
            </w:rPr>
            <w:t>编制依据</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_Toc11564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10</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"_Toc8342" </w:instrText>
          </w:r>
          <w:r>
            <w:fldChar w:fldCharType="separate"/>
          </w:r>
          <w:r>
            <w:rPr>
              <w:rFonts w:ascii="Times New Roman" w:eastAsia="仿宋_GB2312"/>
              <w:b w:val="0"/>
              <w:bCs w:val="0"/>
              <w:sz w:val="28"/>
              <w:szCs w:val="21"/>
            </w:rPr>
            <w:t xml:space="preserve">第五节 </w:t>
          </w:r>
          <w:r>
            <w:rPr>
              <w:rFonts w:hint="eastAsia" w:ascii="Times New Roman" w:eastAsia="仿宋_GB2312"/>
              <w:b w:val="0"/>
              <w:bCs w:val="0"/>
              <w:sz w:val="28"/>
              <w:szCs w:val="21"/>
            </w:rPr>
            <w:t>总体要求</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_Toc8342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11</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"_Toc30678" </w:instrText>
          </w:r>
          <w:r>
            <w:fldChar w:fldCharType="separate"/>
          </w:r>
          <w:r>
            <w:rPr>
              <w:rFonts w:ascii="Times New Roman" w:eastAsia="仿宋_GB2312"/>
              <w:b w:val="0"/>
              <w:bCs w:val="0"/>
              <w:sz w:val="28"/>
              <w:szCs w:val="21"/>
            </w:rPr>
            <w:t xml:space="preserve">第六节 </w:t>
          </w:r>
          <w:r>
            <w:rPr>
              <w:rFonts w:hint="eastAsia" w:ascii="Times New Roman" w:eastAsia="仿宋_GB2312"/>
              <w:b w:val="0"/>
              <w:bCs w:val="0"/>
              <w:sz w:val="28"/>
              <w:szCs w:val="21"/>
            </w:rPr>
            <w:t>发展目标</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_Toc30678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13</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1"/>
            <w:tabs>
              <w:tab w:val="right" w:leader="dot" w:pos="8617"/>
              <w:tab w:val="clear" w:pos="8607"/>
            </w:tabs>
            <w:spacing w:before="217" w:beforeLines="50" w:line="240" w:lineRule="auto"/>
            <w:rPr>
              <w:rFonts w:ascii="Times New Roman" w:hAnsi="Times New Roman" w:eastAsia="仿宋_GB2312"/>
              <w:sz w:val="28"/>
              <w:szCs w:val="21"/>
            </w:rPr>
          </w:pPr>
          <w:r>
            <w:fldChar w:fldCharType="begin"/>
          </w:r>
          <w:r>
            <w:instrText xml:space="preserve"> HYPERLINK \l "_Toc16186" </w:instrText>
          </w:r>
          <w:r>
            <w:fldChar w:fldCharType="separate"/>
          </w:r>
          <w:r>
            <w:rPr>
              <w:rFonts w:ascii="Times New Roman" w:hAnsi="Times New Roman" w:eastAsia="仿宋_GB2312"/>
              <w:sz w:val="28"/>
              <w:szCs w:val="21"/>
            </w:rPr>
            <w:t xml:space="preserve">第二章 </w:t>
          </w:r>
          <w:r>
            <w:rPr>
              <w:rFonts w:hint="eastAsia" w:ascii="Times New Roman" w:hAnsi="Times New Roman" w:eastAsia="仿宋_GB2312"/>
              <w:sz w:val="28"/>
              <w:szCs w:val="21"/>
            </w:rPr>
            <w:t>夯实农业基础，保障重要农产品有效供给</w:t>
          </w:r>
          <w:r>
            <w:rPr>
              <w:rFonts w:hint="eastAsia" w:ascii="Times New Roman" w:hAnsi="Times New Roman" w:eastAsia="仿宋_GB2312"/>
              <w:sz w:val="28"/>
              <w:szCs w:val="21"/>
            </w:rPr>
            <w:tab/>
          </w:r>
          <w:r>
            <w:rPr>
              <w:rFonts w:hint="eastAsia" w:ascii="Times New Roman" w:hAnsi="Times New Roman" w:eastAsia="仿宋_GB2312"/>
              <w:sz w:val="28"/>
              <w:szCs w:val="21"/>
            </w:rPr>
            <w:fldChar w:fldCharType="begin"/>
          </w:r>
          <w:r>
            <w:rPr>
              <w:rFonts w:hint="eastAsia" w:ascii="Times New Roman" w:hAnsi="Times New Roman" w:eastAsia="仿宋_GB2312"/>
              <w:sz w:val="28"/>
              <w:szCs w:val="21"/>
            </w:rPr>
            <w:instrText xml:space="preserve"> PAGEREF _Toc16186 \h </w:instrText>
          </w:r>
          <w:r>
            <w:rPr>
              <w:rFonts w:hint="eastAsia" w:ascii="Times New Roman" w:hAnsi="Times New Roman" w:eastAsia="仿宋_GB2312"/>
              <w:sz w:val="28"/>
              <w:szCs w:val="21"/>
            </w:rPr>
            <w:fldChar w:fldCharType="separate"/>
          </w:r>
          <w:r>
            <w:rPr>
              <w:rFonts w:ascii="Times New Roman" w:hAnsi="Times New Roman" w:eastAsia="仿宋_GB2312"/>
              <w:sz w:val="28"/>
              <w:szCs w:val="21"/>
            </w:rPr>
            <w:t>17</w:t>
          </w:r>
          <w:r>
            <w:rPr>
              <w:rFonts w:hint="eastAsia" w:ascii="Times New Roman" w:hAnsi="Times New Roman" w:eastAsia="仿宋_GB2312"/>
              <w:sz w:val="28"/>
              <w:szCs w:val="21"/>
            </w:rPr>
            <w:fldChar w:fldCharType="end"/>
          </w:r>
          <w:r>
            <w:rPr>
              <w:rFonts w:hint="eastAsia" w:ascii="Times New Roman" w:hAnsi="Times New Roman" w:eastAsia="仿宋_GB2312"/>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"_Toc32452" </w:instrText>
          </w:r>
          <w:r>
            <w:fldChar w:fldCharType="separate"/>
          </w:r>
          <w:r>
            <w:rPr>
              <w:rFonts w:ascii="Times New Roman" w:eastAsia="仿宋_GB2312"/>
              <w:b w:val="0"/>
              <w:bCs w:val="0"/>
              <w:sz w:val="28"/>
              <w:szCs w:val="21"/>
            </w:rPr>
            <w:t xml:space="preserve">第一节 </w:t>
          </w:r>
          <w:r>
            <w:rPr>
              <w:rFonts w:hint="eastAsia" w:ascii="Times New Roman" w:eastAsia="仿宋_GB2312"/>
              <w:b w:val="0"/>
              <w:bCs w:val="0"/>
              <w:sz w:val="28"/>
              <w:szCs w:val="21"/>
            </w:rPr>
            <w:t>加强耕地保护和质量提升</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_Toc32452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17</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"_Toc8886" </w:instrText>
          </w:r>
          <w:r>
            <w:fldChar w:fldCharType="separate"/>
          </w:r>
          <w:r>
            <w:rPr>
              <w:rFonts w:ascii="Times New Roman" w:eastAsia="仿宋_GB2312"/>
              <w:b w:val="0"/>
              <w:bCs w:val="0"/>
              <w:sz w:val="28"/>
              <w:szCs w:val="21"/>
            </w:rPr>
            <w:t xml:space="preserve">第二节 </w:t>
          </w:r>
          <w:r>
            <w:rPr>
              <w:rFonts w:hint="eastAsia" w:ascii="Times New Roman" w:eastAsia="仿宋_GB2312"/>
              <w:b w:val="0"/>
              <w:bCs w:val="0"/>
              <w:sz w:val="28"/>
              <w:szCs w:val="21"/>
            </w:rPr>
            <w:t>加快推进高标准农田建设</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_Toc8886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18</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"_Toc25630" </w:instrText>
          </w:r>
          <w:r>
            <w:fldChar w:fldCharType="separate"/>
          </w:r>
          <w:r>
            <w:rPr>
              <w:rFonts w:ascii="Times New Roman" w:eastAsia="仿宋_GB2312"/>
              <w:b w:val="0"/>
              <w:bCs w:val="0"/>
              <w:sz w:val="28"/>
              <w:szCs w:val="21"/>
            </w:rPr>
            <w:t xml:space="preserve">第三节 </w:t>
          </w:r>
          <w:r>
            <w:rPr>
              <w:rFonts w:hint="eastAsia" w:ascii="Times New Roman" w:eastAsia="仿宋_GB2312"/>
              <w:b w:val="0"/>
              <w:bCs w:val="0"/>
              <w:sz w:val="28"/>
              <w:szCs w:val="21"/>
            </w:rPr>
            <w:t>加强农村水利设施建设</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_Toc25630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18</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"_Toc22875" </w:instrText>
          </w:r>
          <w:r>
            <w:fldChar w:fldCharType="separate"/>
          </w:r>
          <w:r>
            <w:rPr>
              <w:rFonts w:ascii="Times New Roman" w:eastAsia="仿宋_GB2312"/>
              <w:b w:val="0"/>
              <w:bCs w:val="0"/>
              <w:sz w:val="28"/>
              <w:szCs w:val="21"/>
            </w:rPr>
            <w:t xml:space="preserve">第四节 </w:t>
          </w:r>
          <w:r>
            <w:rPr>
              <w:rFonts w:hint="eastAsia" w:ascii="Times New Roman" w:eastAsia="仿宋_GB2312"/>
              <w:b w:val="0"/>
              <w:bCs w:val="0"/>
              <w:sz w:val="28"/>
              <w:szCs w:val="21"/>
            </w:rPr>
            <w:t>提升农业抗风险能力</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_Toc22875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19</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"_Toc18871" </w:instrText>
          </w:r>
          <w:r>
            <w:fldChar w:fldCharType="separate"/>
          </w:r>
          <w:r>
            <w:rPr>
              <w:rFonts w:ascii="Times New Roman" w:eastAsia="仿宋_GB2312"/>
              <w:b w:val="0"/>
              <w:bCs w:val="0"/>
              <w:sz w:val="28"/>
              <w:szCs w:val="21"/>
            </w:rPr>
            <w:t xml:space="preserve">第五节 </w:t>
          </w:r>
          <w:r>
            <w:rPr>
              <w:rFonts w:hint="eastAsia" w:ascii="Times New Roman" w:eastAsia="仿宋_GB2312"/>
              <w:b w:val="0"/>
              <w:bCs w:val="0"/>
              <w:sz w:val="28"/>
              <w:szCs w:val="21"/>
            </w:rPr>
            <w:t>稳步提高粮食产量</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_Toc18871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19</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"_Toc14386" </w:instrText>
          </w:r>
          <w:r>
            <w:fldChar w:fldCharType="separate"/>
          </w:r>
          <w:r>
            <w:rPr>
              <w:rFonts w:ascii="Times New Roman" w:eastAsia="仿宋_GB2312"/>
              <w:b w:val="0"/>
              <w:bCs w:val="0"/>
              <w:sz w:val="28"/>
              <w:szCs w:val="21"/>
            </w:rPr>
            <w:t xml:space="preserve">第六节 </w:t>
          </w:r>
          <w:r>
            <w:rPr>
              <w:rFonts w:hint="eastAsia" w:ascii="Times New Roman" w:eastAsia="仿宋_GB2312"/>
              <w:b w:val="0"/>
              <w:bCs w:val="0"/>
              <w:sz w:val="28"/>
              <w:szCs w:val="21"/>
            </w:rPr>
            <w:t>保障“菜篮子”产品有效供给</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_Toc14386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21</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1"/>
            <w:tabs>
              <w:tab w:val="right" w:leader="dot" w:pos="8617"/>
              <w:tab w:val="clear" w:pos="8607"/>
            </w:tabs>
            <w:spacing w:before="217" w:beforeLines="50" w:line="240" w:lineRule="auto"/>
            <w:rPr>
              <w:rFonts w:ascii="Times New Roman" w:hAnsi="Times New Roman" w:eastAsia="仿宋_GB2312"/>
              <w:sz w:val="28"/>
              <w:szCs w:val="21"/>
            </w:rPr>
          </w:pPr>
          <w:r>
            <w:fldChar w:fldCharType="begin"/>
          </w:r>
          <w:r>
            <w:instrText xml:space="preserve"> HYPERLINK \l "_Toc13355" </w:instrText>
          </w:r>
          <w:r>
            <w:fldChar w:fldCharType="separate"/>
          </w:r>
          <w:r>
            <w:rPr>
              <w:rFonts w:ascii="Times New Roman" w:hAnsi="Times New Roman" w:eastAsia="仿宋_GB2312"/>
              <w:sz w:val="28"/>
              <w:szCs w:val="21"/>
            </w:rPr>
            <w:t xml:space="preserve">第三章 </w:t>
          </w:r>
          <w:r>
            <w:rPr>
              <w:rFonts w:hint="eastAsia" w:ascii="Times New Roman" w:hAnsi="Times New Roman" w:eastAsia="仿宋_GB2312"/>
              <w:sz w:val="28"/>
              <w:szCs w:val="21"/>
            </w:rPr>
            <w:t>聚焦优势特色产业，打造四大产业新高地</w:t>
          </w:r>
          <w:r>
            <w:rPr>
              <w:rFonts w:hint="eastAsia" w:ascii="Times New Roman" w:hAnsi="Times New Roman" w:eastAsia="仿宋_GB2312"/>
              <w:sz w:val="28"/>
              <w:szCs w:val="21"/>
            </w:rPr>
            <w:tab/>
          </w:r>
          <w:r>
            <w:rPr>
              <w:rFonts w:hint="eastAsia" w:ascii="Times New Roman" w:hAnsi="Times New Roman" w:eastAsia="仿宋_GB2312"/>
              <w:sz w:val="28"/>
              <w:szCs w:val="21"/>
            </w:rPr>
            <w:fldChar w:fldCharType="begin"/>
          </w:r>
          <w:r>
            <w:rPr>
              <w:rFonts w:hint="eastAsia" w:ascii="Times New Roman" w:hAnsi="Times New Roman" w:eastAsia="仿宋_GB2312"/>
              <w:sz w:val="28"/>
              <w:szCs w:val="21"/>
            </w:rPr>
            <w:instrText xml:space="preserve"> PAGEREF _Toc13355 \h </w:instrText>
          </w:r>
          <w:r>
            <w:rPr>
              <w:rFonts w:hint="eastAsia" w:ascii="Times New Roman" w:hAnsi="Times New Roman" w:eastAsia="仿宋_GB2312"/>
              <w:sz w:val="28"/>
              <w:szCs w:val="21"/>
            </w:rPr>
            <w:fldChar w:fldCharType="separate"/>
          </w:r>
          <w:r>
            <w:rPr>
              <w:rFonts w:ascii="Times New Roman" w:hAnsi="Times New Roman" w:eastAsia="仿宋_GB2312"/>
              <w:sz w:val="28"/>
              <w:szCs w:val="21"/>
            </w:rPr>
            <w:t>24</w:t>
          </w:r>
          <w:r>
            <w:rPr>
              <w:rFonts w:hint="eastAsia" w:ascii="Times New Roman" w:hAnsi="Times New Roman" w:eastAsia="仿宋_GB2312"/>
              <w:sz w:val="28"/>
              <w:szCs w:val="21"/>
            </w:rPr>
            <w:fldChar w:fldCharType="end"/>
          </w:r>
          <w:r>
            <w:rPr>
              <w:rFonts w:hint="eastAsia" w:ascii="Times New Roman" w:hAnsi="Times New Roman" w:eastAsia="仿宋_GB2312"/>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"_Toc1287" </w:instrText>
          </w:r>
          <w:r>
            <w:fldChar w:fldCharType="separate"/>
          </w:r>
          <w:r>
            <w:rPr>
              <w:rFonts w:ascii="Times New Roman" w:eastAsia="仿宋_GB2312"/>
              <w:b w:val="0"/>
              <w:bCs w:val="0"/>
              <w:sz w:val="28"/>
              <w:szCs w:val="21"/>
            </w:rPr>
            <w:t xml:space="preserve">第一节 </w:t>
          </w:r>
          <w:r>
            <w:rPr>
              <w:rFonts w:hint="eastAsia" w:ascii="Times New Roman" w:eastAsia="仿宋_GB2312"/>
              <w:b w:val="0"/>
              <w:bCs w:val="0"/>
              <w:sz w:val="28"/>
              <w:szCs w:val="21"/>
            </w:rPr>
            <w:t>打造粮油产业新高地</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_Toc1287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24</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"_Toc13116" </w:instrText>
          </w:r>
          <w:r>
            <w:fldChar w:fldCharType="separate"/>
          </w:r>
          <w:r>
            <w:rPr>
              <w:rFonts w:ascii="Times New Roman" w:eastAsia="仿宋_GB2312"/>
              <w:b w:val="0"/>
              <w:bCs w:val="0"/>
              <w:sz w:val="28"/>
              <w:szCs w:val="21"/>
            </w:rPr>
            <w:t xml:space="preserve">第二节 </w:t>
          </w:r>
          <w:r>
            <w:rPr>
              <w:rFonts w:hint="eastAsia" w:ascii="Times New Roman" w:eastAsia="仿宋_GB2312"/>
              <w:b w:val="0"/>
              <w:bCs w:val="0"/>
              <w:sz w:val="28"/>
              <w:szCs w:val="21"/>
            </w:rPr>
            <w:t>打造柑橘产业新高地</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_Toc13116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29</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"_Toc28351" </w:instrText>
          </w:r>
          <w:r>
            <w:fldChar w:fldCharType="separate"/>
          </w:r>
          <w:r>
            <w:rPr>
              <w:rFonts w:ascii="Times New Roman" w:eastAsia="仿宋_GB2312"/>
              <w:b w:val="0"/>
              <w:bCs w:val="0"/>
              <w:sz w:val="28"/>
              <w:szCs w:val="21"/>
            </w:rPr>
            <w:t xml:space="preserve">第三节 </w:t>
          </w:r>
          <w:r>
            <w:rPr>
              <w:rFonts w:hint="eastAsia" w:ascii="Times New Roman" w:eastAsia="仿宋_GB2312"/>
              <w:b w:val="0"/>
              <w:bCs w:val="0"/>
              <w:sz w:val="28"/>
              <w:szCs w:val="21"/>
            </w:rPr>
            <w:t>打造畜牧产业新高地</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_Toc28351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33</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"_Toc14884" </w:instrText>
          </w:r>
          <w:r>
            <w:fldChar w:fldCharType="separate"/>
          </w:r>
          <w:r>
            <w:rPr>
              <w:rFonts w:ascii="Times New Roman" w:eastAsia="仿宋_GB2312"/>
              <w:b w:val="0"/>
              <w:bCs w:val="0"/>
              <w:sz w:val="28"/>
              <w:szCs w:val="21"/>
            </w:rPr>
            <w:t xml:space="preserve">第四节 </w:t>
          </w:r>
          <w:r>
            <w:rPr>
              <w:rFonts w:hint="eastAsia" w:ascii="Times New Roman" w:eastAsia="仿宋_GB2312"/>
              <w:b w:val="0"/>
              <w:bCs w:val="0"/>
              <w:sz w:val="28"/>
              <w:szCs w:val="21"/>
            </w:rPr>
            <w:t>打造水产产业新高地</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_Toc14884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38</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1"/>
            <w:tabs>
              <w:tab w:val="right" w:leader="dot" w:pos="8617"/>
              <w:tab w:val="clear" w:pos="8607"/>
            </w:tabs>
            <w:spacing w:before="217" w:beforeLines="50" w:line="240" w:lineRule="auto"/>
            <w:rPr>
              <w:rFonts w:ascii="Times New Roman" w:hAnsi="Times New Roman" w:eastAsia="仿宋_GB2312"/>
              <w:sz w:val="28"/>
              <w:szCs w:val="21"/>
            </w:rPr>
          </w:pPr>
          <w:r>
            <w:fldChar w:fldCharType="begin"/>
          </w:r>
          <w:r>
            <w:instrText xml:space="preserve"> HYPERLINK \l "_Toc27364" </w:instrText>
          </w:r>
          <w:r>
            <w:fldChar w:fldCharType="separate"/>
          </w:r>
          <w:r>
            <w:rPr>
              <w:rFonts w:ascii="Times New Roman" w:hAnsi="Times New Roman" w:eastAsia="仿宋_GB2312"/>
              <w:sz w:val="28"/>
              <w:szCs w:val="21"/>
            </w:rPr>
            <w:t xml:space="preserve">第四章 </w:t>
          </w:r>
          <w:r>
            <w:rPr>
              <w:rFonts w:hint="eastAsia" w:ascii="Times New Roman" w:hAnsi="Times New Roman" w:eastAsia="仿宋_GB2312"/>
              <w:sz w:val="28"/>
              <w:szCs w:val="21"/>
            </w:rPr>
            <w:t>加快补齐现代农业体系支撑性短板，推进农业全产业链融合发展</w:t>
          </w:r>
          <w:r>
            <w:rPr>
              <w:rFonts w:hint="eastAsia" w:ascii="Times New Roman" w:hAnsi="Times New Roman" w:eastAsia="仿宋_GB2312"/>
              <w:sz w:val="28"/>
              <w:szCs w:val="21"/>
            </w:rPr>
            <w:tab/>
          </w:r>
          <w:r>
            <w:rPr>
              <w:rFonts w:hint="eastAsia" w:ascii="Times New Roman" w:hAnsi="Times New Roman" w:eastAsia="仿宋_GB2312"/>
              <w:sz w:val="28"/>
              <w:szCs w:val="21"/>
            </w:rPr>
            <w:fldChar w:fldCharType="begin"/>
          </w:r>
          <w:r>
            <w:rPr>
              <w:rFonts w:hint="eastAsia" w:ascii="Times New Roman" w:hAnsi="Times New Roman" w:eastAsia="仿宋_GB2312"/>
              <w:sz w:val="28"/>
              <w:szCs w:val="21"/>
            </w:rPr>
            <w:instrText xml:space="preserve"> PAGEREF _Toc27364 \h </w:instrText>
          </w:r>
          <w:r>
            <w:rPr>
              <w:rFonts w:hint="eastAsia" w:ascii="Times New Roman" w:hAnsi="Times New Roman" w:eastAsia="仿宋_GB2312"/>
              <w:sz w:val="28"/>
              <w:szCs w:val="21"/>
            </w:rPr>
            <w:fldChar w:fldCharType="separate"/>
          </w:r>
          <w:r>
            <w:rPr>
              <w:rFonts w:ascii="Times New Roman" w:hAnsi="Times New Roman" w:eastAsia="仿宋_GB2312"/>
              <w:sz w:val="28"/>
              <w:szCs w:val="21"/>
            </w:rPr>
            <w:t>44</w:t>
          </w:r>
          <w:r>
            <w:rPr>
              <w:rFonts w:hint="eastAsia" w:ascii="Times New Roman" w:hAnsi="Times New Roman" w:eastAsia="仿宋_GB2312"/>
              <w:sz w:val="28"/>
              <w:szCs w:val="21"/>
            </w:rPr>
            <w:fldChar w:fldCharType="end"/>
          </w:r>
          <w:r>
            <w:rPr>
              <w:rFonts w:hint="eastAsia" w:ascii="Times New Roman" w:hAnsi="Times New Roman" w:eastAsia="仿宋_GB2312"/>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"_Toc20578" </w:instrText>
          </w:r>
          <w:r>
            <w:fldChar w:fldCharType="separate"/>
          </w:r>
          <w:r>
            <w:rPr>
              <w:rFonts w:ascii="Times New Roman" w:eastAsia="仿宋_GB2312"/>
              <w:b w:val="0"/>
              <w:bCs w:val="0"/>
              <w:sz w:val="28"/>
              <w:szCs w:val="21"/>
            </w:rPr>
            <w:t xml:space="preserve">第一节 </w:t>
          </w:r>
          <w:r>
            <w:rPr>
              <w:rFonts w:hint="eastAsia" w:ascii="Times New Roman" w:eastAsia="仿宋_GB2312"/>
              <w:b w:val="0"/>
              <w:bCs w:val="0"/>
              <w:sz w:val="28"/>
              <w:szCs w:val="21"/>
            </w:rPr>
            <w:t>加快推进现代种业发展</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_Toc20578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44</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"_Toc20165" </w:instrText>
          </w:r>
          <w:r>
            <w:fldChar w:fldCharType="separate"/>
          </w:r>
          <w:r>
            <w:rPr>
              <w:rFonts w:ascii="Times New Roman" w:eastAsia="仿宋_GB2312"/>
              <w:b w:val="0"/>
              <w:bCs w:val="0"/>
              <w:sz w:val="28"/>
              <w:szCs w:val="21"/>
            </w:rPr>
            <w:t xml:space="preserve">第二节 </w:t>
          </w:r>
          <w:r>
            <w:rPr>
              <w:rFonts w:hint="eastAsia" w:ascii="Times New Roman" w:eastAsia="仿宋_GB2312"/>
              <w:b w:val="0"/>
              <w:bCs w:val="0"/>
              <w:sz w:val="28"/>
              <w:szCs w:val="21"/>
            </w:rPr>
            <w:t>强化现代农业装备推广应用</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_Toc20165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45</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"_Toc13785" </w:instrText>
          </w:r>
          <w:r>
            <w:fldChar w:fldCharType="separate"/>
          </w:r>
          <w:r>
            <w:rPr>
              <w:rFonts w:ascii="Times New Roman" w:eastAsia="仿宋_GB2312"/>
              <w:b w:val="0"/>
              <w:bCs w:val="0"/>
              <w:sz w:val="28"/>
              <w:szCs w:val="21"/>
            </w:rPr>
            <w:t xml:space="preserve">第三节 </w:t>
          </w:r>
          <w:r>
            <w:rPr>
              <w:rFonts w:hint="eastAsia" w:ascii="Times New Roman" w:eastAsia="仿宋_GB2312"/>
              <w:b w:val="0"/>
              <w:bCs w:val="0"/>
              <w:sz w:val="28"/>
              <w:szCs w:val="21"/>
            </w:rPr>
            <w:t>推进烘干冷链物流体系现代化</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_Toc13785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46</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"_Toc32603" </w:instrText>
          </w:r>
          <w:r>
            <w:fldChar w:fldCharType="separate"/>
          </w:r>
          <w:r>
            <w:rPr>
              <w:rFonts w:ascii="Times New Roman" w:eastAsia="仿宋_GB2312"/>
              <w:b w:val="0"/>
              <w:bCs w:val="0"/>
              <w:sz w:val="28"/>
              <w:szCs w:val="21"/>
            </w:rPr>
            <w:t xml:space="preserve">第四节 </w:t>
          </w:r>
          <w:r>
            <w:rPr>
              <w:rFonts w:hint="eastAsia" w:ascii="Times New Roman" w:eastAsia="仿宋_GB2312"/>
              <w:b w:val="0"/>
              <w:bCs w:val="0"/>
              <w:sz w:val="28"/>
              <w:szCs w:val="21"/>
            </w:rPr>
            <w:t>强化现代农业科技支撑</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_Toc32603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47</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"_Toc30093" </w:instrText>
          </w:r>
          <w:r>
            <w:fldChar w:fldCharType="separate"/>
          </w:r>
          <w:r>
            <w:rPr>
              <w:rFonts w:ascii="Times New Roman" w:eastAsia="仿宋_GB2312"/>
              <w:b w:val="0"/>
              <w:bCs w:val="0"/>
              <w:sz w:val="28"/>
              <w:szCs w:val="21"/>
            </w:rPr>
            <w:t xml:space="preserve">第五节 </w:t>
          </w:r>
          <w:r>
            <w:rPr>
              <w:rFonts w:hint="eastAsia" w:ascii="Times New Roman" w:eastAsia="仿宋_GB2312"/>
              <w:b w:val="0"/>
              <w:bCs w:val="0"/>
              <w:sz w:val="28"/>
              <w:szCs w:val="21"/>
            </w:rPr>
            <w:t>推进农产品加工业提质增效</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_Toc30093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48</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"_Toc21681" </w:instrText>
          </w:r>
          <w:r>
            <w:fldChar w:fldCharType="separate"/>
          </w:r>
          <w:r>
            <w:rPr>
              <w:rFonts w:ascii="Times New Roman" w:eastAsia="仿宋_GB2312"/>
              <w:b w:val="0"/>
              <w:bCs w:val="0"/>
              <w:sz w:val="28"/>
              <w:szCs w:val="21"/>
            </w:rPr>
            <w:t xml:space="preserve">第六节 </w:t>
          </w:r>
          <w:r>
            <w:rPr>
              <w:rFonts w:hint="eastAsia" w:ascii="Times New Roman" w:eastAsia="仿宋_GB2312"/>
              <w:b w:val="0"/>
              <w:bCs w:val="0"/>
              <w:sz w:val="28"/>
              <w:szCs w:val="21"/>
            </w:rPr>
            <w:t>加快农村商贸物流发展</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_Toc21681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49</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"_Toc17918" </w:instrText>
          </w:r>
          <w:r>
            <w:fldChar w:fldCharType="separate"/>
          </w:r>
          <w:r>
            <w:rPr>
              <w:rFonts w:ascii="Times New Roman" w:eastAsia="仿宋_GB2312"/>
              <w:b w:val="0"/>
              <w:bCs w:val="0"/>
              <w:sz w:val="28"/>
              <w:szCs w:val="21"/>
            </w:rPr>
            <w:t xml:space="preserve">第七节 </w:t>
          </w:r>
          <w:r>
            <w:rPr>
              <w:rFonts w:hint="eastAsia" w:ascii="Times New Roman" w:eastAsia="仿宋_GB2312"/>
              <w:b w:val="0"/>
              <w:bCs w:val="0"/>
              <w:sz w:val="28"/>
              <w:szCs w:val="21"/>
            </w:rPr>
            <w:t>实施“井字号”农产品品牌培育工程</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_Toc17918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50</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"_Toc24174" </w:instrText>
          </w:r>
          <w:r>
            <w:fldChar w:fldCharType="separate"/>
          </w:r>
          <w:r>
            <w:rPr>
              <w:rFonts w:ascii="Times New Roman" w:eastAsia="仿宋_GB2312"/>
              <w:b w:val="0"/>
              <w:bCs w:val="0"/>
              <w:sz w:val="28"/>
              <w:szCs w:val="21"/>
            </w:rPr>
            <w:t xml:space="preserve">第八节 </w:t>
          </w:r>
          <w:r>
            <w:rPr>
              <w:rFonts w:hint="eastAsia" w:ascii="Times New Roman" w:eastAsia="仿宋_GB2312"/>
              <w:b w:val="0"/>
              <w:bCs w:val="0"/>
              <w:sz w:val="28"/>
              <w:szCs w:val="21"/>
            </w:rPr>
            <w:t>推进农村一</w:t>
          </w:r>
          <w:r>
            <w:rPr>
              <w:rFonts w:hint="eastAsia" w:ascii="Times New Roman" w:eastAsia="仿宋_GB2312"/>
              <w:b w:val="0"/>
              <w:bCs w:val="0"/>
              <w:sz w:val="28"/>
              <w:szCs w:val="21"/>
              <w:lang w:val="en-US" w:eastAsia="zh-CN"/>
            </w:rPr>
            <w:t>、</w:t>
          </w:r>
          <w:r>
            <w:rPr>
              <w:rFonts w:hint="eastAsia" w:ascii="Times New Roman" w:eastAsia="仿宋_GB2312"/>
              <w:b w:val="0"/>
              <w:bCs w:val="0"/>
              <w:sz w:val="28"/>
              <w:szCs w:val="21"/>
            </w:rPr>
            <w:t>二</w:t>
          </w:r>
          <w:r>
            <w:rPr>
              <w:rFonts w:hint="eastAsia" w:ascii="Times New Roman" w:eastAsia="仿宋_GB2312"/>
              <w:b w:val="0"/>
              <w:bCs w:val="0"/>
              <w:sz w:val="28"/>
              <w:szCs w:val="21"/>
              <w:lang w:eastAsia="zh-CN"/>
            </w:rPr>
            <w:t>、</w:t>
          </w:r>
          <w:r>
            <w:rPr>
              <w:rFonts w:hint="eastAsia" w:ascii="Times New Roman" w:eastAsia="仿宋_GB2312"/>
              <w:b w:val="0"/>
              <w:bCs w:val="0"/>
              <w:sz w:val="28"/>
              <w:szCs w:val="21"/>
            </w:rPr>
            <w:t>三产业融合发展</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_Toc24174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52</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1"/>
            <w:tabs>
              <w:tab w:val="right" w:leader="dot" w:pos="8617"/>
              <w:tab w:val="clear" w:pos="8607"/>
            </w:tabs>
            <w:spacing w:before="217" w:beforeLines="50" w:line="240" w:lineRule="auto"/>
            <w:rPr>
              <w:rFonts w:ascii="Times New Roman" w:hAnsi="Times New Roman" w:eastAsia="仿宋_GB2312"/>
              <w:sz w:val="28"/>
              <w:szCs w:val="21"/>
            </w:rPr>
          </w:pPr>
          <w:r>
            <w:fldChar w:fldCharType="begin"/>
          </w:r>
          <w:r>
            <w:instrText xml:space="preserve"> HYPERLINK \l "_Toc13175" </w:instrText>
          </w:r>
          <w:r>
            <w:fldChar w:fldCharType="separate"/>
          </w:r>
          <w:r>
            <w:rPr>
              <w:rFonts w:ascii="Times New Roman" w:hAnsi="Times New Roman" w:eastAsia="仿宋_GB2312"/>
              <w:sz w:val="28"/>
              <w:szCs w:val="21"/>
            </w:rPr>
            <w:t xml:space="preserve">第五章 </w:t>
          </w:r>
          <w:r>
            <w:rPr>
              <w:rFonts w:hint="eastAsia" w:ascii="Times New Roman" w:hAnsi="Times New Roman" w:eastAsia="仿宋_GB2312"/>
              <w:sz w:val="28"/>
              <w:szCs w:val="21"/>
            </w:rPr>
            <w:t>以现代农业园区建设为抓手，推进农业现代化示范区建设</w:t>
          </w:r>
          <w:r>
            <w:rPr>
              <w:rFonts w:hint="eastAsia" w:ascii="Times New Roman" w:hAnsi="Times New Roman" w:eastAsia="仿宋_GB2312"/>
              <w:sz w:val="28"/>
              <w:szCs w:val="21"/>
            </w:rPr>
            <w:tab/>
          </w:r>
          <w:r>
            <w:rPr>
              <w:rFonts w:hint="eastAsia" w:ascii="Times New Roman" w:hAnsi="Times New Roman" w:eastAsia="仿宋_GB2312"/>
              <w:sz w:val="28"/>
              <w:szCs w:val="21"/>
            </w:rPr>
            <w:fldChar w:fldCharType="begin"/>
          </w:r>
          <w:r>
            <w:rPr>
              <w:rFonts w:hint="eastAsia" w:ascii="Times New Roman" w:hAnsi="Times New Roman" w:eastAsia="仿宋_GB2312"/>
              <w:sz w:val="28"/>
              <w:szCs w:val="21"/>
            </w:rPr>
            <w:instrText xml:space="preserve"> PAGEREF _Toc13175 \h </w:instrText>
          </w:r>
          <w:r>
            <w:rPr>
              <w:rFonts w:hint="eastAsia" w:ascii="Times New Roman" w:hAnsi="Times New Roman" w:eastAsia="仿宋_GB2312"/>
              <w:sz w:val="28"/>
              <w:szCs w:val="21"/>
            </w:rPr>
            <w:fldChar w:fldCharType="separate"/>
          </w:r>
          <w:r>
            <w:rPr>
              <w:rFonts w:ascii="Times New Roman" w:hAnsi="Times New Roman" w:eastAsia="仿宋_GB2312"/>
              <w:sz w:val="28"/>
              <w:szCs w:val="21"/>
            </w:rPr>
            <w:t>55</w:t>
          </w:r>
          <w:r>
            <w:rPr>
              <w:rFonts w:hint="eastAsia" w:ascii="Times New Roman" w:hAnsi="Times New Roman" w:eastAsia="仿宋_GB2312"/>
              <w:sz w:val="28"/>
              <w:szCs w:val="21"/>
            </w:rPr>
            <w:fldChar w:fldCharType="end"/>
          </w:r>
          <w:r>
            <w:rPr>
              <w:rFonts w:hint="eastAsia" w:ascii="Times New Roman" w:hAnsi="Times New Roman" w:eastAsia="仿宋_GB2312"/>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"_Toc10027" </w:instrText>
          </w:r>
          <w:r>
            <w:fldChar w:fldCharType="separate"/>
          </w:r>
          <w:r>
            <w:rPr>
              <w:rFonts w:ascii="Times New Roman" w:eastAsia="仿宋_GB2312"/>
              <w:b w:val="0"/>
              <w:bCs w:val="0"/>
              <w:sz w:val="28"/>
              <w:szCs w:val="21"/>
            </w:rPr>
            <w:t xml:space="preserve">第一节 </w:t>
          </w:r>
          <w:r>
            <w:rPr>
              <w:rFonts w:hint="eastAsia" w:ascii="Times New Roman" w:eastAsia="仿宋_GB2312"/>
              <w:b w:val="0"/>
              <w:bCs w:val="0"/>
              <w:sz w:val="28"/>
              <w:szCs w:val="21"/>
            </w:rPr>
            <w:t>全面提升现代农业园区建设水平</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_Toc10027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55</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"_Toc20010" </w:instrText>
          </w:r>
          <w:r>
            <w:fldChar w:fldCharType="separate"/>
          </w:r>
          <w:r>
            <w:rPr>
              <w:rFonts w:ascii="Times New Roman" w:eastAsia="仿宋_GB2312"/>
              <w:b w:val="0"/>
              <w:bCs w:val="0"/>
              <w:sz w:val="28"/>
              <w:szCs w:val="21"/>
            </w:rPr>
            <w:t xml:space="preserve">第二节 </w:t>
          </w:r>
          <w:r>
            <w:rPr>
              <w:rFonts w:hint="eastAsia" w:ascii="Times New Roman" w:eastAsia="仿宋_GB2312"/>
              <w:b w:val="0"/>
              <w:bCs w:val="0"/>
              <w:sz w:val="28"/>
              <w:szCs w:val="21"/>
            </w:rPr>
            <w:t>推进农业现代化示范区建设</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_Toc20010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56</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"_Toc22472" </w:instrText>
          </w:r>
          <w:r>
            <w:fldChar w:fldCharType="separate"/>
          </w:r>
          <w:r>
            <w:rPr>
              <w:rFonts w:ascii="Times New Roman" w:eastAsia="仿宋_GB2312"/>
              <w:b w:val="0"/>
              <w:bCs w:val="0"/>
              <w:sz w:val="28"/>
              <w:szCs w:val="21"/>
            </w:rPr>
            <w:t xml:space="preserve">第三节 </w:t>
          </w:r>
          <w:r>
            <w:rPr>
              <w:rFonts w:hint="eastAsia" w:ascii="Times New Roman" w:eastAsia="仿宋_GB2312"/>
              <w:b w:val="0"/>
              <w:bCs w:val="0"/>
              <w:sz w:val="28"/>
              <w:szCs w:val="21"/>
            </w:rPr>
            <w:t>强化农业产业强镇和“一村一品”示范村镇建设</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_Toc22472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56</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"_Toc28751" </w:instrText>
          </w:r>
          <w:r>
            <w:fldChar w:fldCharType="separate"/>
          </w:r>
          <w:r>
            <w:rPr>
              <w:rFonts w:ascii="Times New Roman" w:eastAsia="仿宋_GB2312"/>
              <w:b w:val="0"/>
              <w:bCs w:val="0"/>
              <w:sz w:val="28"/>
              <w:szCs w:val="21"/>
            </w:rPr>
            <w:t xml:space="preserve">第四节 </w:t>
          </w:r>
          <w:r>
            <w:rPr>
              <w:rFonts w:hint="eastAsia" w:ascii="Times New Roman" w:eastAsia="仿宋_GB2312"/>
              <w:b w:val="0"/>
              <w:bCs w:val="0"/>
              <w:sz w:val="28"/>
              <w:szCs w:val="21"/>
            </w:rPr>
            <w:t>融入成渝现代高效特色农业带建设</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_Toc28751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57</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1"/>
            <w:tabs>
              <w:tab w:val="right" w:leader="dot" w:pos="8617"/>
              <w:tab w:val="clear" w:pos="8607"/>
            </w:tabs>
            <w:spacing w:before="217" w:beforeLines="50" w:line="240" w:lineRule="auto"/>
            <w:rPr>
              <w:rFonts w:ascii="Times New Roman" w:hAnsi="Times New Roman" w:eastAsia="仿宋_GB2312"/>
              <w:sz w:val="28"/>
              <w:szCs w:val="21"/>
            </w:rPr>
          </w:pPr>
          <w:r>
            <w:fldChar w:fldCharType="begin"/>
          </w:r>
          <w:r>
            <w:instrText xml:space="preserve"> HYPERLINK \l "_Toc13065" </w:instrText>
          </w:r>
          <w:r>
            <w:fldChar w:fldCharType="separate"/>
          </w:r>
          <w:r>
            <w:rPr>
              <w:rFonts w:ascii="Times New Roman" w:hAnsi="Times New Roman" w:eastAsia="仿宋_GB2312"/>
              <w:sz w:val="28"/>
              <w:szCs w:val="21"/>
            </w:rPr>
            <w:t xml:space="preserve">第六章 </w:t>
          </w:r>
          <w:r>
            <w:rPr>
              <w:rFonts w:hint="eastAsia" w:ascii="Times New Roman" w:hAnsi="Times New Roman" w:eastAsia="仿宋_GB2312"/>
              <w:sz w:val="28"/>
              <w:szCs w:val="21"/>
            </w:rPr>
            <w:t>实施和美乡村建设行动，加快改善农村生产生活条件</w:t>
          </w:r>
          <w:r>
            <w:rPr>
              <w:rFonts w:hint="eastAsia" w:ascii="Times New Roman" w:hAnsi="Times New Roman" w:eastAsia="仿宋_GB2312"/>
              <w:sz w:val="28"/>
              <w:szCs w:val="21"/>
            </w:rPr>
            <w:tab/>
          </w:r>
          <w:r>
            <w:rPr>
              <w:rFonts w:hint="eastAsia" w:ascii="Times New Roman" w:hAnsi="Times New Roman" w:eastAsia="仿宋_GB2312"/>
              <w:sz w:val="28"/>
              <w:szCs w:val="21"/>
            </w:rPr>
            <w:fldChar w:fldCharType="begin"/>
          </w:r>
          <w:r>
            <w:rPr>
              <w:rFonts w:hint="eastAsia" w:ascii="Times New Roman" w:hAnsi="Times New Roman" w:eastAsia="仿宋_GB2312"/>
              <w:sz w:val="28"/>
              <w:szCs w:val="21"/>
            </w:rPr>
            <w:instrText xml:space="preserve"> PAGEREF _Toc13065 \h </w:instrText>
          </w:r>
          <w:r>
            <w:rPr>
              <w:rFonts w:hint="eastAsia" w:ascii="Times New Roman" w:hAnsi="Times New Roman" w:eastAsia="仿宋_GB2312"/>
              <w:sz w:val="28"/>
              <w:szCs w:val="21"/>
            </w:rPr>
            <w:fldChar w:fldCharType="separate"/>
          </w:r>
          <w:r>
            <w:rPr>
              <w:rFonts w:ascii="Times New Roman" w:hAnsi="Times New Roman" w:eastAsia="仿宋_GB2312"/>
              <w:sz w:val="28"/>
              <w:szCs w:val="21"/>
            </w:rPr>
            <w:t>59</w:t>
          </w:r>
          <w:r>
            <w:rPr>
              <w:rFonts w:hint="eastAsia" w:ascii="Times New Roman" w:hAnsi="Times New Roman" w:eastAsia="仿宋_GB2312"/>
              <w:sz w:val="28"/>
              <w:szCs w:val="21"/>
            </w:rPr>
            <w:fldChar w:fldCharType="end"/>
          </w:r>
          <w:r>
            <w:rPr>
              <w:rFonts w:hint="eastAsia" w:ascii="Times New Roman" w:hAnsi="Times New Roman" w:eastAsia="仿宋_GB2312"/>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"_Toc159" </w:instrText>
          </w:r>
          <w:r>
            <w:fldChar w:fldCharType="separate"/>
          </w:r>
          <w:r>
            <w:rPr>
              <w:rFonts w:ascii="Times New Roman" w:eastAsia="仿宋_GB2312"/>
              <w:b w:val="0"/>
              <w:bCs w:val="0"/>
              <w:sz w:val="28"/>
              <w:szCs w:val="21"/>
            </w:rPr>
            <w:t xml:space="preserve">第一节 </w:t>
          </w:r>
          <w:r>
            <w:rPr>
              <w:rFonts w:hint="eastAsia" w:ascii="Times New Roman" w:eastAsia="仿宋_GB2312"/>
              <w:b w:val="0"/>
              <w:bCs w:val="0"/>
              <w:sz w:val="28"/>
              <w:szCs w:val="21"/>
            </w:rPr>
            <w:t>科学划分片区编制产业发展规划</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_Toc159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59</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"_Toc26243" </w:instrText>
          </w:r>
          <w:r>
            <w:fldChar w:fldCharType="separate"/>
          </w:r>
          <w:r>
            <w:rPr>
              <w:rFonts w:ascii="Times New Roman" w:eastAsia="仿宋_GB2312"/>
              <w:b w:val="0"/>
              <w:bCs w:val="0"/>
              <w:sz w:val="28"/>
              <w:szCs w:val="21"/>
            </w:rPr>
            <w:t xml:space="preserve">第二节 </w:t>
          </w:r>
          <w:r>
            <w:rPr>
              <w:rFonts w:hint="eastAsia" w:ascii="Times New Roman" w:eastAsia="仿宋_GB2312"/>
              <w:b w:val="0"/>
              <w:bCs w:val="0"/>
              <w:sz w:val="28"/>
              <w:szCs w:val="21"/>
            </w:rPr>
            <w:t>实施农村人居环境整治提升行动</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_Toc26243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59</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"_Toc30320" </w:instrText>
          </w:r>
          <w:r>
            <w:fldChar w:fldCharType="separate"/>
          </w:r>
          <w:r>
            <w:rPr>
              <w:rFonts w:ascii="Times New Roman" w:eastAsia="仿宋_GB2312"/>
              <w:b w:val="0"/>
              <w:bCs w:val="0"/>
              <w:sz w:val="28"/>
              <w:szCs w:val="21"/>
            </w:rPr>
            <w:t xml:space="preserve">第三节 </w:t>
          </w:r>
          <w:r>
            <w:rPr>
              <w:rFonts w:hint="eastAsia" w:ascii="Times New Roman" w:eastAsia="仿宋_GB2312"/>
              <w:b w:val="0"/>
              <w:bCs w:val="0"/>
              <w:sz w:val="28"/>
              <w:szCs w:val="21"/>
            </w:rPr>
            <w:t>强化农村公共基础设施建设</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_Toc30320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64</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"_Toc12001" </w:instrText>
          </w:r>
          <w:r>
            <w:fldChar w:fldCharType="separate"/>
          </w:r>
          <w:r>
            <w:rPr>
              <w:rFonts w:ascii="Times New Roman" w:eastAsia="仿宋_GB2312"/>
              <w:b w:val="0"/>
              <w:bCs w:val="0"/>
              <w:sz w:val="28"/>
              <w:szCs w:val="21"/>
            </w:rPr>
            <w:t xml:space="preserve">第四节 </w:t>
          </w:r>
          <w:r>
            <w:rPr>
              <w:rFonts w:hint="eastAsia" w:ascii="Times New Roman" w:eastAsia="仿宋_GB2312"/>
              <w:b w:val="0"/>
              <w:bCs w:val="0"/>
              <w:sz w:val="28"/>
              <w:szCs w:val="21"/>
            </w:rPr>
            <w:t>提升乡村基本公共服务水平</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_Toc12001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66</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1"/>
            <w:tabs>
              <w:tab w:val="right" w:leader="dot" w:pos="8617"/>
              <w:tab w:val="clear" w:pos="8607"/>
            </w:tabs>
            <w:spacing w:before="217" w:beforeLines="50" w:line="240" w:lineRule="auto"/>
            <w:rPr>
              <w:rFonts w:ascii="Times New Roman" w:hAnsi="Times New Roman" w:eastAsia="仿宋_GB2312"/>
              <w:sz w:val="28"/>
              <w:szCs w:val="21"/>
            </w:rPr>
          </w:pPr>
          <w:r>
            <w:fldChar w:fldCharType="begin"/>
          </w:r>
          <w:r>
            <w:instrText xml:space="preserve"> HYPERLINK \l "_Toc26825" </w:instrText>
          </w:r>
          <w:r>
            <w:fldChar w:fldCharType="separate"/>
          </w:r>
          <w:r>
            <w:rPr>
              <w:rFonts w:ascii="Times New Roman" w:hAnsi="Times New Roman" w:eastAsia="仿宋_GB2312"/>
              <w:sz w:val="28"/>
              <w:szCs w:val="21"/>
            </w:rPr>
            <w:t xml:space="preserve">第七章 </w:t>
          </w:r>
          <w:r>
            <w:rPr>
              <w:rFonts w:hint="eastAsia" w:ascii="Times New Roman" w:hAnsi="Times New Roman" w:eastAsia="仿宋_GB2312"/>
              <w:sz w:val="28"/>
              <w:szCs w:val="21"/>
            </w:rPr>
            <w:t>加强农村生态保护，推进农业农村绿色发展</w:t>
          </w:r>
          <w:r>
            <w:rPr>
              <w:rFonts w:hint="eastAsia" w:ascii="Times New Roman" w:hAnsi="Times New Roman" w:eastAsia="仿宋_GB2312"/>
              <w:sz w:val="28"/>
              <w:szCs w:val="21"/>
            </w:rPr>
            <w:tab/>
          </w:r>
          <w:r>
            <w:rPr>
              <w:rFonts w:hint="eastAsia" w:ascii="Times New Roman" w:hAnsi="Times New Roman" w:eastAsia="仿宋_GB2312"/>
              <w:sz w:val="28"/>
              <w:szCs w:val="21"/>
            </w:rPr>
            <w:fldChar w:fldCharType="begin"/>
          </w:r>
          <w:r>
            <w:rPr>
              <w:rFonts w:hint="eastAsia" w:ascii="Times New Roman" w:hAnsi="Times New Roman" w:eastAsia="仿宋_GB2312"/>
              <w:sz w:val="28"/>
              <w:szCs w:val="21"/>
            </w:rPr>
            <w:instrText xml:space="preserve"> PAGEREF _Toc26825 \h </w:instrText>
          </w:r>
          <w:r>
            <w:rPr>
              <w:rFonts w:hint="eastAsia" w:ascii="Times New Roman" w:hAnsi="Times New Roman" w:eastAsia="仿宋_GB2312"/>
              <w:sz w:val="28"/>
              <w:szCs w:val="21"/>
            </w:rPr>
            <w:fldChar w:fldCharType="separate"/>
          </w:r>
          <w:r>
            <w:rPr>
              <w:rFonts w:ascii="Times New Roman" w:hAnsi="Times New Roman" w:eastAsia="仿宋_GB2312"/>
              <w:sz w:val="28"/>
              <w:szCs w:val="21"/>
            </w:rPr>
            <w:t>69</w:t>
          </w:r>
          <w:r>
            <w:rPr>
              <w:rFonts w:hint="eastAsia" w:ascii="Times New Roman" w:hAnsi="Times New Roman" w:eastAsia="仿宋_GB2312"/>
              <w:sz w:val="28"/>
              <w:szCs w:val="21"/>
            </w:rPr>
            <w:fldChar w:fldCharType="end"/>
          </w:r>
          <w:r>
            <w:rPr>
              <w:rFonts w:hint="eastAsia" w:ascii="Times New Roman" w:hAnsi="Times New Roman" w:eastAsia="仿宋_GB2312"/>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"_Toc17938" </w:instrText>
          </w:r>
          <w:r>
            <w:fldChar w:fldCharType="separate"/>
          </w:r>
          <w:r>
            <w:rPr>
              <w:rFonts w:ascii="Times New Roman" w:eastAsia="仿宋_GB2312"/>
              <w:b w:val="0"/>
              <w:bCs w:val="0"/>
              <w:sz w:val="28"/>
              <w:szCs w:val="21"/>
            </w:rPr>
            <w:t xml:space="preserve">第一节 </w:t>
          </w:r>
          <w:r>
            <w:rPr>
              <w:rFonts w:hint="eastAsia" w:ascii="Times New Roman" w:eastAsia="仿宋_GB2312"/>
              <w:b w:val="0"/>
              <w:bCs w:val="0"/>
              <w:sz w:val="28"/>
              <w:szCs w:val="21"/>
            </w:rPr>
            <w:t>开展农用土壤环境质量分类管控</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_Toc17938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69</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"_Toc14143" </w:instrText>
          </w:r>
          <w:r>
            <w:fldChar w:fldCharType="separate"/>
          </w:r>
          <w:r>
            <w:rPr>
              <w:rFonts w:ascii="Times New Roman" w:eastAsia="仿宋_GB2312"/>
              <w:b w:val="0"/>
              <w:bCs w:val="0"/>
              <w:sz w:val="28"/>
              <w:szCs w:val="21"/>
            </w:rPr>
            <w:t xml:space="preserve">第二节 </w:t>
          </w:r>
          <w:r>
            <w:rPr>
              <w:rFonts w:hint="eastAsia" w:ascii="Times New Roman" w:eastAsia="仿宋_GB2312"/>
              <w:b w:val="0"/>
              <w:bCs w:val="0"/>
              <w:sz w:val="28"/>
              <w:szCs w:val="21"/>
            </w:rPr>
            <w:t>加大农业面源污染治理力度</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_Toc14143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70</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"_Toc5622" </w:instrText>
          </w:r>
          <w:r>
            <w:fldChar w:fldCharType="separate"/>
          </w:r>
          <w:r>
            <w:rPr>
              <w:rFonts w:ascii="Times New Roman" w:eastAsia="仿宋_GB2312"/>
              <w:b w:val="0"/>
              <w:bCs w:val="0"/>
              <w:sz w:val="28"/>
              <w:szCs w:val="21"/>
            </w:rPr>
            <w:t xml:space="preserve">第三节 </w:t>
          </w:r>
          <w:r>
            <w:rPr>
              <w:rFonts w:hint="eastAsia" w:ascii="Times New Roman" w:eastAsia="仿宋_GB2312"/>
              <w:b w:val="0"/>
              <w:bCs w:val="0"/>
              <w:sz w:val="28"/>
              <w:szCs w:val="21"/>
            </w:rPr>
            <w:t>实施动植物保护能力提升工程</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_Toc5622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71</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"_Toc9047" </w:instrText>
          </w:r>
          <w:r>
            <w:fldChar w:fldCharType="separate"/>
          </w:r>
          <w:r>
            <w:rPr>
              <w:rFonts w:ascii="Times New Roman" w:eastAsia="仿宋_GB2312"/>
              <w:b w:val="0"/>
              <w:bCs w:val="0"/>
              <w:sz w:val="28"/>
              <w:szCs w:val="21"/>
            </w:rPr>
            <w:t xml:space="preserve">第四节 </w:t>
          </w:r>
          <w:r>
            <w:rPr>
              <w:rFonts w:hint="eastAsia" w:ascii="Times New Roman" w:eastAsia="仿宋_GB2312"/>
              <w:b w:val="0"/>
              <w:bCs w:val="0"/>
              <w:sz w:val="28"/>
              <w:szCs w:val="21"/>
            </w:rPr>
            <w:t>加强农村生态文明建设</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_Toc9047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72</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"_Toc28522" </w:instrText>
          </w:r>
          <w:r>
            <w:fldChar w:fldCharType="separate"/>
          </w:r>
          <w:r>
            <w:rPr>
              <w:rFonts w:ascii="Times New Roman" w:eastAsia="仿宋_GB2312"/>
              <w:b w:val="0"/>
              <w:bCs w:val="0"/>
              <w:sz w:val="28"/>
              <w:szCs w:val="21"/>
            </w:rPr>
            <w:t xml:space="preserve">第五节 </w:t>
          </w:r>
          <w:r>
            <w:rPr>
              <w:rFonts w:hint="eastAsia" w:ascii="Times New Roman" w:eastAsia="仿宋_GB2312"/>
              <w:b w:val="0"/>
              <w:bCs w:val="0"/>
              <w:sz w:val="28"/>
              <w:szCs w:val="21"/>
            </w:rPr>
            <w:t>全面提升农产品质量安全</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_Toc28522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73</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"_Toc12412" </w:instrText>
          </w:r>
          <w:r>
            <w:fldChar w:fldCharType="separate"/>
          </w:r>
          <w:r>
            <w:rPr>
              <w:rFonts w:ascii="Times New Roman" w:eastAsia="仿宋_GB2312"/>
              <w:b w:val="0"/>
              <w:bCs w:val="0"/>
              <w:sz w:val="28"/>
              <w:szCs w:val="21"/>
            </w:rPr>
            <w:t xml:space="preserve">第六节 </w:t>
          </w:r>
          <w:r>
            <w:rPr>
              <w:rFonts w:hint="eastAsia" w:ascii="Times New Roman" w:eastAsia="仿宋_GB2312"/>
              <w:b w:val="0"/>
              <w:bCs w:val="0"/>
              <w:sz w:val="28"/>
              <w:szCs w:val="21"/>
            </w:rPr>
            <w:t>推进农业农村标准化体系建设</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_Toc12412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74</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"_Toc14235" </w:instrText>
          </w:r>
          <w:r>
            <w:fldChar w:fldCharType="separate"/>
          </w:r>
          <w:r>
            <w:rPr>
              <w:rFonts w:ascii="Times New Roman" w:eastAsia="仿宋_GB2312"/>
              <w:b w:val="0"/>
              <w:bCs w:val="0"/>
              <w:sz w:val="28"/>
              <w:szCs w:val="21"/>
            </w:rPr>
            <w:t xml:space="preserve">第七节 </w:t>
          </w:r>
          <w:r>
            <w:rPr>
              <w:rFonts w:hint="eastAsia" w:ascii="Times New Roman" w:eastAsia="仿宋_GB2312"/>
              <w:b w:val="0"/>
              <w:bCs w:val="0"/>
              <w:sz w:val="28"/>
              <w:szCs w:val="21"/>
            </w:rPr>
            <w:t>开展农业农村减排固碳行动</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_Toc14235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75</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1"/>
            <w:tabs>
              <w:tab w:val="right" w:leader="dot" w:pos="8617"/>
              <w:tab w:val="clear" w:pos="8607"/>
            </w:tabs>
            <w:spacing w:before="217" w:beforeLines="50" w:line="240" w:lineRule="auto"/>
            <w:rPr>
              <w:rFonts w:ascii="Times New Roman" w:hAnsi="Times New Roman" w:eastAsia="仿宋_GB2312"/>
              <w:sz w:val="28"/>
              <w:szCs w:val="21"/>
            </w:rPr>
          </w:pPr>
          <w:r>
            <w:fldChar w:fldCharType="begin"/>
          </w:r>
          <w:r>
            <w:instrText xml:space="preserve"> HYPERLINK \l "_Toc21676" </w:instrText>
          </w:r>
          <w:r>
            <w:fldChar w:fldCharType="separate"/>
          </w:r>
          <w:r>
            <w:rPr>
              <w:rFonts w:ascii="Times New Roman" w:hAnsi="Times New Roman" w:eastAsia="仿宋_GB2312"/>
              <w:sz w:val="28"/>
              <w:szCs w:val="21"/>
            </w:rPr>
            <w:t xml:space="preserve">第八章 </w:t>
          </w:r>
          <w:r>
            <w:rPr>
              <w:rFonts w:hint="eastAsia" w:ascii="Times New Roman" w:hAnsi="Times New Roman" w:eastAsia="仿宋_GB2312"/>
              <w:sz w:val="28"/>
              <w:szCs w:val="21"/>
            </w:rPr>
            <w:t>健全现代农业经营体系，强化农民主体作用</w:t>
          </w:r>
          <w:r>
            <w:rPr>
              <w:rFonts w:hint="eastAsia" w:ascii="Times New Roman" w:hAnsi="Times New Roman" w:eastAsia="仿宋_GB2312"/>
              <w:sz w:val="28"/>
              <w:szCs w:val="21"/>
            </w:rPr>
            <w:tab/>
          </w:r>
          <w:r>
            <w:rPr>
              <w:rFonts w:hint="eastAsia" w:ascii="Times New Roman" w:hAnsi="Times New Roman" w:eastAsia="仿宋_GB2312"/>
              <w:sz w:val="28"/>
              <w:szCs w:val="21"/>
            </w:rPr>
            <w:fldChar w:fldCharType="begin"/>
          </w:r>
          <w:r>
            <w:rPr>
              <w:rFonts w:hint="eastAsia" w:ascii="Times New Roman" w:hAnsi="Times New Roman" w:eastAsia="仿宋_GB2312"/>
              <w:sz w:val="28"/>
              <w:szCs w:val="21"/>
            </w:rPr>
            <w:instrText xml:space="preserve"> PAGEREF _Toc21676 \h </w:instrText>
          </w:r>
          <w:r>
            <w:rPr>
              <w:rFonts w:hint="eastAsia" w:ascii="Times New Roman" w:hAnsi="Times New Roman" w:eastAsia="仿宋_GB2312"/>
              <w:sz w:val="28"/>
              <w:szCs w:val="21"/>
            </w:rPr>
            <w:fldChar w:fldCharType="separate"/>
          </w:r>
          <w:r>
            <w:rPr>
              <w:rFonts w:ascii="Times New Roman" w:hAnsi="Times New Roman" w:eastAsia="仿宋_GB2312"/>
              <w:sz w:val="28"/>
              <w:szCs w:val="21"/>
            </w:rPr>
            <w:t>77</w:t>
          </w:r>
          <w:r>
            <w:rPr>
              <w:rFonts w:hint="eastAsia" w:ascii="Times New Roman" w:hAnsi="Times New Roman" w:eastAsia="仿宋_GB2312"/>
              <w:sz w:val="28"/>
              <w:szCs w:val="21"/>
            </w:rPr>
            <w:fldChar w:fldCharType="end"/>
          </w:r>
          <w:r>
            <w:rPr>
              <w:rFonts w:hint="eastAsia" w:ascii="Times New Roman" w:hAnsi="Times New Roman" w:eastAsia="仿宋_GB2312"/>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"_Toc29149" </w:instrText>
          </w:r>
          <w:r>
            <w:fldChar w:fldCharType="separate"/>
          </w:r>
          <w:r>
            <w:rPr>
              <w:rFonts w:ascii="Times New Roman" w:eastAsia="仿宋_GB2312"/>
              <w:b w:val="0"/>
              <w:bCs w:val="0"/>
              <w:sz w:val="28"/>
              <w:szCs w:val="21"/>
            </w:rPr>
            <w:t xml:space="preserve">第一节 </w:t>
          </w:r>
          <w:r>
            <w:rPr>
              <w:rFonts w:hint="eastAsia" w:ascii="Times New Roman" w:eastAsia="仿宋_GB2312"/>
              <w:b w:val="0"/>
              <w:bCs w:val="0"/>
              <w:sz w:val="28"/>
              <w:szCs w:val="21"/>
            </w:rPr>
            <w:t>培育多元化市场主体</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_Toc29149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77</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"_Toc17527" </w:instrText>
          </w:r>
          <w:r>
            <w:fldChar w:fldCharType="separate"/>
          </w:r>
          <w:r>
            <w:rPr>
              <w:rFonts w:ascii="Times New Roman" w:eastAsia="仿宋_GB2312"/>
              <w:b w:val="0"/>
              <w:bCs w:val="0"/>
              <w:sz w:val="28"/>
              <w:szCs w:val="21"/>
            </w:rPr>
            <w:t xml:space="preserve">第二节 </w:t>
          </w:r>
          <w:r>
            <w:rPr>
              <w:rFonts w:hint="eastAsia" w:ascii="Times New Roman" w:eastAsia="仿宋_GB2312"/>
              <w:b w:val="0"/>
              <w:bCs w:val="0"/>
              <w:sz w:val="28"/>
              <w:szCs w:val="21"/>
            </w:rPr>
            <w:t>建立健全社会化服务体系</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_Toc17527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80</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"_Toc5566" </w:instrText>
          </w:r>
          <w:r>
            <w:fldChar w:fldCharType="separate"/>
          </w:r>
          <w:r>
            <w:rPr>
              <w:rFonts w:ascii="Times New Roman" w:eastAsia="仿宋_GB2312"/>
              <w:b w:val="0"/>
              <w:bCs w:val="0"/>
              <w:sz w:val="28"/>
              <w:szCs w:val="21"/>
            </w:rPr>
            <w:t xml:space="preserve">第三节 </w:t>
          </w:r>
          <w:r>
            <w:rPr>
              <w:rFonts w:hint="eastAsia" w:ascii="Times New Roman" w:eastAsia="仿宋_GB2312"/>
              <w:b w:val="0"/>
              <w:bCs w:val="0"/>
              <w:sz w:val="28"/>
              <w:szCs w:val="21"/>
            </w:rPr>
            <w:t>加强小农户与现代农业有机衔接</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_Toc5566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81</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"_Toc6078" </w:instrText>
          </w:r>
          <w:r>
            <w:fldChar w:fldCharType="separate"/>
          </w:r>
          <w:r>
            <w:rPr>
              <w:rFonts w:ascii="Times New Roman" w:eastAsia="仿宋_GB2312"/>
              <w:b w:val="0"/>
              <w:bCs w:val="0"/>
              <w:sz w:val="28"/>
              <w:szCs w:val="21"/>
            </w:rPr>
            <w:t xml:space="preserve">第四节 </w:t>
          </w:r>
          <w:r>
            <w:rPr>
              <w:rFonts w:hint="eastAsia" w:ascii="Times New Roman" w:eastAsia="仿宋_GB2312"/>
              <w:b w:val="0"/>
              <w:bCs w:val="0"/>
              <w:sz w:val="28"/>
              <w:szCs w:val="21"/>
            </w:rPr>
            <w:t>大力培养高素质农民</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_Toc6078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82</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"_Toc25418" </w:instrText>
          </w:r>
          <w:r>
            <w:fldChar w:fldCharType="separate"/>
          </w:r>
          <w:r>
            <w:rPr>
              <w:rFonts w:ascii="Times New Roman" w:eastAsia="仿宋_GB2312"/>
              <w:b w:val="0"/>
              <w:bCs w:val="0"/>
              <w:sz w:val="28"/>
              <w:szCs w:val="21"/>
            </w:rPr>
            <w:t xml:space="preserve">第五节 </w:t>
          </w:r>
          <w:r>
            <w:rPr>
              <w:rFonts w:hint="eastAsia" w:ascii="Times New Roman" w:eastAsia="仿宋_GB2312"/>
              <w:b w:val="0"/>
              <w:bCs w:val="0"/>
              <w:sz w:val="28"/>
              <w:szCs w:val="21"/>
            </w:rPr>
            <w:t>着力提升农民收入水平</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_Toc25418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82</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1"/>
            <w:tabs>
              <w:tab w:val="right" w:leader="dot" w:pos="8617"/>
              <w:tab w:val="clear" w:pos="8607"/>
            </w:tabs>
            <w:spacing w:before="217" w:beforeLines="50" w:line="240" w:lineRule="auto"/>
            <w:rPr>
              <w:rFonts w:ascii="Times New Roman" w:hAnsi="Times New Roman" w:eastAsia="仿宋_GB2312"/>
              <w:sz w:val="28"/>
              <w:szCs w:val="21"/>
            </w:rPr>
          </w:pPr>
          <w:r>
            <w:fldChar w:fldCharType="begin"/>
          </w:r>
          <w:r>
            <w:instrText xml:space="preserve"> HYPERLINK \l "_Toc7345" </w:instrText>
          </w:r>
          <w:r>
            <w:fldChar w:fldCharType="separate"/>
          </w:r>
          <w:r>
            <w:rPr>
              <w:rFonts w:ascii="Times New Roman" w:hAnsi="Times New Roman" w:eastAsia="仿宋_GB2312"/>
              <w:sz w:val="28"/>
              <w:szCs w:val="21"/>
            </w:rPr>
            <w:t xml:space="preserve">第九章 </w:t>
          </w:r>
          <w:r>
            <w:rPr>
              <w:rFonts w:hint="eastAsia" w:ascii="Times New Roman" w:hAnsi="Times New Roman" w:eastAsia="仿宋_GB2312"/>
              <w:sz w:val="28"/>
              <w:szCs w:val="21"/>
            </w:rPr>
            <w:t>提升乡村治理水平，建设文明和谐乡村</w:t>
          </w:r>
          <w:r>
            <w:rPr>
              <w:rFonts w:hint="eastAsia" w:ascii="Times New Roman" w:hAnsi="Times New Roman" w:eastAsia="仿宋_GB2312"/>
              <w:sz w:val="28"/>
              <w:szCs w:val="21"/>
            </w:rPr>
            <w:tab/>
          </w:r>
          <w:r>
            <w:rPr>
              <w:rFonts w:hint="eastAsia" w:ascii="Times New Roman" w:hAnsi="Times New Roman" w:eastAsia="仿宋_GB2312"/>
              <w:sz w:val="28"/>
              <w:szCs w:val="21"/>
            </w:rPr>
            <w:fldChar w:fldCharType="begin"/>
          </w:r>
          <w:r>
            <w:rPr>
              <w:rFonts w:hint="eastAsia" w:ascii="Times New Roman" w:hAnsi="Times New Roman" w:eastAsia="仿宋_GB2312"/>
              <w:sz w:val="28"/>
              <w:szCs w:val="21"/>
            </w:rPr>
            <w:instrText xml:space="preserve"> PAGEREF _Toc7345 \h </w:instrText>
          </w:r>
          <w:r>
            <w:rPr>
              <w:rFonts w:hint="eastAsia" w:ascii="Times New Roman" w:hAnsi="Times New Roman" w:eastAsia="仿宋_GB2312"/>
              <w:sz w:val="28"/>
              <w:szCs w:val="21"/>
            </w:rPr>
            <w:fldChar w:fldCharType="separate"/>
          </w:r>
          <w:r>
            <w:rPr>
              <w:rFonts w:ascii="Times New Roman" w:hAnsi="Times New Roman" w:eastAsia="仿宋_GB2312"/>
              <w:sz w:val="28"/>
              <w:szCs w:val="21"/>
            </w:rPr>
            <w:t>84</w:t>
          </w:r>
          <w:r>
            <w:rPr>
              <w:rFonts w:hint="eastAsia" w:ascii="Times New Roman" w:hAnsi="Times New Roman" w:eastAsia="仿宋_GB2312"/>
              <w:sz w:val="28"/>
              <w:szCs w:val="21"/>
            </w:rPr>
            <w:fldChar w:fldCharType="end"/>
          </w:r>
          <w:r>
            <w:rPr>
              <w:rFonts w:hint="eastAsia" w:ascii="Times New Roman" w:hAnsi="Times New Roman" w:eastAsia="仿宋_GB2312"/>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"_Toc10826" </w:instrText>
          </w:r>
          <w:r>
            <w:fldChar w:fldCharType="separate"/>
          </w:r>
          <w:r>
            <w:rPr>
              <w:rFonts w:ascii="Times New Roman" w:eastAsia="仿宋_GB2312"/>
              <w:b w:val="0"/>
              <w:bCs w:val="0"/>
              <w:sz w:val="28"/>
              <w:szCs w:val="21"/>
            </w:rPr>
            <w:t xml:space="preserve">第一节 </w:t>
          </w:r>
          <w:r>
            <w:rPr>
              <w:rFonts w:hint="eastAsia" w:ascii="Times New Roman" w:eastAsia="仿宋_GB2312"/>
              <w:b w:val="0"/>
              <w:bCs w:val="0"/>
              <w:sz w:val="28"/>
              <w:szCs w:val="21"/>
            </w:rPr>
            <w:t>扎实做好两项改革“后半篇”文章</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_Toc10826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84</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"_Toc27201" </w:instrText>
          </w:r>
          <w:r>
            <w:fldChar w:fldCharType="separate"/>
          </w:r>
          <w:r>
            <w:rPr>
              <w:rFonts w:ascii="Times New Roman" w:eastAsia="仿宋_GB2312"/>
              <w:b w:val="0"/>
              <w:bCs w:val="0"/>
              <w:sz w:val="28"/>
              <w:szCs w:val="21"/>
            </w:rPr>
            <w:t xml:space="preserve">第二节 </w:t>
          </w:r>
          <w:r>
            <w:rPr>
              <w:rFonts w:hint="eastAsia" w:ascii="Times New Roman" w:eastAsia="仿宋_GB2312"/>
              <w:b w:val="0"/>
              <w:bCs w:val="0"/>
              <w:sz w:val="28"/>
              <w:szCs w:val="21"/>
            </w:rPr>
            <w:t>加快推进乡村社会治理体系建设</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_Toc27201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85</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"_Toc30770" </w:instrText>
          </w:r>
          <w:r>
            <w:fldChar w:fldCharType="separate"/>
          </w:r>
          <w:r>
            <w:rPr>
              <w:rFonts w:ascii="Times New Roman" w:eastAsia="仿宋_GB2312"/>
              <w:b w:val="0"/>
              <w:bCs w:val="0"/>
              <w:sz w:val="28"/>
              <w:szCs w:val="21"/>
            </w:rPr>
            <w:t xml:space="preserve">第三节 </w:t>
          </w:r>
          <w:r>
            <w:rPr>
              <w:rFonts w:hint="eastAsia" w:ascii="Times New Roman" w:eastAsia="仿宋_GB2312"/>
              <w:b w:val="0"/>
              <w:bCs w:val="0"/>
              <w:sz w:val="28"/>
              <w:szCs w:val="21"/>
            </w:rPr>
            <w:t>加强新时代农村精神文明建设</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_Toc30770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87</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"_Toc5615" </w:instrText>
          </w:r>
          <w:r>
            <w:fldChar w:fldCharType="separate"/>
          </w:r>
          <w:r>
            <w:rPr>
              <w:rFonts w:ascii="Times New Roman" w:eastAsia="仿宋_GB2312"/>
              <w:b w:val="0"/>
              <w:bCs w:val="0"/>
              <w:sz w:val="28"/>
              <w:szCs w:val="21"/>
            </w:rPr>
            <w:t xml:space="preserve">第四节 </w:t>
          </w:r>
          <w:r>
            <w:rPr>
              <w:rFonts w:hint="eastAsia" w:ascii="Times New Roman" w:eastAsia="仿宋_GB2312"/>
              <w:b w:val="0"/>
              <w:bCs w:val="0"/>
              <w:sz w:val="28"/>
              <w:szCs w:val="21"/>
            </w:rPr>
            <w:t>全面加强乡村人才队伍建设</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_Toc5615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89</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1"/>
            <w:tabs>
              <w:tab w:val="right" w:leader="dot" w:pos="8617"/>
              <w:tab w:val="clear" w:pos="8607"/>
            </w:tabs>
            <w:spacing w:before="217" w:beforeLines="50" w:line="240" w:lineRule="auto"/>
            <w:rPr>
              <w:rFonts w:ascii="Times New Roman" w:hAnsi="Times New Roman" w:eastAsia="仿宋_GB2312"/>
              <w:sz w:val="28"/>
              <w:szCs w:val="21"/>
            </w:rPr>
          </w:pPr>
          <w:r>
            <w:fldChar w:fldCharType="begin"/>
          </w:r>
          <w:r>
            <w:instrText xml:space="preserve"> HYPERLINK \l "_Toc11934" </w:instrText>
          </w:r>
          <w:r>
            <w:fldChar w:fldCharType="separate"/>
          </w:r>
          <w:r>
            <w:rPr>
              <w:rFonts w:ascii="Times New Roman" w:hAnsi="Times New Roman" w:eastAsia="仿宋_GB2312"/>
              <w:sz w:val="28"/>
              <w:szCs w:val="21"/>
            </w:rPr>
            <w:t xml:space="preserve">第十章 </w:t>
          </w:r>
          <w:r>
            <w:rPr>
              <w:rFonts w:hint="eastAsia" w:ascii="Times New Roman" w:hAnsi="Times New Roman" w:eastAsia="仿宋_GB2312"/>
              <w:sz w:val="28"/>
              <w:szCs w:val="21"/>
              <w:lang w:eastAsia="zh-CN"/>
            </w:rPr>
            <w:t>巩固拓展脱贫攻坚成果</w:t>
          </w:r>
          <w:r>
            <w:rPr>
              <w:rFonts w:hint="eastAsia" w:ascii="Times New Roman" w:hAnsi="Times New Roman" w:eastAsia="仿宋_GB2312"/>
              <w:sz w:val="28"/>
              <w:szCs w:val="21"/>
            </w:rPr>
            <w:t>，全面推进乡村振兴</w:t>
          </w:r>
          <w:r>
            <w:rPr>
              <w:rFonts w:hint="eastAsia" w:ascii="Times New Roman" w:hAnsi="Times New Roman" w:eastAsia="仿宋_GB2312"/>
              <w:sz w:val="28"/>
              <w:szCs w:val="21"/>
            </w:rPr>
            <w:tab/>
          </w:r>
          <w:r>
            <w:rPr>
              <w:rFonts w:hint="eastAsia" w:ascii="Times New Roman" w:hAnsi="Times New Roman" w:eastAsia="仿宋_GB2312"/>
              <w:sz w:val="28"/>
              <w:szCs w:val="21"/>
            </w:rPr>
            <w:fldChar w:fldCharType="begin"/>
          </w:r>
          <w:r>
            <w:rPr>
              <w:rFonts w:hint="eastAsia" w:ascii="Times New Roman" w:hAnsi="Times New Roman" w:eastAsia="仿宋_GB2312"/>
              <w:sz w:val="28"/>
              <w:szCs w:val="21"/>
            </w:rPr>
            <w:instrText xml:space="preserve"> PAGEREF _Toc11934 \h </w:instrText>
          </w:r>
          <w:r>
            <w:rPr>
              <w:rFonts w:hint="eastAsia" w:ascii="Times New Roman" w:hAnsi="Times New Roman" w:eastAsia="仿宋_GB2312"/>
              <w:sz w:val="28"/>
              <w:szCs w:val="21"/>
            </w:rPr>
            <w:fldChar w:fldCharType="separate"/>
          </w:r>
          <w:r>
            <w:rPr>
              <w:rFonts w:ascii="Times New Roman" w:hAnsi="Times New Roman" w:eastAsia="仿宋_GB2312"/>
              <w:sz w:val="28"/>
              <w:szCs w:val="21"/>
            </w:rPr>
            <w:t>91</w:t>
          </w:r>
          <w:r>
            <w:rPr>
              <w:rFonts w:hint="eastAsia" w:ascii="Times New Roman" w:hAnsi="Times New Roman" w:eastAsia="仿宋_GB2312"/>
              <w:sz w:val="28"/>
              <w:szCs w:val="21"/>
            </w:rPr>
            <w:fldChar w:fldCharType="end"/>
          </w:r>
          <w:r>
            <w:rPr>
              <w:rFonts w:hint="eastAsia" w:ascii="Times New Roman" w:hAnsi="Times New Roman" w:eastAsia="仿宋_GB2312"/>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"_Toc4288" </w:instrText>
          </w:r>
          <w:r>
            <w:fldChar w:fldCharType="separate"/>
          </w:r>
          <w:r>
            <w:rPr>
              <w:rFonts w:ascii="Times New Roman" w:eastAsia="仿宋_GB2312"/>
              <w:b w:val="0"/>
              <w:bCs w:val="0"/>
              <w:sz w:val="28"/>
              <w:szCs w:val="21"/>
            </w:rPr>
            <w:t xml:space="preserve">第一节 </w:t>
          </w:r>
          <w:r>
            <w:rPr>
              <w:rFonts w:hint="eastAsia" w:ascii="Times New Roman" w:eastAsia="仿宋_GB2312"/>
              <w:b w:val="0"/>
              <w:bCs w:val="0"/>
              <w:sz w:val="28"/>
              <w:szCs w:val="21"/>
            </w:rPr>
            <w:t>建立健全巩固拓展脱贫攻坚成果长效机制</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_Toc4288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91</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"_Toc17954" </w:instrText>
          </w:r>
          <w:r>
            <w:fldChar w:fldCharType="separate"/>
          </w:r>
          <w:r>
            <w:rPr>
              <w:rFonts w:ascii="Times New Roman" w:eastAsia="仿宋_GB2312"/>
              <w:b w:val="0"/>
              <w:bCs w:val="0"/>
              <w:sz w:val="28"/>
              <w:szCs w:val="21"/>
            </w:rPr>
            <w:t xml:space="preserve">第二节 </w:t>
          </w:r>
          <w:r>
            <w:rPr>
              <w:rFonts w:hint="eastAsia" w:ascii="Times New Roman" w:eastAsia="仿宋_GB2312"/>
              <w:b w:val="0"/>
              <w:bCs w:val="0"/>
              <w:sz w:val="28"/>
              <w:szCs w:val="21"/>
            </w:rPr>
            <w:t>健全农村低收入人口常态化分类帮扶机制</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_Toc17954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92</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"_Toc15382" </w:instrText>
          </w:r>
          <w:r>
            <w:fldChar w:fldCharType="separate"/>
          </w:r>
          <w:r>
            <w:rPr>
              <w:rFonts w:ascii="Times New Roman" w:eastAsia="仿宋_GB2312"/>
              <w:b w:val="0"/>
              <w:bCs w:val="0"/>
              <w:sz w:val="28"/>
              <w:szCs w:val="21"/>
            </w:rPr>
            <w:t xml:space="preserve">第三节 </w:t>
          </w:r>
          <w:r>
            <w:rPr>
              <w:rFonts w:hint="eastAsia" w:ascii="Times New Roman" w:eastAsia="仿宋_GB2312"/>
              <w:b w:val="0"/>
              <w:bCs w:val="0"/>
              <w:sz w:val="28"/>
              <w:szCs w:val="21"/>
            </w:rPr>
            <w:t>推动</w:t>
          </w:r>
          <w:r>
            <w:rPr>
              <w:rFonts w:hint="eastAsia" w:ascii="Times New Roman" w:eastAsia="仿宋_GB2312"/>
              <w:b w:val="0"/>
              <w:bCs w:val="0"/>
              <w:sz w:val="28"/>
              <w:szCs w:val="21"/>
              <w:lang w:eastAsia="zh-CN"/>
            </w:rPr>
            <w:t>巩固拓展脱贫攻坚成果</w:t>
          </w:r>
          <w:r>
            <w:rPr>
              <w:rFonts w:hint="eastAsia" w:ascii="Times New Roman" w:eastAsia="仿宋_GB2312"/>
              <w:b w:val="0"/>
              <w:bCs w:val="0"/>
              <w:sz w:val="28"/>
              <w:szCs w:val="21"/>
            </w:rPr>
            <w:t>同乡村振兴重点工作衔接</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_Toc15382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93</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"_Toc2606" </w:instrText>
          </w:r>
          <w:r>
            <w:fldChar w:fldCharType="separate"/>
          </w:r>
          <w:r>
            <w:rPr>
              <w:rFonts w:ascii="Times New Roman" w:eastAsia="仿宋_GB2312"/>
              <w:b w:val="0"/>
              <w:bCs w:val="0"/>
              <w:sz w:val="28"/>
              <w:szCs w:val="21"/>
            </w:rPr>
            <w:t xml:space="preserve">第四节 </w:t>
          </w:r>
          <w:r>
            <w:rPr>
              <w:rFonts w:hint="eastAsia" w:ascii="Times New Roman" w:eastAsia="仿宋_GB2312"/>
              <w:b w:val="0"/>
              <w:bCs w:val="0"/>
              <w:sz w:val="28"/>
              <w:szCs w:val="21"/>
            </w:rPr>
            <w:t>强化脱贫攻坚与乡村振兴有效衔接要素保障</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_Toc2606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95</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"_Toc27260" </w:instrText>
          </w:r>
          <w:r>
            <w:fldChar w:fldCharType="separate"/>
          </w:r>
          <w:r>
            <w:rPr>
              <w:rFonts w:ascii="Times New Roman" w:eastAsia="仿宋_GB2312"/>
              <w:b w:val="0"/>
              <w:bCs w:val="0"/>
              <w:sz w:val="28"/>
              <w:szCs w:val="21"/>
            </w:rPr>
            <w:t xml:space="preserve">第五节 </w:t>
          </w:r>
          <w:r>
            <w:rPr>
              <w:rFonts w:hint="eastAsia" w:ascii="Times New Roman" w:eastAsia="仿宋_GB2312"/>
              <w:b w:val="0"/>
              <w:bCs w:val="0"/>
              <w:sz w:val="28"/>
              <w:szCs w:val="21"/>
            </w:rPr>
            <w:t>开展“百县千乡万村”示范创建</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_Toc27260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96</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1"/>
            <w:tabs>
              <w:tab w:val="right" w:leader="dot" w:pos="8617"/>
              <w:tab w:val="clear" w:pos="8607"/>
            </w:tabs>
            <w:spacing w:before="217" w:beforeLines="50" w:line="240" w:lineRule="auto"/>
            <w:rPr>
              <w:rFonts w:ascii="Times New Roman" w:hAnsi="Times New Roman" w:eastAsia="仿宋_GB2312"/>
              <w:sz w:val="28"/>
              <w:szCs w:val="21"/>
            </w:rPr>
          </w:pPr>
          <w:r>
            <w:fldChar w:fldCharType="begin"/>
          </w:r>
          <w:r>
            <w:instrText xml:space="preserve"> HYPERLINK \l "_Toc1116" </w:instrText>
          </w:r>
          <w:r>
            <w:fldChar w:fldCharType="separate"/>
          </w:r>
          <w:r>
            <w:rPr>
              <w:rFonts w:ascii="Times New Roman" w:hAnsi="Times New Roman" w:eastAsia="仿宋_GB2312"/>
              <w:sz w:val="28"/>
              <w:szCs w:val="21"/>
            </w:rPr>
            <w:t xml:space="preserve">第十一章 </w:t>
          </w:r>
          <w:r>
            <w:rPr>
              <w:rFonts w:hint="eastAsia" w:ascii="Times New Roman" w:hAnsi="Times New Roman" w:eastAsia="仿宋_GB2312"/>
              <w:sz w:val="28"/>
              <w:szCs w:val="21"/>
            </w:rPr>
            <w:t>全面深化农业农村改革，健全城乡融合发展体制机制</w:t>
          </w:r>
          <w:r>
            <w:rPr>
              <w:rFonts w:hint="eastAsia" w:ascii="Times New Roman" w:hAnsi="Times New Roman" w:eastAsia="仿宋_GB2312"/>
              <w:sz w:val="28"/>
              <w:szCs w:val="21"/>
            </w:rPr>
            <w:tab/>
          </w:r>
          <w:r>
            <w:rPr>
              <w:rFonts w:hint="eastAsia" w:ascii="Times New Roman" w:hAnsi="Times New Roman" w:eastAsia="仿宋_GB2312"/>
              <w:sz w:val="28"/>
              <w:szCs w:val="21"/>
            </w:rPr>
            <w:fldChar w:fldCharType="begin"/>
          </w:r>
          <w:r>
            <w:rPr>
              <w:rFonts w:hint="eastAsia" w:ascii="Times New Roman" w:hAnsi="Times New Roman" w:eastAsia="仿宋_GB2312"/>
              <w:sz w:val="28"/>
              <w:szCs w:val="21"/>
            </w:rPr>
            <w:instrText xml:space="preserve"> PAGEREF _Toc1116 \h </w:instrText>
          </w:r>
          <w:r>
            <w:rPr>
              <w:rFonts w:hint="eastAsia" w:ascii="Times New Roman" w:hAnsi="Times New Roman" w:eastAsia="仿宋_GB2312"/>
              <w:sz w:val="28"/>
              <w:szCs w:val="21"/>
            </w:rPr>
            <w:fldChar w:fldCharType="separate"/>
          </w:r>
          <w:r>
            <w:rPr>
              <w:rFonts w:ascii="Times New Roman" w:hAnsi="Times New Roman" w:eastAsia="仿宋_GB2312"/>
              <w:sz w:val="28"/>
              <w:szCs w:val="21"/>
            </w:rPr>
            <w:t>98</w:t>
          </w:r>
          <w:r>
            <w:rPr>
              <w:rFonts w:hint="eastAsia" w:ascii="Times New Roman" w:hAnsi="Times New Roman" w:eastAsia="仿宋_GB2312"/>
              <w:sz w:val="28"/>
              <w:szCs w:val="21"/>
            </w:rPr>
            <w:fldChar w:fldCharType="end"/>
          </w:r>
          <w:r>
            <w:rPr>
              <w:rFonts w:hint="eastAsia" w:ascii="Times New Roman" w:hAnsi="Times New Roman" w:eastAsia="仿宋_GB2312"/>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"_Toc11675" </w:instrText>
          </w:r>
          <w:r>
            <w:fldChar w:fldCharType="separate"/>
          </w:r>
          <w:r>
            <w:rPr>
              <w:rFonts w:ascii="Times New Roman" w:eastAsia="仿宋_GB2312"/>
              <w:b w:val="0"/>
              <w:bCs w:val="0"/>
              <w:sz w:val="28"/>
              <w:szCs w:val="21"/>
            </w:rPr>
            <w:t xml:space="preserve">第一节 </w:t>
          </w:r>
          <w:r>
            <w:rPr>
              <w:rFonts w:hint="eastAsia" w:ascii="Times New Roman" w:eastAsia="仿宋_GB2312"/>
              <w:b w:val="0"/>
              <w:bCs w:val="0"/>
              <w:sz w:val="28"/>
              <w:szCs w:val="21"/>
            </w:rPr>
            <w:t>深化农村土地制度改革</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_Toc11675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98</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"_Toc9871" </w:instrText>
          </w:r>
          <w:r>
            <w:fldChar w:fldCharType="separate"/>
          </w:r>
          <w:r>
            <w:rPr>
              <w:rFonts w:ascii="Times New Roman" w:eastAsia="仿宋_GB2312"/>
              <w:b w:val="0"/>
              <w:bCs w:val="0"/>
              <w:sz w:val="28"/>
              <w:szCs w:val="21"/>
            </w:rPr>
            <w:t xml:space="preserve">第二节 </w:t>
          </w:r>
          <w:r>
            <w:rPr>
              <w:rFonts w:hint="eastAsia" w:ascii="Times New Roman" w:eastAsia="仿宋_GB2312"/>
              <w:b w:val="0"/>
              <w:bCs w:val="0"/>
              <w:sz w:val="28"/>
              <w:szCs w:val="21"/>
            </w:rPr>
            <w:t>健全农业农村优先发展投入保障机制</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_Toc9871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100</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"_Toc41" </w:instrText>
          </w:r>
          <w:r>
            <w:fldChar w:fldCharType="separate"/>
          </w:r>
          <w:r>
            <w:rPr>
              <w:rFonts w:ascii="Times New Roman" w:eastAsia="仿宋_GB2312"/>
              <w:b w:val="0"/>
              <w:bCs w:val="0"/>
              <w:sz w:val="28"/>
              <w:szCs w:val="21"/>
            </w:rPr>
            <w:t xml:space="preserve">第三节 </w:t>
          </w:r>
          <w:r>
            <w:rPr>
              <w:rFonts w:hint="eastAsia" w:ascii="Times New Roman" w:eastAsia="仿宋_GB2312"/>
              <w:b w:val="0"/>
              <w:bCs w:val="0"/>
              <w:sz w:val="28"/>
              <w:szCs w:val="21"/>
            </w:rPr>
            <w:t>加快推进县域内城乡融合发展</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_Toc41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101</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"_Toc26294" </w:instrText>
          </w:r>
          <w:r>
            <w:fldChar w:fldCharType="separate"/>
          </w:r>
          <w:r>
            <w:rPr>
              <w:rFonts w:ascii="Times New Roman" w:eastAsia="仿宋_GB2312"/>
              <w:b w:val="0"/>
              <w:bCs w:val="0"/>
              <w:sz w:val="28"/>
              <w:szCs w:val="21"/>
            </w:rPr>
            <w:t xml:space="preserve">第四节 </w:t>
          </w:r>
          <w:r>
            <w:rPr>
              <w:rFonts w:hint="eastAsia" w:ascii="Times New Roman" w:eastAsia="仿宋_GB2312"/>
              <w:b w:val="0"/>
              <w:bCs w:val="0"/>
              <w:sz w:val="28"/>
              <w:szCs w:val="21"/>
            </w:rPr>
            <w:t>创新发展新型农村集体经济</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_Toc26294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102</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"_Toc18972" </w:instrText>
          </w:r>
          <w:r>
            <w:fldChar w:fldCharType="separate"/>
          </w:r>
          <w:r>
            <w:rPr>
              <w:rFonts w:ascii="Times New Roman" w:eastAsia="仿宋_GB2312"/>
              <w:b w:val="0"/>
              <w:bCs w:val="0"/>
              <w:sz w:val="28"/>
              <w:szCs w:val="21"/>
            </w:rPr>
            <w:t xml:space="preserve">第五节 </w:t>
          </w:r>
          <w:r>
            <w:rPr>
              <w:rFonts w:hint="eastAsia" w:ascii="Times New Roman" w:eastAsia="仿宋_GB2312"/>
              <w:b w:val="0"/>
              <w:bCs w:val="0"/>
              <w:sz w:val="28"/>
              <w:szCs w:val="21"/>
            </w:rPr>
            <w:t>深化农村集体产权制度改革</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_Toc18972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104</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"_Toc28018" </w:instrText>
          </w:r>
          <w:r>
            <w:fldChar w:fldCharType="separate"/>
          </w:r>
          <w:r>
            <w:rPr>
              <w:rFonts w:ascii="Times New Roman" w:eastAsia="仿宋_GB2312"/>
              <w:b w:val="0"/>
              <w:bCs w:val="0"/>
              <w:sz w:val="28"/>
              <w:szCs w:val="21"/>
            </w:rPr>
            <w:t xml:space="preserve">第六节 </w:t>
          </w:r>
          <w:r>
            <w:rPr>
              <w:rFonts w:hint="eastAsia" w:ascii="Times New Roman" w:eastAsia="仿宋_GB2312"/>
              <w:b w:val="0"/>
              <w:bCs w:val="0"/>
              <w:sz w:val="28"/>
              <w:szCs w:val="21"/>
            </w:rPr>
            <w:t>推进农业对外开放</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_Toc28018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105</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1"/>
            <w:tabs>
              <w:tab w:val="right" w:leader="dot" w:pos="8617"/>
              <w:tab w:val="clear" w:pos="8607"/>
            </w:tabs>
            <w:spacing w:before="217" w:beforeLines="50" w:line="240" w:lineRule="auto"/>
            <w:rPr>
              <w:rFonts w:ascii="Times New Roman" w:hAnsi="Times New Roman" w:eastAsia="仿宋_GB2312"/>
              <w:sz w:val="28"/>
              <w:szCs w:val="21"/>
            </w:rPr>
          </w:pPr>
          <w:r>
            <w:fldChar w:fldCharType="begin"/>
          </w:r>
          <w:r>
            <w:instrText xml:space="preserve"> HYPERLINK \l "_Toc14703" </w:instrText>
          </w:r>
          <w:r>
            <w:fldChar w:fldCharType="separate"/>
          </w:r>
          <w:r>
            <w:rPr>
              <w:rFonts w:ascii="Times New Roman" w:hAnsi="Times New Roman" w:eastAsia="仿宋_GB2312"/>
              <w:sz w:val="28"/>
              <w:szCs w:val="21"/>
            </w:rPr>
            <w:t xml:space="preserve">第十二章 </w:t>
          </w:r>
          <w:r>
            <w:rPr>
              <w:rFonts w:hint="eastAsia" w:ascii="Times New Roman" w:hAnsi="Times New Roman" w:eastAsia="仿宋_GB2312"/>
              <w:sz w:val="28"/>
              <w:szCs w:val="21"/>
            </w:rPr>
            <w:t>健全规划落实机制，保障规划顺利实施</w:t>
          </w:r>
          <w:r>
            <w:rPr>
              <w:rFonts w:hint="eastAsia" w:ascii="Times New Roman" w:hAnsi="Times New Roman" w:eastAsia="仿宋_GB2312"/>
              <w:sz w:val="28"/>
              <w:szCs w:val="21"/>
            </w:rPr>
            <w:tab/>
          </w:r>
          <w:r>
            <w:rPr>
              <w:rFonts w:hint="eastAsia" w:ascii="Times New Roman" w:hAnsi="Times New Roman" w:eastAsia="仿宋_GB2312"/>
              <w:sz w:val="28"/>
              <w:szCs w:val="21"/>
            </w:rPr>
            <w:fldChar w:fldCharType="begin"/>
          </w:r>
          <w:r>
            <w:rPr>
              <w:rFonts w:hint="eastAsia" w:ascii="Times New Roman" w:hAnsi="Times New Roman" w:eastAsia="仿宋_GB2312"/>
              <w:sz w:val="28"/>
              <w:szCs w:val="21"/>
            </w:rPr>
            <w:instrText xml:space="preserve"> PAGEREF _Toc14703 \h </w:instrText>
          </w:r>
          <w:r>
            <w:rPr>
              <w:rFonts w:hint="eastAsia" w:ascii="Times New Roman" w:hAnsi="Times New Roman" w:eastAsia="仿宋_GB2312"/>
              <w:sz w:val="28"/>
              <w:szCs w:val="21"/>
            </w:rPr>
            <w:fldChar w:fldCharType="separate"/>
          </w:r>
          <w:r>
            <w:rPr>
              <w:rFonts w:ascii="Times New Roman" w:hAnsi="Times New Roman" w:eastAsia="仿宋_GB2312"/>
              <w:sz w:val="28"/>
              <w:szCs w:val="21"/>
            </w:rPr>
            <w:t>109</w:t>
          </w:r>
          <w:r>
            <w:rPr>
              <w:rFonts w:hint="eastAsia" w:ascii="Times New Roman" w:hAnsi="Times New Roman" w:eastAsia="仿宋_GB2312"/>
              <w:sz w:val="28"/>
              <w:szCs w:val="21"/>
            </w:rPr>
            <w:fldChar w:fldCharType="end"/>
          </w:r>
          <w:r>
            <w:rPr>
              <w:rFonts w:hint="eastAsia" w:ascii="Times New Roman" w:hAnsi="Times New Roman" w:eastAsia="仿宋_GB2312"/>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"_Toc28605" </w:instrText>
          </w:r>
          <w:r>
            <w:fldChar w:fldCharType="separate"/>
          </w:r>
          <w:r>
            <w:rPr>
              <w:rFonts w:ascii="Times New Roman" w:eastAsia="仿宋_GB2312"/>
              <w:b w:val="0"/>
              <w:bCs w:val="0"/>
              <w:sz w:val="28"/>
              <w:szCs w:val="21"/>
            </w:rPr>
            <w:t xml:space="preserve">第一节 </w:t>
          </w:r>
          <w:r>
            <w:rPr>
              <w:rFonts w:hint="eastAsia" w:ascii="Times New Roman" w:eastAsia="仿宋_GB2312"/>
              <w:b w:val="0"/>
              <w:bCs w:val="0"/>
              <w:sz w:val="28"/>
              <w:szCs w:val="21"/>
            </w:rPr>
            <w:t>加强组织领导</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_Toc28605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109</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"_Toc16374" </w:instrText>
          </w:r>
          <w:r>
            <w:fldChar w:fldCharType="separate"/>
          </w:r>
          <w:r>
            <w:rPr>
              <w:rFonts w:ascii="Times New Roman" w:eastAsia="仿宋_GB2312"/>
              <w:b w:val="0"/>
              <w:bCs w:val="0"/>
              <w:sz w:val="28"/>
              <w:szCs w:val="21"/>
            </w:rPr>
            <w:t xml:space="preserve">第二节 </w:t>
          </w:r>
          <w:r>
            <w:rPr>
              <w:rFonts w:hint="eastAsia" w:ascii="Times New Roman" w:eastAsia="仿宋_GB2312"/>
              <w:b w:val="0"/>
              <w:bCs w:val="0"/>
              <w:sz w:val="28"/>
              <w:szCs w:val="21"/>
            </w:rPr>
            <w:t>强化政策支持</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_Toc16374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110</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"_Toc20238" </w:instrText>
          </w:r>
          <w:r>
            <w:fldChar w:fldCharType="separate"/>
          </w:r>
          <w:r>
            <w:rPr>
              <w:rFonts w:ascii="Times New Roman" w:eastAsia="仿宋_GB2312"/>
              <w:b w:val="0"/>
              <w:bCs w:val="0"/>
              <w:sz w:val="28"/>
              <w:szCs w:val="21"/>
            </w:rPr>
            <w:t xml:space="preserve">第三节 </w:t>
          </w:r>
          <w:r>
            <w:rPr>
              <w:rFonts w:hint="eastAsia" w:ascii="Times New Roman" w:eastAsia="仿宋_GB2312"/>
              <w:b w:val="0"/>
              <w:bCs w:val="0"/>
              <w:sz w:val="28"/>
              <w:szCs w:val="21"/>
            </w:rPr>
            <w:t>落实项目支撑</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_Toc20238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111</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"_Toc22256" </w:instrText>
          </w:r>
          <w:r>
            <w:fldChar w:fldCharType="separate"/>
          </w:r>
          <w:r>
            <w:rPr>
              <w:rFonts w:ascii="Times New Roman" w:eastAsia="仿宋_GB2312"/>
              <w:b w:val="0"/>
              <w:bCs w:val="0"/>
              <w:sz w:val="28"/>
              <w:szCs w:val="21"/>
            </w:rPr>
            <w:t xml:space="preserve">第四节 </w:t>
          </w:r>
          <w:r>
            <w:rPr>
              <w:rFonts w:hint="eastAsia" w:ascii="Times New Roman" w:eastAsia="仿宋_GB2312"/>
              <w:b w:val="0"/>
              <w:bCs w:val="0"/>
              <w:sz w:val="28"/>
              <w:szCs w:val="21"/>
            </w:rPr>
            <w:t>健全投入机制</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_Toc22256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112</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"_Toc17022" </w:instrText>
          </w:r>
          <w:r>
            <w:fldChar w:fldCharType="separate"/>
          </w:r>
          <w:r>
            <w:rPr>
              <w:rFonts w:ascii="Times New Roman" w:eastAsia="仿宋_GB2312"/>
              <w:b w:val="0"/>
              <w:bCs w:val="0"/>
              <w:sz w:val="28"/>
              <w:szCs w:val="21"/>
            </w:rPr>
            <w:t xml:space="preserve">第五节 </w:t>
          </w:r>
          <w:r>
            <w:rPr>
              <w:rFonts w:hint="eastAsia" w:ascii="Times New Roman" w:eastAsia="仿宋_GB2312"/>
              <w:b w:val="0"/>
              <w:bCs w:val="0"/>
              <w:sz w:val="28"/>
              <w:szCs w:val="21"/>
            </w:rPr>
            <w:t>完善管护机制</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_Toc17022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114</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7"/>
            <w:tabs>
              <w:tab w:val="right" w:leader="dot" w:pos="8617"/>
              <w:tab w:val="clear" w:pos="8607"/>
            </w:tabs>
            <w:spacing w:line="240" w:lineRule="auto"/>
            <w:rPr>
              <w:rFonts w:ascii="Times New Roman" w:eastAsia="仿宋_GB2312"/>
              <w:b w:val="0"/>
              <w:bCs w:val="0"/>
              <w:sz w:val="28"/>
              <w:szCs w:val="21"/>
            </w:rPr>
          </w:pPr>
          <w:r>
            <w:fldChar w:fldCharType="begin"/>
          </w:r>
          <w:r>
            <w:instrText xml:space="preserve"> HYPERLINK \l "_Toc20005" </w:instrText>
          </w:r>
          <w:r>
            <w:fldChar w:fldCharType="separate"/>
          </w:r>
          <w:r>
            <w:rPr>
              <w:rFonts w:ascii="Times New Roman" w:eastAsia="仿宋_GB2312"/>
              <w:b w:val="0"/>
              <w:bCs w:val="0"/>
              <w:sz w:val="28"/>
              <w:szCs w:val="21"/>
            </w:rPr>
            <w:t xml:space="preserve">第六节 </w:t>
          </w:r>
          <w:r>
            <w:rPr>
              <w:rFonts w:hint="eastAsia" w:ascii="Times New Roman" w:eastAsia="仿宋_GB2312"/>
              <w:b w:val="0"/>
              <w:bCs w:val="0"/>
              <w:sz w:val="28"/>
              <w:szCs w:val="21"/>
            </w:rPr>
            <w:t>加强宣传引导</w:t>
          </w:r>
          <w:r>
            <w:rPr>
              <w:rFonts w:hint="eastAsia" w:ascii="Times New Roman" w:eastAsia="仿宋_GB2312"/>
              <w:b w:val="0"/>
              <w:bCs w:val="0"/>
              <w:sz w:val="28"/>
              <w:szCs w:val="21"/>
            </w:rPr>
            <w:tab/>
          </w:r>
          <w:r>
            <w:rPr>
              <w:rFonts w:hint="eastAsia" w:ascii="Times New Roman" w:eastAsia="仿宋_GB2312"/>
              <w:b w:val="0"/>
              <w:bCs w:val="0"/>
              <w:sz w:val="28"/>
              <w:szCs w:val="21"/>
            </w:rPr>
            <w:fldChar w:fldCharType="begin"/>
          </w:r>
          <w:r>
            <w:rPr>
              <w:rFonts w:hint="eastAsia" w:ascii="Times New Roman" w:eastAsia="仿宋_GB2312"/>
              <w:b w:val="0"/>
              <w:bCs w:val="0"/>
              <w:sz w:val="28"/>
              <w:szCs w:val="21"/>
            </w:rPr>
            <w:instrText xml:space="preserve"> PAGEREF _Toc20005 \h </w:instrText>
          </w:r>
          <w:r>
            <w:rPr>
              <w:rFonts w:hint="eastAsia" w:ascii="Times New Roman" w:eastAsia="仿宋_GB2312"/>
              <w:b w:val="0"/>
              <w:bCs w:val="0"/>
              <w:sz w:val="28"/>
              <w:szCs w:val="21"/>
            </w:rPr>
            <w:fldChar w:fldCharType="separate"/>
          </w:r>
          <w:r>
            <w:rPr>
              <w:rFonts w:ascii="Times New Roman" w:eastAsia="仿宋_GB2312"/>
              <w:b w:val="0"/>
              <w:bCs w:val="0"/>
              <w:sz w:val="28"/>
              <w:szCs w:val="21"/>
            </w:rPr>
            <w:t>115</w:t>
          </w:r>
          <w:r>
            <w:rPr>
              <w:rFonts w:hint="eastAsia" w:ascii="Times New Roman" w:eastAsia="仿宋_GB2312"/>
              <w:b w:val="0"/>
              <w:bCs w:val="0"/>
              <w:sz w:val="28"/>
              <w:szCs w:val="21"/>
            </w:rPr>
            <w:fldChar w:fldCharType="end"/>
          </w:r>
          <w:r>
            <w:rPr>
              <w:rFonts w:hint="eastAsia" w:ascii="Times New Roman" w:eastAsia="仿宋_GB2312"/>
              <w:b w:val="0"/>
              <w:bCs w:val="0"/>
              <w:sz w:val="28"/>
              <w:szCs w:val="21"/>
            </w:rPr>
            <w:fldChar w:fldCharType="end"/>
          </w:r>
        </w:p>
        <w:p>
          <w:pPr>
            <w:pStyle w:val="21"/>
            <w:tabs>
              <w:tab w:val="right" w:leader="dot" w:pos="8617"/>
              <w:tab w:val="clear" w:pos="8607"/>
            </w:tabs>
            <w:spacing w:line="240" w:lineRule="auto"/>
            <w:rPr>
              <w:rFonts w:ascii="Times New Roman" w:hAnsi="Times New Roman" w:eastAsia="仿宋_GB2312"/>
              <w:sz w:val="28"/>
              <w:szCs w:val="21"/>
            </w:rPr>
          </w:pPr>
          <w:r>
            <w:fldChar w:fldCharType="begin"/>
          </w:r>
          <w:r>
            <w:instrText xml:space="preserve"> HYPERLINK \l "_Toc30832" </w:instrText>
          </w:r>
          <w:r>
            <w:fldChar w:fldCharType="separate"/>
          </w:r>
          <w:r>
            <w:rPr>
              <w:rFonts w:hint="eastAsia" w:ascii="Times New Roman" w:hAnsi="Times New Roman" w:eastAsia="仿宋_GB2312"/>
              <w:sz w:val="28"/>
              <w:szCs w:val="21"/>
            </w:rPr>
            <w:t>附件1：《井研县“十四五”推进农业农村现代化规划》环境影响评价报告</w:t>
          </w:r>
          <w:r>
            <w:rPr>
              <w:rFonts w:hint="eastAsia" w:ascii="Times New Roman" w:hAnsi="Times New Roman" w:eastAsia="仿宋_GB2312"/>
              <w:sz w:val="28"/>
              <w:szCs w:val="21"/>
            </w:rPr>
            <w:tab/>
          </w:r>
          <w:r>
            <w:rPr>
              <w:rFonts w:hint="eastAsia" w:ascii="Times New Roman" w:hAnsi="Times New Roman" w:eastAsia="仿宋_GB2312"/>
              <w:sz w:val="28"/>
              <w:szCs w:val="21"/>
            </w:rPr>
            <w:fldChar w:fldCharType="begin"/>
          </w:r>
          <w:r>
            <w:rPr>
              <w:rFonts w:hint="eastAsia" w:ascii="Times New Roman" w:hAnsi="Times New Roman" w:eastAsia="仿宋_GB2312"/>
              <w:sz w:val="28"/>
              <w:szCs w:val="21"/>
            </w:rPr>
            <w:instrText xml:space="preserve"> PAGEREF _Toc30832 \h </w:instrText>
          </w:r>
          <w:r>
            <w:rPr>
              <w:rFonts w:hint="eastAsia" w:ascii="Times New Roman" w:hAnsi="Times New Roman" w:eastAsia="仿宋_GB2312"/>
              <w:sz w:val="28"/>
              <w:szCs w:val="21"/>
            </w:rPr>
            <w:fldChar w:fldCharType="separate"/>
          </w:r>
          <w:r>
            <w:rPr>
              <w:rFonts w:ascii="Times New Roman" w:hAnsi="Times New Roman" w:eastAsia="仿宋_GB2312"/>
              <w:sz w:val="28"/>
              <w:szCs w:val="21"/>
            </w:rPr>
            <w:t>117</w:t>
          </w:r>
          <w:r>
            <w:rPr>
              <w:rFonts w:hint="eastAsia" w:ascii="Times New Roman" w:hAnsi="Times New Roman" w:eastAsia="仿宋_GB2312"/>
              <w:sz w:val="28"/>
              <w:szCs w:val="21"/>
            </w:rPr>
            <w:fldChar w:fldCharType="end"/>
          </w:r>
          <w:r>
            <w:rPr>
              <w:rFonts w:hint="eastAsia" w:ascii="Times New Roman" w:hAnsi="Times New Roman" w:eastAsia="仿宋_GB2312"/>
              <w:sz w:val="28"/>
              <w:szCs w:val="21"/>
            </w:rPr>
            <w:fldChar w:fldCharType="end"/>
          </w:r>
        </w:p>
        <w:p>
          <w:pPr>
            <w:pStyle w:val="21"/>
            <w:tabs>
              <w:tab w:val="right" w:leader="dot" w:pos="8617"/>
              <w:tab w:val="clear" w:pos="8607"/>
            </w:tabs>
            <w:spacing w:line="240" w:lineRule="auto"/>
          </w:pPr>
          <w:r>
            <w:fldChar w:fldCharType="begin"/>
          </w:r>
          <w:r>
            <w:instrText xml:space="preserve"> HYPERLINK \l "_Toc10561" </w:instrText>
          </w:r>
          <w:r>
            <w:fldChar w:fldCharType="separate"/>
          </w:r>
          <w:r>
            <w:rPr>
              <w:rFonts w:hint="eastAsia" w:ascii="Times New Roman" w:hAnsi="Times New Roman" w:eastAsia="仿宋_GB2312"/>
              <w:sz w:val="28"/>
              <w:szCs w:val="21"/>
            </w:rPr>
            <w:t>附件2：井研县“十四五”推动农业农村现代化规划项目汇总表</w:t>
          </w:r>
          <w:r>
            <w:rPr>
              <w:rFonts w:hint="eastAsia" w:ascii="Times New Roman" w:hAnsi="Times New Roman" w:eastAsia="仿宋_GB2312"/>
              <w:sz w:val="28"/>
              <w:szCs w:val="21"/>
            </w:rPr>
            <w:tab/>
          </w:r>
          <w:r>
            <w:rPr>
              <w:rFonts w:hint="eastAsia" w:ascii="Times New Roman" w:hAnsi="Times New Roman" w:eastAsia="仿宋_GB2312"/>
              <w:sz w:val="28"/>
              <w:szCs w:val="21"/>
            </w:rPr>
            <w:fldChar w:fldCharType="begin"/>
          </w:r>
          <w:r>
            <w:rPr>
              <w:rFonts w:hint="eastAsia" w:ascii="Times New Roman" w:hAnsi="Times New Roman" w:eastAsia="仿宋_GB2312"/>
              <w:sz w:val="28"/>
              <w:szCs w:val="21"/>
            </w:rPr>
            <w:instrText xml:space="preserve"> PAGEREF _Toc10561 \h </w:instrText>
          </w:r>
          <w:r>
            <w:rPr>
              <w:rFonts w:hint="eastAsia" w:ascii="Times New Roman" w:hAnsi="Times New Roman" w:eastAsia="仿宋_GB2312"/>
              <w:sz w:val="28"/>
              <w:szCs w:val="21"/>
            </w:rPr>
            <w:fldChar w:fldCharType="separate"/>
          </w:r>
          <w:r>
            <w:rPr>
              <w:rFonts w:ascii="Times New Roman" w:hAnsi="Times New Roman" w:eastAsia="仿宋_GB2312"/>
              <w:sz w:val="28"/>
              <w:szCs w:val="21"/>
            </w:rPr>
            <w:t>121</w:t>
          </w:r>
          <w:r>
            <w:rPr>
              <w:rFonts w:hint="eastAsia" w:ascii="Times New Roman" w:hAnsi="Times New Roman" w:eastAsia="仿宋_GB2312"/>
              <w:sz w:val="28"/>
              <w:szCs w:val="21"/>
            </w:rPr>
            <w:fldChar w:fldCharType="end"/>
          </w:r>
          <w:r>
            <w:rPr>
              <w:rFonts w:hint="eastAsia" w:ascii="Times New Roman" w:hAnsi="Times New Roman" w:eastAsia="仿宋_GB2312"/>
              <w:sz w:val="28"/>
              <w:szCs w:val="21"/>
            </w:rPr>
            <w:fldChar w:fldCharType="end"/>
          </w:r>
        </w:p>
        <w:p>
          <w:pPr>
            <w:pStyle w:val="21"/>
            <w:spacing w:before="435" w:beforeLines="100" w:after="435" w:afterLines="100" w:line="460" w:lineRule="exact"/>
            <w:rPr>
              <w:sz w:val="36"/>
              <w:szCs w:val="24"/>
            </w:rPr>
          </w:pPr>
          <w:r>
            <w:rPr>
              <w:szCs w:val="24"/>
              <w:lang w:val="zh-CN"/>
            </w:rPr>
            <w:fldChar w:fldCharType="end"/>
          </w:r>
        </w:p>
      </w:sdtContent>
    </w:sdt>
    <w:p>
      <w:pPr>
        <w:widowControl/>
        <w:adjustRightInd/>
        <w:snapToGrid/>
        <w:spacing w:line="240" w:lineRule="auto"/>
        <w:ind w:firstLine="0" w:firstLineChars="0"/>
        <w:jc w:val="left"/>
      </w:pPr>
    </w:p>
    <w:p>
      <w:pPr>
        <w:widowControl/>
        <w:adjustRightInd/>
        <w:snapToGrid/>
        <w:spacing w:line="240" w:lineRule="auto"/>
        <w:ind w:firstLine="0" w:firstLineChars="0"/>
        <w:jc w:val="left"/>
        <w:sectPr>
          <w:headerReference r:id="rId13" w:type="first"/>
          <w:footerReference r:id="rId15" w:type="first"/>
          <w:headerReference r:id="rId12" w:type="default"/>
          <w:footerReference r:id="rId14" w:type="default"/>
          <w:pgSz w:w="11906" w:h="16838"/>
          <w:pgMar w:top="1531" w:right="1588" w:bottom="1418" w:left="1701" w:header="680" w:footer="907" w:gutter="0"/>
          <w:pgNumType w:fmt="upperRoman" w:start="1"/>
          <w:cols w:space="425" w:num="1"/>
          <w:titlePg/>
          <w:docGrid w:type="lines" w:linePitch="435" w:charSpace="0"/>
        </w:sectPr>
      </w:pPr>
      <w:r>
        <w:br w:type="page"/>
      </w:r>
    </w:p>
    <w:p>
      <w:pPr>
        <w:pStyle w:val="2"/>
        <w:spacing w:before="217" w:after="217"/>
        <w:ind w:firstLine="708" w:firstLineChars="196"/>
      </w:pPr>
      <w:bookmarkStart w:id="9" w:name="_Toc3288"/>
      <w:bookmarkStart w:id="10" w:name="_Toc72231416"/>
      <w:bookmarkStart w:id="11" w:name="_Toc71548839"/>
      <w:r>
        <w:rPr>
          <w:rFonts w:hint="eastAsia"/>
        </w:rPr>
        <w:t>开启全面推进农业农村现代化井研新征程</w:t>
      </w:r>
      <w:bookmarkEnd w:id="9"/>
    </w:p>
    <w:p>
      <w:pPr>
        <w:ind w:firstLine="640"/>
      </w:pPr>
      <w:r>
        <w:rPr>
          <w:rFonts w:hint="eastAsia"/>
        </w:rPr>
        <w:t>站在“三农”工作新的历史方位，开启全面推进农业农村现代化井研新征程，坚持用大历史观来看待农业、农村、农民问题，在把握新发展阶段中保持井研定力，在融入新发展格局中展现井研担当，在践行新发展理念中推进井研跨越，在促进高质量发展中展示井研力量，坚持农业农村优先发展、农业农村一体规划，全面推进乡村振兴，加快井研农业农村现代化，促进农业高质高效、乡村宜居宜业、农民富裕富足。</w:t>
      </w:r>
    </w:p>
    <w:bookmarkEnd w:id="10"/>
    <w:bookmarkEnd w:id="11"/>
    <w:p>
      <w:pPr>
        <w:pStyle w:val="3"/>
      </w:pPr>
      <w:bookmarkStart w:id="12" w:name="_Toc17627"/>
      <w:r>
        <w:rPr>
          <w:rFonts w:hint="eastAsia"/>
        </w:rPr>
        <w:t>发展基础</w:t>
      </w:r>
      <w:bookmarkEnd w:id="12"/>
    </w:p>
    <w:p>
      <w:pPr>
        <w:ind w:firstLine="640"/>
      </w:pPr>
      <w:r>
        <w:rPr>
          <w:rFonts w:hint="eastAsia" w:ascii="仿宋_GB2312" w:hAnsi="仿宋"/>
        </w:rPr>
        <w:t>“</w:t>
      </w:r>
      <w:r>
        <w:rPr>
          <w:rFonts w:hint="eastAsia"/>
        </w:rPr>
        <w:t>十三五</w:t>
      </w:r>
      <w:r>
        <w:rPr>
          <w:rFonts w:hint="eastAsia" w:ascii="仿宋_GB2312" w:hAnsi="仿宋"/>
        </w:rPr>
        <w:t>”</w:t>
      </w:r>
      <w:r>
        <w:rPr>
          <w:rFonts w:hint="eastAsia"/>
        </w:rPr>
        <w:t>时期，全县以习近平新时代中国特色社会主义思想为指导，全面贯彻习近平总书记对四川工作系列重要指示精神，坚持“农业兴县、工业强县”发展主线，紧扣乡村振兴，决战脱贫攻坚，全力推动以柑橘、粮油、畜牧、水产为主导的</w:t>
      </w:r>
      <w:r>
        <w:rPr>
          <w:rFonts w:hint="eastAsia" w:ascii="仿宋_GB2312" w:hAnsi="仿宋"/>
        </w:rPr>
        <w:t>“</w:t>
      </w:r>
      <w:r>
        <w:rPr>
          <w:rFonts w:hint="eastAsia"/>
        </w:rPr>
        <w:t>4+3</w:t>
      </w:r>
      <w:r>
        <w:rPr>
          <w:rFonts w:hint="eastAsia" w:ascii="仿宋_GB2312" w:hAnsi="仿宋"/>
        </w:rPr>
        <w:t>”</w:t>
      </w:r>
      <w:r>
        <w:rPr>
          <w:rStyle w:val="42"/>
          <w:rFonts w:ascii="仿宋_GB2312" w:hAnsi="仿宋"/>
        </w:rPr>
        <w:footnoteReference w:id="0"/>
      </w:r>
      <w:r>
        <w:rPr>
          <w:rFonts w:hint="eastAsia"/>
        </w:rPr>
        <w:t>现代农业产业体系建设，不断促进全县农业绿色循环优质高效发展。按照</w:t>
      </w:r>
      <w:r>
        <w:rPr>
          <w:rFonts w:hint="eastAsia" w:ascii="仿宋_GB2312" w:hAnsi="仿宋"/>
        </w:rPr>
        <w:t>“</w:t>
      </w:r>
      <w:r>
        <w:rPr>
          <w:rFonts w:hint="eastAsia"/>
        </w:rPr>
        <w:t>稳粮增收、提质增效、创新驱动</w:t>
      </w:r>
      <w:r>
        <w:rPr>
          <w:rFonts w:hint="eastAsia" w:ascii="仿宋_GB2312" w:hAnsi="仿宋"/>
        </w:rPr>
        <w:t>”</w:t>
      </w:r>
      <w:r>
        <w:rPr>
          <w:rFonts w:hint="eastAsia"/>
        </w:rPr>
        <w:t>的总要求，大力促进农业规模化、标准化、品牌化发展，深入推进供给侧结构性改革，农业农村发展取得突出成效，走出了一条</w:t>
      </w:r>
      <w:r>
        <w:rPr>
          <w:rFonts w:hint="eastAsia" w:ascii="仿宋_GB2312" w:hAnsi="仿宋"/>
        </w:rPr>
        <w:t>“</w:t>
      </w:r>
      <w:r>
        <w:rPr>
          <w:rFonts w:hint="eastAsia"/>
        </w:rPr>
        <w:t>农业发展、农村和谐、农民增收</w:t>
      </w:r>
      <w:r>
        <w:rPr>
          <w:rFonts w:hint="eastAsia" w:ascii="仿宋_GB2312" w:hAnsi="仿宋"/>
        </w:rPr>
        <w:t>”</w:t>
      </w:r>
      <w:r>
        <w:rPr>
          <w:rFonts w:hint="eastAsia"/>
        </w:rPr>
        <w:t>的现代农业农村新路，为推进农业农村现代化奠定了良好的基础。先后获评全国产粮大县、全国柑橘产业30强、全国生猪调出大县、全国绿色种养循环农业试点项目县、全国村庄清洁行动先进县、全国晚熟柑橘集群县、四川省乡村振兴先进县、全省农村改革综合试验区、全省农业社会化服务典型地区、全省农产品主产</w:t>
      </w:r>
      <w:r>
        <w:rPr>
          <w:rFonts w:hint="eastAsia"/>
          <w:lang w:eastAsia="zh-CN"/>
        </w:rPr>
        <w:t>区（县）</w:t>
      </w:r>
      <w:r>
        <w:rPr>
          <w:rFonts w:hint="eastAsia"/>
        </w:rPr>
        <w:t>和现代农业示范县。</w:t>
      </w:r>
    </w:p>
    <w:p>
      <w:pPr>
        <w:pStyle w:val="4"/>
        <w:ind w:firstLine="643"/>
      </w:pPr>
      <w:bookmarkStart w:id="13" w:name="_Toc112145601"/>
      <w:bookmarkStart w:id="14" w:name="_Toc28367"/>
      <w:bookmarkStart w:id="15" w:name="_Toc114128681"/>
      <w:bookmarkStart w:id="16" w:name="_Toc111818520"/>
      <w:r>
        <w:rPr>
          <w:rFonts w:hint="eastAsia"/>
        </w:rPr>
        <w:t>农业综合生产能力显著增强</w:t>
      </w:r>
      <w:bookmarkEnd w:id="13"/>
      <w:bookmarkEnd w:id="14"/>
      <w:bookmarkEnd w:id="15"/>
      <w:bookmarkEnd w:id="16"/>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农业基础设施不断完善，截至“十三五”末，全县累计建成高标准农田31.51万亩，农田水利设施持续完善。农业科技支撑能力不断提升，主要农作物耕种收综合机械化率达56.92%，主要农作物良种覆盖率达97%，畜禽良种覆盖率达9</w:t>
      </w:r>
      <w:r>
        <w:rPr>
          <w:rFonts w:hint="eastAsia"/>
        </w:rPr>
        <w:t>3%</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020</w:t>
      </w:r>
      <w:r>
        <w:rPr>
          <w:rFonts w:hint="eastAsia"/>
          <w:color w:val="000000" w:themeColor="text1"/>
          <w14:textFill>
            <w14:solidFill>
              <w14:schemeClr w14:val="tx1"/>
            </w14:solidFill>
          </w14:textFill>
        </w:rPr>
        <w:t>年全县第一产业增加值</w:t>
      </w:r>
      <w:r>
        <w:rPr>
          <w:rFonts w:hint="eastAsia"/>
        </w:rPr>
        <w:t>367077万元，较上年增长6.6%</w:t>
      </w:r>
      <w:r>
        <w:rPr>
          <w:rFonts w:hint="eastAsia"/>
          <w:color w:val="000000" w:themeColor="text1"/>
          <w14:textFill>
            <w14:solidFill>
              <w14:schemeClr w14:val="tx1"/>
            </w14:solidFill>
          </w14:textFill>
        </w:rPr>
        <w:t>，对经济增长的贡献率为38.1%，拉动经济增长1.4个百分点。</w:t>
      </w:r>
    </w:p>
    <w:p>
      <w:pPr>
        <w:pStyle w:val="60"/>
        <w:spacing w:before="217"/>
      </w:pPr>
      <w:r>
        <w:rPr>
          <w:rFonts w:hint="eastAsia"/>
        </w:rPr>
        <w:t>“十三五”时期第一产业增加值及增速</w:t>
      </w:r>
    </w:p>
    <w:p>
      <w:pPr>
        <w:pStyle w:val="62"/>
      </w:pPr>
      <w:r>
        <w:drawing>
          <wp:inline distT="0" distB="0" distL="0" distR="0">
            <wp:extent cx="5349875" cy="2683510"/>
            <wp:effectExtent l="0" t="0" r="317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380089" cy="2698919"/>
                    </a:xfrm>
                    <a:prstGeom prst="rect">
                      <a:avLst/>
                    </a:prstGeom>
                    <a:noFill/>
                  </pic:spPr>
                </pic:pic>
              </a:graphicData>
            </a:graphic>
          </wp:inline>
        </w:drawing>
      </w:r>
    </w:p>
    <w:p>
      <w:pPr>
        <w:pStyle w:val="4"/>
        <w:ind w:firstLine="643"/>
      </w:pPr>
      <w:bookmarkStart w:id="17" w:name="_Toc112145602"/>
      <w:bookmarkStart w:id="18" w:name="_Toc114128682"/>
      <w:bookmarkStart w:id="19" w:name="_Toc111818521"/>
      <w:bookmarkStart w:id="20" w:name="_Toc25390"/>
      <w:r>
        <w:rPr>
          <w:rFonts w:hint="eastAsia"/>
        </w:rPr>
        <w:t>现代农业产业持续稳定发展</w:t>
      </w:r>
      <w:bookmarkEnd w:id="17"/>
      <w:bookmarkEnd w:id="18"/>
      <w:bookmarkEnd w:id="19"/>
      <w:bookmarkEnd w:id="20"/>
    </w:p>
    <w:p>
      <w:pPr>
        <w:ind w:firstLine="640"/>
      </w:pPr>
      <w:r>
        <w:rPr>
          <w:rFonts w:hint="eastAsia"/>
        </w:rPr>
        <w:t>现代农业“4+3”产业体系初步构建。2020年，全县粮食播种面积65.7万亩，产量24.3万吨，粮食产量连续5年稳定增长，全面完成粮食生产功能区和重要农产品保护区划定，粮食安全保障能力稳步提升。全县规模化生猪养殖场1000余家，其中年出栏500头以上规模化生猪养殖场216家，年出栏5000头以上大型生猪养殖场37家，2020年创建标准化生猪养殖场（小区）7个。出栏生猪55万头，位于全市第1，出栏牛、羊、肉兔177.42万只，小家禽542.87万只。柑橘种植面积23.01万亩，产量26.51万吨，产值15.35亿元，获评全国柑橘30强县、全国晚熟柑橘优势特色产业集群县。水产标准化养殖水平进一步提升。2020年全县水产养殖面积11.5万亩，其中水库养殖面积2.7万亩，池塘精养面积4.2万亩，稻鱼综合种养4.6万亩，水产品产量4.2万吨，产值10.5亿元，位居全省前列。现代农业园区发展稳步推进，培育建设省三星级园区1个、市级园区1个、县级园区20个，构建了省、市、县三级联动、梯次发展的现代农业园区新格局。</w:t>
      </w:r>
    </w:p>
    <w:p>
      <w:pPr>
        <w:pStyle w:val="60"/>
        <w:spacing w:before="217"/>
      </w:pPr>
      <w:r>
        <w:rPr>
          <w:rFonts w:hint="eastAsia"/>
        </w:rPr>
        <w:t>“十三五”时期粮食产量及增速</w:t>
      </w:r>
    </w:p>
    <w:p>
      <w:pPr>
        <w:pStyle w:val="62"/>
      </w:pPr>
      <w:r>
        <w:drawing>
          <wp:inline distT="0" distB="0" distL="0" distR="0">
            <wp:extent cx="5398770" cy="2410460"/>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399166" cy="2410691"/>
                    </a:xfrm>
                    <a:prstGeom prst="rect">
                      <a:avLst/>
                    </a:prstGeom>
                    <a:noFill/>
                  </pic:spPr>
                </pic:pic>
              </a:graphicData>
            </a:graphic>
          </wp:inline>
        </w:drawing>
      </w:r>
    </w:p>
    <w:p>
      <w:pPr>
        <w:pStyle w:val="4"/>
        <w:ind w:firstLine="643"/>
      </w:pPr>
      <w:bookmarkStart w:id="21" w:name="_Toc14029"/>
      <w:bookmarkStart w:id="22" w:name="_Toc114128683"/>
      <w:bookmarkStart w:id="23" w:name="_Toc111818523"/>
      <w:bookmarkStart w:id="24" w:name="_Toc112145604"/>
      <w:r>
        <w:rPr>
          <w:rFonts w:hint="eastAsia"/>
        </w:rPr>
        <w:t>农业产业化经营体系日渐完善</w:t>
      </w:r>
      <w:bookmarkEnd w:id="21"/>
      <w:bookmarkEnd w:id="22"/>
    </w:p>
    <w:p>
      <w:pPr>
        <w:ind w:firstLine="640"/>
        <w:rPr>
          <w:b/>
        </w:rPr>
      </w:pPr>
      <w:r>
        <w:rPr>
          <w:rFonts w:hint="eastAsia"/>
        </w:rPr>
        <w:t>新型农业经营主体不断壮大。截至2020年，全县累计培育农业产业化龙头企业23家，其中国家级1家，省级5家，市级17家；培育农民专合社392个，其中国家级示范社7个，省级示范社19个；培育家庭农场1908家，其中省级示范场8家，并成功申报“省级家庭农场示范县”。农业社会化服务能力不断增强。发展农业社会化服务主体78家，服务能力30万作业亩。“井字号”农产品品牌持续发展，实施“区域+企业”双品牌战略，培育“三品一标”农产品32个，“井研柑橘”区域公用品牌获得国家农产品地理标志认证。农产品质量安全追溯体系进一步完善，推进611家生产经营主体入驻国家（省级）农产品质量安全追溯管理信息平台。2020年全县省级农产品质量安全例行监测合格率为99.8%，并成功认定为第七批省级农产品安全监管示范县。</w:t>
      </w:r>
    </w:p>
    <w:p>
      <w:pPr>
        <w:pStyle w:val="4"/>
        <w:ind w:firstLine="643"/>
      </w:pPr>
      <w:bookmarkStart w:id="25" w:name="_Toc114128684"/>
      <w:bookmarkStart w:id="26" w:name="_Toc21349"/>
      <w:r>
        <w:rPr>
          <w:rFonts w:hint="eastAsia"/>
        </w:rPr>
        <w:t>农民富裕富足取得明显成效</w:t>
      </w:r>
      <w:bookmarkEnd w:id="23"/>
      <w:bookmarkEnd w:id="24"/>
      <w:bookmarkEnd w:id="25"/>
      <w:bookmarkEnd w:id="26"/>
    </w:p>
    <w:p>
      <w:pPr>
        <w:ind w:firstLine="640"/>
      </w:pPr>
      <w:r>
        <w:rPr>
          <w:rFonts w:hint="eastAsia"/>
        </w:rPr>
        <w:t>脱贫攻坚取得全面胜利，“十三五”期间，全县上下齐心决战决胜脱贫攻坚，全县1</w:t>
      </w:r>
      <w:r>
        <w:t>0</w:t>
      </w:r>
      <w:r>
        <w:rPr>
          <w:rFonts w:hint="eastAsia"/>
        </w:rPr>
        <w:t>个省定贫困村、4</w:t>
      </w:r>
      <w:r>
        <w:t>3</w:t>
      </w:r>
      <w:r>
        <w:rPr>
          <w:rFonts w:hint="eastAsia"/>
        </w:rPr>
        <w:t>个市列贫困村全部摘帽，7</w:t>
      </w:r>
      <w:r>
        <w:t>300</w:t>
      </w:r>
      <w:r>
        <w:rPr>
          <w:rFonts w:hint="eastAsia"/>
        </w:rPr>
        <w:t>户、2</w:t>
      </w:r>
      <w:r>
        <w:t>0201</w:t>
      </w:r>
      <w:r>
        <w:rPr>
          <w:rFonts w:hint="eastAsia"/>
        </w:rPr>
        <w:t>名贫困人口全部脱贫退出。2</w:t>
      </w:r>
      <w:r>
        <w:t>020</w:t>
      </w:r>
      <w:r>
        <w:rPr>
          <w:rFonts w:hint="eastAsia"/>
        </w:rPr>
        <w:t>年，通过深入开展脱贫攻坚问题“清零”行动，“五定”</w:t>
      </w:r>
      <w:r>
        <w:rPr>
          <w:rStyle w:val="42"/>
        </w:rPr>
        <w:footnoteReference w:id="1"/>
      </w:r>
      <w:r>
        <w:rPr>
          <w:rFonts w:hint="eastAsia"/>
        </w:rPr>
        <w:t>工作法，实行“一体式”集中整改、台账式管理，采取“清单制+责任制+限时制”方式，实现相关问题1</w:t>
      </w:r>
      <w:r>
        <w:t>00</w:t>
      </w:r>
      <w:r>
        <w:rPr>
          <w:rFonts w:hint="eastAsia"/>
        </w:rPr>
        <w:t>%“清零”，全县建档立卡贫困户的脱贫成效和脱贫质量得到巩固提升。严格落实农民增收工作县委书记和县长负责制，着力构建农民持续性增收长效机制。认真落实强农惠农政策，做好“三农”保障、服务、组织工作，开展农民工工资支付情况排查整顿工作。2</w:t>
      </w:r>
      <w:r>
        <w:t>020</w:t>
      </w:r>
      <w:r>
        <w:rPr>
          <w:rFonts w:hint="eastAsia"/>
        </w:rPr>
        <w:t>年全县农村居民人均可支配收入1</w:t>
      </w:r>
      <w:r>
        <w:t>7563</w:t>
      </w:r>
      <w:r>
        <w:rPr>
          <w:rFonts w:hint="eastAsia"/>
        </w:rPr>
        <w:t>元，比</w:t>
      </w:r>
      <w:r>
        <w:t>2015</w:t>
      </w:r>
      <w:r>
        <w:rPr>
          <w:rFonts w:hint="eastAsia"/>
        </w:rPr>
        <w:t>年增长</w:t>
      </w:r>
      <w:r>
        <w:t>6297</w:t>
      </w:r>
      <w:r>
        <w:rPr>
          <w:rFonts w:hint="eastAsia"/>
        </w:rPr>
        <w:t>元，“十三五”时期年均增长</w:t>
      </w:r>
      <w:r>
        <w:t>11.18%</w:t>
      </w:r>
      <w:r>
        <w:rPr>
          <w:rFonts w:hint="eastAsia"/>
        </w:rPr>
        <w:t>。</w:t>
      </w:r>
    </w:p>
    <w:p>
      <w:pPr>
        <w:pStyle w:val="60"/>
        <w:spacing w:before="217"/>
      </w:pPr>
      <w:r>
        <w:rPr>
          <w:rFonts w:hint="eastAsia"/>
        </w:rPr>
        <w:t>“十三五”时期农村居民人均可支配收入及增速</w:t>
      </w:r>
    </w:p>
    <w:p>
      <w:pPr>
        <w:pStyle w:val="62"/>
      </w:pPr>
      <w:r>
        <w:drawing>
          <wp:inline distT="0" distB="0" distL="0" distR="0">
            <wp:extent cx="5353685" cy="269557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353848" cy="2695699"/>
                    </a:xfrm>
                    <a:prstGeom prst="rect">
                      <a:avLst/>
                    </a:prstGeom>
                    <a:noFill/>
                  </pic:spPr>
                </pic:pic>
              </a:graphicData>
            </a:graphic>
          </wp:inline>
        </w:drawing>
      </w:r>
    </w:p>
    <w:p>
      <w:pPr>
        <w:pStyle w:val="4"/>
        <w:ind w:firstLine="643"/>
      </w:pPr>
      <w:bookmarkStart w:id="27" w:name="_Toc112145605"/>
      <w:bookmarkStart w:id="28" w:name="_Toc111818524"/>
      <w:bookmarkStart w:id="29" w:name="_Toc114128685"/>
      <w:bookmarkStart w:id="30" w:name="_Toc31283"/>
      <w:r>
        <w:rPr>
          <w:rFonts w:hint="eastAsia"/>
        </w:rPr>
        <w:t>农村面貌不断改善</w:t>
      </w:r>
      <w:bookmarkEnd w:id="27"/>
      <w:bookmarkEnd w:id="28"/>
      <w:bookmarkEnd w:id="29"/>
      <w:bookmarkEnd w:id="30"/>
    </w:p>
    <w:p>
      <w:pPr>
        <w:ind w:firstLine="640"/>
      </w:pPr>
      <w:r>
        <w:rPr>
          <w:rFonts w:hint="eastAsia"/>
        </w:rPr>
        <w:t>“十三五”时期，成功创建全省“四好农村路”示范县、市级乡村振兴先进县，其中井研县集益镇被评为省级乡村振兴先进镇，井研县纯复镇田家沟村、王村镇集体村、研经镇王家沟村等6个村被评为省级乡村振兴示范村。美丽乡村建设持续推进，建成“美丽四川·宜居乡村”达标村9</w:t>
      </w:r>
      <w:r>
        <w:t>1</w:t>
      </w:r>
      <w:r>
        <w:rPr>
          <w:rFonts w:hint="eastAsia"/>
        </w:rPr>
        <w:t>个、市级以上幸福美丽新村4</w:t>
      </w:r>
      <w:r>
        <w:t>4</w:t>
      </w:r>
      <w:r>
        <w:rPr>
          <w:rFonts w:hint="eastAsia"/>
        </w:rPr>
        <w:t>个。农村人居环境整治三年行动圆满完成，全县新（改）建公共厕所2</w:t>
      </w:r>
      <w:r>
        <w:t>73</w:t>
      </w:r>
      <w:r>
        <w:rPr>
          <w:rFonts w:hint="eastAsia"/>
        </w:rPr>
        <w:t>座，实施“厕污共治”2</w:t>
      </w:r>
      <w:r>
        <w:t>.2</w:t>
      </w:r>
      <w:r>
        <w:rPr>
          <w:rFonts w:hint="eastAsia"/>
        </w:rPr>
        <w:t>万余户，农村户用卫生厕所普及率达到9</w:t>
      </w:r>
      <w:r>
        <w:t>5.8</w:t>
      </w:r>
      <w:r>
        <w:rPr>
          <w:rFonts w:hint="eastAsia"/>
        </w:rPr>
        <w:t>%，建成1</w:t>
      </w:r>
      <w:r>
        <w:t>20</w:t>
      </w:r>
      <w:r>
        <w:rPr>
          <w:rFonts w:hint="eastAsia"/>
        </w:rPr>
        <w:t>个微动力污水处理设施和6座垃圾压缩转运站。生态文明建设成效显著，全国首批“县域大循环、全集中处理”大型沼气工程建成投运，规模养殖场粪污处理设施装备配备率达100%，全县畜禽粪污资源化利用率达</w:t>
      </w:r>
      <w:r>
        <w:t>9</w:t>
      </w:r>
      <w:r>
        <w:rPr>
          <w:rFonts w:hint="eastAsia"/>
        </w:rPr>
        <w:t>0%以上，全县种养循环覆盖面达到50%以上。大力实施农作物秸秆“五化”</w:t>
      </w:r>
      <w:r>
        <w:rPr>
          <w:rStyle w:val="42"/>
        </w:rPr>
        <w:footnoteReference w:id="2"/>
      </w:r>
      <w:r>
        <w:rPr>
          <w:rFonts w:hint="eastAsia"/>
        </w:rPr>
        <w:t>综合利用，秸秆综合利用率达92%。</w:t>
      </w:r>
    </w:p>
    <w:p>
      <w:pPr>
        <w:pStyle w:val="4"/>
        <w:ind w:firstLine="643"/>
      </w:pPr>
      <w:bookmarkStart w:id="31" w:name="_Toc112145606"/>
      <w:bookmarkStart w:id="32" w:name="_Toc1851"/>
      <w:bookmarkStart w:id="33" w:name="_Toc114128686"/>
      <w:bookmarkStart w:id="34" w:name="_Toc111818525"/>
      <w:r>
        <w:rPr>
          <w:rFonts w:hint="eastAsia"/>
        </w:rPr>
        <w:t>农村基层组织建设不断加强</w:t>
      </w:r>
      <w:bookmarkEnd w:id="31"/>
      <w:bookmarkEnd w:id="32"/>
      <w:bookmarkEnd w:id="33"/>
      <w:bookmarkEnd w:id="34"/>
    </w:p>
    <w:p>
      <w:pPr>
        <w:ind w:firstLine="640"/>
      </w:pPr>
      <w:r>
        <w:rPr>
          <w:rFonts w:hint="eastAsia"/>
        </w:rPr>
        <w:t>不断完善和加强村级活动场所建设，将村级活动场所真正建设成为党员活动、村民议事、文化娱乐和学习培训阵地。建立和完善村级事务管理机制，加强农村基层组织帮扶，转变村干部的领导方式，规范完善村级党务、政务、财务制度。加强农村党员发展工作，农村基层党组织凝聚力、战斗力和创造力明显增强。乡村治理和乡风文明水平不断提升，全县行政村实现网格化全覆盖，农村兼职网格员配备率1</w:t>
      </w:r>
      <w:r>
        <w:t>00</w:t>
      </w:r>
      <w:r>
        <w:rPr>
          <w:rFonts w:hint="eastAsia"/>
        </w:rPr>
        <w:t>%，行政村法律顾问配备率、村规民约集中修订率均达1</w:t>
      </w:r>
      <w:r>
        <w:t>00</w:t>
      </w:r>
      <w:r>
        <w:rPr>
          <w:rFonts w:hint="eastAsia"/>
        </w:rPr>
        <w:t>%。通过强化社会管理和风险防范，不断推进基层治理体系和治理能力现代化，“自治、法治、德治”三治融合成为乡村善治的新风尚。获评全国乡村治理示范镇1个、全国乡村治理示范村1个。</w:t>
      </w:r>
    </w:p>
    <w:p>
      <w:pPr>
        <w:pStyle w:val="4"/>
        <w:ind w:firstLine="643"/>
      </w:pPr>
      <w:bookmarkStart w:id="35" w:name="_Toc112145607"/>
      <w:bookmarkStart w:id="36" w:name="_Toc114128687"/>
      <w:bookmarkStart w:id="37" w:name="_Toc111818526"/>
      <w:bookmarkStart w:id="38" w:name="_Toc13880"/>
      <w:r>
        <w:rPr>
          <w:rFonts w:hint="eastAsia"/>
        </w:rPr>
        <w:t>农村综合改革取得新进展</w:t>
      </w:r>
      <w:bookmarkEnd w:id="35"/>
      <w:bookmarkEnd w:id="36"/>
      <w:bookmarkEnd w:id="37"/>
      <w:bookmarkEnd w:id="38"/>
    </w:p>
    <w:p>
      <w:pPr>
        <w:ind w:firstLine="640"/>
      </w:pPr>
      <w:r>
        <w:rPr>
          <w:rFonts w:hint="eastAsia"/>
        </w:rPr>
        <w:t>井研县先后承担了国家农村承包土地的经营权抵押贷款、全国农村集体资产产权制度改革等试点任务，抓住全省农村改革综合试验区、城乡融合发展试点县契机，围绕农业兴县战略，以改革为抓手，激发农业农村活力，厚植发展优势。2020年度获评省农村改革先进县。扎实有序开展农村集体产权制度改革，全面完成全县原</w:t>
      </w:r>
      <w:r>
        <w:t>199</w:t>
      </w:r>
      <w:r>
        <w:rPr>
          <w:rFonts w:hint="eastAsia"/>
        </w:rPr>
        <w:t>个村2659个村民小组的清产核资、集体经济组织成员身份确认、集体经济组织登记赋码和组织登记证书发放工作。深化</w:t>
      </w:r>
      <w:r>
        <w:rPr>
          <w:rFonts w:hint="eastAsia" w:ascii="仿宋_GB2312" w:hAnsi="仿宋"/>
        </w:rPr>
        <w:t>“</w:t>
      </w:r>
      <w:r>
        <w:rPr>
          <w:rFonts w:hint="eastAsia"/>
        </w:rPr>
        <w:t>三权分置</w:t>
      </w:r>
      <w:r>
        <w:rPr>
          <w:rFonts w:hint="eastAsia" w:ascii="仿宋_GB2312" w:hAnsi="仿宋"/>
        </w:rPr>
        <w:t>”</w:t>
      </w:r>
      <w:r>
        <w:rPr>
          <w:rFonts w:hint="eastAsia"/>
        </w:rPr>
        <w:t>实现形式。乡镇行政区划和村级建制调整改革“前半篇”任务全面完成，全县乡镇（街道）从</w:t>
      </w:r>
      <w:r>
        <w:t>2</w:t>
      </w:r>
      <w:r>
        <w:rPr>
          <w:rFonts w:hint="eastAsia"/>
        </w:rPr>
        <w:t>7个减少为1</w:t>
      </w:r>
      <w:r>
        <w:t>5</w:t>
      </w:r>
      <w:r>
        <w:rPr>
          <w:rFonts w:hint="eastAsia"/>
        </w:rPr>
        <w:t>个，减幅44.4%；村从1</w:t>
      </w:r>
      <w:r>
        <w:t>99</w:t>
      </w:r>
      <w:r>
        <w:rPr>
          <w:rFonts w:hint="eastAsia"/>
        </w:rPr>
        <w:t>个减少到9</w:t>
      </w:r>
      <w:r>
        <w:t>6</w:t>
      </w:r>
      <w:r>
        <w:rPr>
          <w:rFonts w:hint="eastAsia"/>
        </w:rPr>
        <w:t>个，减幅5</w:t>
      </w:r>
      <w:r>
        <w:t>1.76</w:t>
      </w:r>
      <w:r>
        <w:rPr>
          <w:rFonts w:hint="eastAsia"/>
        </w:rPr>
        <w:t>%；先后完成了调乡、合村、并组、优化社区改革“四部曲”，各项工作有条不紊推进，基层运转井然有序，实现了县域经济版图的整体性重塑、城乡融合格局的系统性再造、基层治理体系的结构性变革。大力推广土地股份合作、土地承包经营权流转等多种经营方式放活经营权，采取</w:t>
      </w:r>
      <w:r>
        <w:rPr>
          <w:rFonts w:hint="eastAsia" w:ascii="仿宋_GB2312" w:hAnsi="仿宋"/>
        </w:rPr>
        <w:t>“</w:t>
      </w:r>
      <w:r>
        <w:rPr>
          <w:rFonts w:hint="eastAsia"/>
        </w:rPr>
        <w:t>保底收益+按股分红</w:t>
      </w:r>
      <w:r>
        <w:rPr>
          <w:rFonts w:hint="eastAsia" w:ascii="仿宋_GB2312" w:hAnsi="仿宋"/>
        </w:rPr>
        <w:t>”、二次返利</w:t>
      </w:r>
      <w:r>
        <w:rPr>
          <w:rFonts w:hint="eastAsia"/>
        </w:rPr>
        <w:t>等方式，让农民享受改革红利。在巩固农村承包地确权登记成果上，累计完成颁证到户10.15万户和15个镇（街道）的档案整理，被评为</w:t>
      </w:r>
      <w:r>
        <w:rPr>
          <w:rFonts w:hint="eastAsia" w:ascii="仿宋_GB2312" w:hAnsi="仿宋"/>
        </w:rPr>
        <w:t>“</w:t>
      </w:r>
      <w:r>
        <w:rPr>
          <w:rFonts w:hint="eastAsia"/>
        </w:rPr>
        <w:t>全国农村土地确权登记颁证工作典型地区</w:t>
      </w:r>
      <w:r>
        <w:rPr>
          <w:rFonts w:hint="eastAsia" w:ascii="仿宋_GB2312" w:hAnsi="仿宋"/>
        </w:rPr>
        <w:t>”</w:t>
      </w:r>
      <w:r>
        <w:rPr>
          <w:rFonts w:hint="eastAsia"/>
        </w:rPr>
        <w:t>。</w:t>
      </w:r>
    </w:p>
    <w:p>
      <w:pPr>
        <w:pStyle w:val="3"/>
      </w:pPr>
      <w:bookmarkStart w:id="39" w:name="_Toc22451"/>
      <w:r>
        <w:rPr>
          <w:rFonts w:hint="eastAsia"/>
        </w:rPr>
        <w:t>面临机遇</w:t>
      </w:r>
      <w:bookmarkEnd w:id="39"/>
    </w:p>
    <w:p>
      <w:pPr>
        <w:ind w:firstLine="640"/>
      </w:pPr>
      <w:r>
        <w:rPr>
          <w:rFonts w:hint="eastAsia"/>
        </w:rPr>
        <w:t>“十四五”时期是“两个一百年”奋斗目标的历史交汇期，推进农业农村现代化进程的外部环境、阶段特征和比较优势都发生新变化，面临诸多发展机遇。</w:t>
      </w:r>
    </w:p>
    <w:p>
      <w:pPr>
        <w:pStyle w:val="4"/>
        <w:ind w:left="-3" w:firstLine="643"/>
      </w:pPr>
      <w:bookmarkStart w:id="40" w:name="_Toc5593"/>
      <w:bookmarkStart w:id="41" w:name="_Toc114128689"/>
      <w:bookmarkStart w:id="42" w:name="_Toc111818528"/>
      <w:bookmarkStart w:id="43" w:name="_Toc112145609"/>
      <w:r>
        <w:rPr>
          <w:rFonts w:hint="eastAsia"/>
        </w:rPr>
        <w:t>稳住农业农村基本盘带来的重大机遇</w:t>
      </w:r>
      <w:bookmarkEnd w:id="40"/>
      <w:bookmarkEnd w:id="41"/>
      <w:bookmarkEnd w:id="42"/>
      <w:bookmarkEnd w:id="43"/>
    </w:p>
    <w:p>
      <w:pPr>
        <w:ind w:firstLine="640"/>
      </w:pPr>
      <w:r>
        <w:rPr>
          <w:rFonts w:hint="eastAsia"/>
        </w:rPr>
        <w:t>民族要复兴，乡村必振兴。全面建设社会主义现代化井研，最艰巨最核心的任务依然在农村，最广泛最深厚的基础依然在农村。如何有效对接中央、省、市关于“三农”工作的重要部署，如何将现有资源与产业基础有效配置，确保各涉农项目、资金落到实处，充分挖掘乡村潜力后劲、补齐短板弱项、推动全面振兴，迫切需要稳住农业基本盘，守好“三农”基础。</w:t>
      </w:r>
    </w:p>
    <w:p>
      <w:pPr>
        <w:pStyle w:val="4"/>
        <w:ind w:left="-3" w:firstLine="643"/>
      </w:pPr>
      <w:bookmarkStart w:id="44" w:name="_Toc10704"/>
      <w:bookmarkStart w:id="45" w:name="_Toc114128690"/>
      <w:bookmarkStart w:id="46" w:name="_Toc112145610"/>
      <w:bookmarkStart w:id="47" w:name="_Toc111818529"/>
      <w:r>
        <w:rPr>
          <w:rFonts w:hint="eastAsia"/>
        </w:rPr>
        <w:t>国家重大战略交汇带来的良好时机</w:t>
      </w:r>
      <w:bookmarkEnd w:id="44"/>
      <w:bookmarkEnd w:id="45"/>
      <w:bookmarkEnd w:id="46"/>
      <w:bookmarkEnd w:id="47"/>
    </w:p>
    <w:p>
      <w:pPr>
        <w:ind w:firstLine="640"/>
      </w:pPr>
      <w:r>
        <w:rPr>
          <w:rFonts w:hint="eastAsia"/>
        </w:rPr>
        <w:t>随着“一带一路”建设、长江经济带发展、成渝地区双城经济圈建设和新时代西部大开发等国家战略的深入实施，为推进农业农村现代化注入了新动能。井研县作为长江经济带的重要节点城市、乐山东部重要门户、成乐一体化发展上游城市，地理位置优越，旅游资源丰富。以建设巴蜀文化旅游走廊、世界重要旅游目的地为契机，通过集聚资源条件、发挥区位优势、参与区域分工、承接产业转移，丰富乡村业态，促进农村</w:t>
      </w:r>
      <w:r>
        <w:rPr>
          <w:rFonts w:hint="eastAsia"/>
          <w:lang w:eastAsia="zh-CN"/>
        </w:rPr>
        <w:t>一、二、三产业</w:t>
      </w:r>
      <w:r>
        <w:rPr>
          <w:rFonts w:hint="eastAsia"/>
        </w:rPr>
        <w:t>融合发展，有效推动农业全面升级、农村全面进步、农民全面发展。</w:t>
      </w:r>
    </w:p>
    <w:p>
      <w:pPr>
        <w:pStyle w:val="4"/>
        <w:ind w:left="-3" w:firstLine="643"/>
      </w:pPr>
      <w:bookmarkStart w:id="48" w:name="_Toc112145611"/>
      <w:bookmarkStart w:id="49" w:name="_Toc114128691"/>
      <w:bookmarkStart w:id="50" w:name="_Toc8226"/>
      <w:bookmarkStart w:id="51" w:name="_Toc111818530"/>
      <w:r>
        <w:rPr>
          <w:rFonts w:hint="eastAsia"/>
        </w:rPr>
        <w:t>科技创新制度改革带来的历史机遇</w:t>
      </w:r>
      <w:bookmarkEnd w:id="48"/>
      <w:bookmarkEnd w:id="49"/>
      <w:bookmarkEnd w:id="50"/>
      <w:bookmarkEnd w:id="51"/>
    </w:p>
    <w:p>
      <w:pPr>
        <w:ind w:firstLine="640"/>
      </w:pPr>
      <w:r>
        <w:rPr>
          <w:rFonts w:hint="eastAsia"/>
        </w:rPr>
        <w:t>伴随新一轮科技革命和产业革命蓄势待发，推进农业科技自立自强，新技术、新产品、新业态不断涌现，为农业农村转型升级实现跨越式发展注入了强劲动力。通过加快构建以国内大循环为主体、国内国际双循环相互促进的新发展格局，实施创新驱动</w:t>
      </w:r>
      <w:r>
        <w:rPr>
          <w:rFonts w:hint="eastAsia"/>
          <w:lang w:val="en-US" w:eastAsia="zh-CN"/>
        </w:rPr>
        <w:t>发展</w:t>
      </w:r>
      <w:r>
        <w:rPr>
          <w:rFonts w:hint="eastAsia"/>
        </w:rPr>
        <w:t>战略，加快培育完整内需体系；把扩大内需战略同深化供给侧结构性改革、推进实施乡村振兴战略有机结合起来，为“十四五”农业农村现代化发展提供新动能。以现代农业园区为载体，加快建设现代农业产业体系，加速产业集聚，进一步拓展农业农村发展空间。</w:t>
      </w:r>
    </w:p>
    <w:p>
      <w:pPr>
        <w:pStyle w:val="3"/>
      </w:pPr>
      <w:bookmarkStart w:id="52" w:name="_Toc3643"/>
      <w:bookmarkStart w:id="53" w:name="_Toc71548846"/>
      <w:r>
        <w:rPr>
          <w:rFonts w:hint="eastAsia"/>
        </w:rPr>
        <w:t>面临挑战</w:t>
      </w:r>
      <w:bookmarkEnd w:id="52"/>
    </w:p>
    <w:p>
      <w:pPr>
        <w:ind w:firstLine="640"/>
      </w:pPr>
      <w:r>
        <w:rPr>
          <w:rFonts w:hint="eastAsia"/>
        </w:rPr>
        <w:t>“十三五”期间，全县农业农村发展取得了卓越的成绩，既为全县改革、发展、稳定</w:t>
      </w:r>
      <w:r>
        <w:rPr>
          <w:rFonts w:hint="eastAsia"/>
          <w:lang w:eastAsia="zh-CN"/>
        </w:rPr>
        <w:t>作出</w:t>
      </w:r>
      <w:r>
        <w:rPr>
          <w:rFonts w:hint="eastAsia"/>
        </w:rPr>
        <w:t>了积极贡献，也为“十四五”期间农业农村现代化发展奠定了坚实基础。然而，农业农村现代化发展短板依然存在。</w:t>
      </w:r>
    </w:p>
    <w:p>
      <w:pPr>
        <w:pStyle w:val="4"/>
        <w:spacing w:before="0"/>
        <w:ind w:left="-3" w:firstLine="643"/>
        <w:rPr>
          <w:color w:val="FF0000"/>
        </w:rPr>
      </w:pPr>
      <w:bookmarkStart w:id="54" w:name="_Toc22968"/>
      <w:bookmarkStart w:id="55" w:name="_Toc112145613"/>
      <w:bookmarkStart w:id="56" w:name="_Toc114128693"/>
      <w:bookmarkStart w:id="57" w:name="_Toc111818532"/>
      <w:bookmarkStart w:id="58" w:name="_Toc111192720"/>
      <w:bookmarkStart w:id="59" w:name="_Toc111650288"/>
      <w:r>
        <w:rPr>
          <w:rFonts w:hint="eastAsia"/>
        </w:rPr>
        <w:t>乡村基建亟待加强</w:t>
      </w:r>
      <w:bookmarkEnd w:id="54"/>
      <w:bookmarkEnd w:id="55"/>
      <w:bookmarkEnd w:id="56"/>
      <w:bookmarkEnd w:id="57"/>
      <w:bookmarkEnd w:id="58"/>
      <w:bookmarkEnd w:id="59"/>
    </w:p>
    <w:p>
      <w:pPr>
        <w:widowControl/>
        <w:ind w:firstLine="640"/>
        <w:jc w:val="left"/>
        <w:rPr>
          <w:rFonts w:ascii="仿宋_GB2312" w:hAnsi="宋体" w:cs="仿宋_GB2312"/>
          <w:color w:val="000000"/>
          <w:kern w:val="0"/>
          <w:sz w:val="31"/>
          <w:szCs w:val="31"/>
          <w:lang w:bidi="ar"/>
        </w:rPr>
      </w:pPr>
      <w:r>
        <w:rPr>
          <w:rFonts w:hint="eastAsia"/>
        </w:rPr>
        <w:t>全县乡村基本实现“六网”配套，但基础设施还有待提升，尚不能完全满足生产生活需求，也无法满足农旅融合发展的长远需要，干道及生产道路需要进一步完善提升。现有灌排渠道水利设施还不完善，抵御干旱能力较弱；喷滴灌、水肥一体化等高效节水灌溉设施配置尚存在不足。物联网、信息化设施欠缺。农产品产地冷链支撑体系不够，冷链物流仓储等配套设施面不够广，</w:t>
      </w:r>
      <w:r>
        <w:rPr>
          <w:rFonts w:ascii="仿宋_GB2312" w:hAnsi="宋体" w:cs="仿宋_GB2312"/>
          <w:color w:val="000000"/>
          <w:kern w:val="0"/>
          <w:sz w:val="31"/>
          <w:szCs w:val="31"/>
          <w:lang w:bidi="ar"/>
        </w:rPr>
        <w:t>农产品品牌优势不够突出，具有市场竞争力、影</w:t>
      </w:r>
      <w:r>
        <w:rPr>
          <w:rFonts w:hint="eastAsia" w:ascii="仿宋_GB2312" w:hAnsi="宋体" w:cs="仿宋_GB2312"/>
          <w:color w:val="000000"/>
          <w:kern w:val="0"/>
          <w:sz w:val="31"/>
          <w:szCs w:val="31"/>
          <w:lang w:bidi="ar"/>
        </w:rPr>
        <w:t>响力的大品牌较少。农业抗风险能力不够强，耕地质量需持续提升。</w:t>
      </w:r>
    </w:p>
    <w:p>
      <w:pPr>
        <w:pStyle w:val="4"/>
        <w:spacing w:before="0"/>
        <w:ind w:left="-3" w:firstLine="643"/>
      </w:pPr>
      <w:bookmarkStart w:id="60" w:name="_Toc114128694"/>
      <w:bookmarkStart w:id="61" w:name="_Toc23322"/>
      <w:bookmarkStart w:id="62" w:name="_Toc112145614"/>
      <w:bookmarkStart w:id="63" w:name="_Toc111818533"/>
      <w:bookmarkStart w:id="64" w:name="_Toc111192721"/>
      <w:bookmarkStart w:id="65" w:name="_Toc111650289"/>
      <w:r>
        <w:rPr>
          <w:rFonts w:hint="eastAsia"/>
        </w:rPr>
        <w:t>主体带动急需强化</w:t>
      </w:r>
      <w:bookmarkEnd w:id="60"/>
      <w:bookmarkEnd w:id="61"/>
      <w:bookmarkEnd w:id="62"/>
      <w:bookmarkEnd w:id="63"/>
      <w:bookmarkEnd w:id="64"/>
      <w:bookmarkEnd w:id="65"/>
    </w:p>
    <w:p>
      <w:pPr>
        <w:ind w:firstLine="640"/>
      </w:pPr>
      <w:r>
        <w:rPr>
          <w:rFonts w:hint="eastAsia"/>
        </w:rPr>
        <w:t>全县农业产业化龙头企业、农民专业合作社、家庭农场、种植养殖大户等新型经营主体的整体数量不足且规模小，存在野蛮生长、不规范发展的现象，不能有效抵御市场风险。同时，各主体各自为政、无法形成发展合力，既不能有效带动农户，又不能联合产业上下游其他主体组建农业产业化联合体，无法将自身优势尽可能转化、扩大，上下游联动、农户利益联结等方面急需强化。</w:t>
      </w:r>
    </w:p>
    <w:p>
      <w:pPr>
        <w:pStyle w:val="4"/>
        <w:spacing w:before="0"/>
        <w:ind w:left="-3" w:firstLine="643"/>
      </w:pPr>
      <w:bookmarkStart w:id="66" w:name="_Toc111192722"/>
      <w:bookmarkStart w:id="67" w:name="_Toc31703"/>
      <w:bookmarkStart w:id="68" w:name="_Toc111650290"/>
      <w:bookmarkStart w:id="69" w:name="_Toc111818534"/>
      <w:bookmarkStart w:id="70" w:name="_Toc114128695"/>
      <w:bookmarkStart w:id="71" w:name="_Toc112145615"/>
      <w:r>
        <w:rPr>
          <w:rFonts w:hint="eastAsia"/>
        </w:rPr>
        <w:t>从业人员亟待优化</w:t>
      </w:r>
      <w:bookmarkEnd w:id="66"/>
      <w:bookmarkEnd w:id="67"/>
      <w:bookmarkEnd w:id="68"/>
      <w:bookmarkEnd w:id="69"/>
      <w:bookmarkEnd w:id="70"/>
      <w:bookmarkEnd w:id="71"/>
    </w:p>
    <w:p>
      <w:pPr>
        <w:ind w:firstLine="640"/>
      </w:pPr>
      <w:r>
        <w:rPr>
          <w:rFonts w:hint="eastAsia"/>
        </w:rPr>
        <w:t>随着社会经济发展，乡村人口持续外流等情况未根本扭转，大量有文化、懂技术、会经营的中青年纷纷离开乡村走向城市，乡村人口呈现“老人化”“妇女化”“儿童化”现象，乡村实用人才总量不足，结构不合理，技能型、创新型人才较为匮乏。同时，农民发展意愿不足、观念落后等问题同样制约着推进农业农村现代化发展，急需通过高素质农民培育与外来人才引育等途径不断充实农业从业人员队伍。</w:t>
      </w:r>
    </w:p>
    <w:p>
      <w:pPr>
        <w:pStyle w:val="4"/>
        <w:spacing w:before="0"/>
        <w:ind w:left="-3" w:firstLine="643"/>
        <w:rPr>
          <w:color w:val="FF0000"/>
        </w:rPr>
      </w:pPr>
      <w:bookmarkStart w:id="72" w:name="_Toc114128696"/>
      <w:bookmarkStart w:id="73" w:name="_Toc112145616"/>
      <w:bookmarkStart w:id="74" w:name="_Toc31139"/>
      <w:bookmarkStart w:id="75" w:name="_Toc111818535"/>
      <w:bookmarkStart w:id="76" w:name="_Toc111192723"/>
      <w:bookmarkStart w:id="77" w:name="_Toc111650291"/>
      <w:r>
        <w:rPr>
          <w:rFonts w:hint="eastAsia"/>
        </w:rPr>
        <w:t>产业融合有待深化</w:t>
      </w:r>
      <w:bookmarkEnd w:id="72"/>
      <w:bookmarkEnd w:id="73"/>
      <w:bookmarkEnd w:id="74"/>
      <w:bookmarkEnd w:id="75"/>
      <w:bookmarkEnd w:id="76"/>
      <w:bookmarkEnd w:id="77"/>
    </w:p>
    <w:p>
      <w:pPr>
        <w:ind w:firstLine="640"/>
      </w:pPr>
      <w:r>
        <w:rPr>
          <w:rFonts w:hint="eastAsia"/>
        </w:rPr>
        <w:t>全县农村</w:t>
      </w:r>
      <w:r>
        <w:rPr>
          <w:rFonts w:hint="eastAsia"/>
          <w:lang w:eastAsia="zh-CN"/>
        </w:rPr>
        <w:t>一、二、三产业</w:t>
      </w:r>
      <w:r>
        <w:rPr>
          <w:rFonts w:hint="eastAsia"/>
        </w:rPr>
        <w:t>联系不紧密，尚未完全实现农业产业链延伸、产业范围扩展，主要以农产品初加工为主，附加值不高，精深加工预期和动力不足，多数产业仍处于售卖初级产品的阶段，无法满足市场对于高质量农产品的需求。农文旅需深度融合，相关的农旅、文旅资源有待挖掘、开发，且乡村旅游基础设施匮乏，无法承载新兴业态发展。</w:t>
      </w:r>
    </w:p>
    <w:p>
      <w:pPr>
        <w:pStyle w:val="4"/>
        <w:spacing w:before="0"/>
        <w:ind w:left="-3" w:firstLine="643"/>
      </w:pPr>
      <w:bookmarkStart w:id="78" w:name="_Toc111650292"/>
      <w:bookmarkStart w:id="79" w:name="_Toc114128697"/>
      <w:bookmarkStart w:id="80" w:name="_Toc111192724"/>
      <w:bookmarkStart w:id="81" w:name="_Toc13346"/>
      <w:bookmarkStart w:id="82" w:name="_Toc112145617"/>
      <w:bookmarkStart w:id="83" w:name="_Toc111818536"/>
      <w:r>
        <w:rPr>
          <w:rFonts w:hint="eastAsia"/>
        </w:rPr>
        <w:t>集体经济急需壮大</w:t>
      </w:r>
      <w:bookmarkEnd w:id="78"/>
      <w:bookmarkEnd w:id="79"/>
      <w:bookmarkEnd w:id="80"/>
      <w:bookmarkEnd w:id="81"/>
      <w:bookmarkEnd w:id="82"/>
      <w:bookmarkEnd w:id="83"/>
    </w:p>
    <w:p>
      <w:pPr>
        <w:spacing w:line="300" w:lineRule="auto"/>
        <w:ind w:firstLine="640"/>
      </w:pPr>
      <w:r>
        <w:rPr>
          <w:rFonts w:hint="eastAsia"/>
        </w:rPr>
        <w:t>受制于各村集体经济组织现有基础不均、管理队伍能力参差、资产经营管理不善、体制机制不完善等原因，全县多数村集体经济组织无法有效盘活闲置资源，无法调动当地农户积极性，致使村集体经济发展缓慢，甚至难以保证组织正常运转，无法发挥先锋带头作用。</w:t>
      </w:r>
    </w:p>
    <w:p>
      <w:pPr>
        <w:pStyle w:val="3"/>
      </w:pPr>
      <w:bookmarkStart w:id="84" w:name="_Toc11564"/>
      <w:r>
        <w:rPr>
          <w:rFonts w:hint="eastAsia"/>
        </w:rPr>
        <w:t>编制依据</w:t>
      </w:r>
      <w:bookmarkEnd w:id="84"/>
    </w:p>
    <w:p>
      <w:pPr>
        <w:pStyle w:val="4"/>
        <w:ind w:firstLine="643"/>
      </w:pPr>
      <w:bookmarkStart w:id="85" w:name="_Toc15341"/>
      <w:r>
        <w:rPr>
          <w:rFonts w:hint="eastAsia"/>
        </w:rPr>
        <w:t>法律法规</w:t>
      </w:r>
      <w:bookmarkEnd w:id="85"/>
    </w:p>
    <w:p>
      <w:pPr>
        <w:ind w:firstLine="640"/>
      </w:pPr>
      <w:r>
        <w:rPr>
          <w:rFonts w:hint="eastAsia"/>
        </w:rPr>
        <w:t>包括但不限于以下文件（以最新版本为准）：</w:t>
      </w:r>
    </w:p>
    <w:p>
      <w:pPr>
        <w:ind w:firstLine="640"/>
      </w:pPr>
      <w:r>
        <w:rPr>
          <w:rFonts w:hint="eastAsia"/>
        </w:rPr>
        <w:t>（1）《中华人民共和国城乡规划法》</w:t>
      </w:r>
    </w:p>
    <w:p>
      <w:pPr>
        <w:ind w:firstLine="640"/>
      </w:pPr>
      <w:r>
        <w:rPr>
          <w:rFonts w:hint="eastAsia"/>
        </w:rPr>
        <w:t>（2）《中华人民共和国土地管理法》</w:t>
      </w:r>
    </w:p>
    <w:p>
      <w:pPr>
        <w:ind w:firstLine="640"/>
      </w:pPr>
      <w:r>
        <w:rPr>
          <w:rFonts w:hint="eastAsia"/>
        </w:rPr>
        <w:t>（3）《中华人民共和国环境保护法》</w:t>
      </w:r>
    </w:p>
    <w:p>
      <w:pPr>
        <w:ind w:firstLine="640"/>
      </w:pPr>
      <w:r>
        <w:rPr>
          <w:rFonts w:hint="eastAsia"/>
        </w:rPr>
        <w:t>（4）省、市、县有关规划的规定和管理办法等</w:t>
      </w:r>
    </w:p>
    <w:p>
      <w:pPr>
        <w:pStyle w:val="4"/>
        <w:ind w:firstLine="643"/>
      </w:pPr>
      <w:bookmarkStart w:id="86" w:name="_Toc1985"/>
      <w:r>
        <w:rPr>
          <w:rFonts w:hint="eastAsia"/>
        </w:rPr>
        <w:t>政策文件</w:t>
      </w:r>
      <w:bookmarkEnd w:id="86"/>
    </w:p>
    <w:p>
      <w:pPr>
        <w:ind w:firstLine="640"/>
      </w:pPr>
      <w:r>
        <w:rPr>
          <w:rFonts w:hint="eastAsia"/>
        </w:rPr>
        <w:t>包括但不限于以下文件：</w:t>
      </w:r>
    </w:p>
    <w:p>
      <w:pPr>
        <w:ind w:firstLine="640"/>
      </w:pPr>
      <w:r>
        <w:rPr>
          <w:rFonts w:hint="eastAsia"/>
        </w:rPr>
        <w:t>（1）《“十四五”推进农业农村现代化规划》</w:t>
      </w:r>
    </w:p>
    <w:p>
      <w:pPr>
        <w:ind w:firstLine="640"/>
      </w:pPr>
      <w:r>
        <w:rPr>
          <w:rFonts w:hint="eastAsia"/>
        </w:rPr>
        <w:t>（2）《四川省“十四五”推进农业农村现代化规划》</w:t>
      </w:r>
    </w:p>
    <w:p>
      <w:pPr>
        <w:ind w:firstLine="640"/>
      </w:pPr>
      <w:r>
        <w:rPr>
          <w:rFonts w:hint="eastAsia"/>
        </w:rPr>
        <w:t>（3）《成渝现代高效特色农业带建设规划》</w:t>
      </w:r>
    </w:p>
    <w:p>
      <w:pPr>
        <w:ind w:firstLine="640"/>
      </w:pPr>
      <w:r>
        <w:rPr>
          <w:rFonts w:hint="eastAsia"/>
        </w:rPr>
        <w:t>（</w:t>
      </w:r>
      <w:r>
        <w:t>4</w:t>
      </w:r>
      <w:r>
        <w:rPr>
          <w:rFonts w:hint="eastAsia"/>
        </w:rPr>
        <w:t>）《乐山市“十四五”推进农业农村现代化规划》</w:t>
      </w:r>
    </w:p>
    <w:p>
      <w:pPr>
        <w:ind w:firstLine="640"/>
      </w:pPr>
      <w:r>
        <w:rPr>
          <w:rFonts w:hint="eastAsia"/>
        </w:rPr>
        <w:t>（5）《井研县国民经济和社会发展第十四个五年规划和二</w:t>
      </w:r>
      <w:r>
        <w:rPr>
          <w:rFonts w:hint="eastAsia" w:ascii="微软雅黑" w:hAnsi="微软雅黑" w:eastAsia="微软雅黑" w:cs="微软雅黑"/>
        </w:rPr>
        <w:t>〇</w:t>
      </w:r>
      <w:r>
        <w:rPr>
          <w:rFonts w:hint="eastAsia"/>
        </w:rPr>
        <w:t>三五年远景目标纲要》</w:t>
      </w:r>
    </w:p>
    <w:p>
      <w:pPr>
        <w:pStyle w:val="4"/>
        <w:ind w:firstLine="643"/>
      </w:pPr>
      <w:bookmarkStart w:id="87" w:name="_Toc19182"/>
      <w:r>
        <w:rPr>
          <w:rFonts w:hint="eastAsia"/>
        </w:rPr>
        <w:t>统计数据</w:t>
      </w:r>
      <w:bookmarkEnd w:id="87"/>
    </w:p>
    <w:p>
      <w:pPr>
        <w:ind w:firstLine="640"/>
      </w:pPr>
      <w:r>
        <w:rPr>
          <w:rFonts w:hint="eastAsia"/>
        </w:rPr>
        <w:t>主要来自各类文件和地方资料收集，包括但不限于以下资料：</w:t>
      </w:r>
    </w:p>
    <w:p>
      <w:pPr>
        <w:ind w:firstLine="640"/>
      </w:pPr>
      <w:r>
        <w:rPr>
          <w:rFonts w:hint="eastAsia"/>
        </w:rPr>
        <w:t>（1）《井研县国民经济和社会发展第十四个五年规划和二</w:t>
      </w:r>
      <w:r>
        <w:rPr>
          <w:rFonts w:hint="eastAsia" w:ascii="微软雅黑" w:hAnsi="微软雅黑" w:eastAsia="微软雅黑" w:cs="微软雅黑"/>
        </w:rPr>
        <w:t>〇</w:t>
      </w:r>
      <w:r>
        <w:rPr>
          <w:rFonts w:hint="eastAsia"/>
        </w:rPr>
        <w:t>三五年远景目标纲要》</w:t>
      </w:r>
    </w:p>
    <w:p>
      <w:pPr>
        <w:ind w:firstLine="640"/>
      </w:pPr>
      <w:r>
        <w:rPr>
          <w:rFonts w:hint="eastAsia"/>
        </w:rPr>
        <w:t>（2）井研县统计年鉴等各部门提供和核实的资料数据</w:t>
      </w:r>
    </w:p>
    <w:p>
      <w:pPr>
        <w:ind w:firstLine="640"/>
      </w:pPr>
      <w:r>
        <w:rPr>
          <w:rFonts w:hint="eastAsia"/>
        </w:rPr>
        <w:t>（3）相关部门</w:t>
      </w:r>
      <w:r>
        <w:rPr>
          <w:rFonts w:hint="eastAsia"/>
          <w:lang w:eastAsia="zh-CN"/>
        </w:rPr>
        <w:t>“</w:t>
      </w:r>
      <w:r>
        <w:rPr>
          <w:rFonts w:hint="eastAsia"/>
        </w:rPr>
        <w:t>十四五</w:t>
      </w:r>
      <w:r>
        <w:rPr>
          <w:rFonts w:hint="eastAsia"/>
          <w:lang w:eastAsia="zh-CN"/>
        </w:rPr>
        <w:t>”</w:t>
      </w:r>
      <w:r>
        <w:rPr>
          <w:rFonts w:hint="eastAsia"/>
        </w:rPr>
        <w:t>规划</w:t>
      </w:r>
    </w:p>
    <w:p>
      <w:pPr>
        <w:ind w:firstLine="640"/>
      </w:pPr>
      <w:r>
        <w:rPr>
          <w:rFonts w:hint="eastAsia"/>
        </w:rPr>
        <w:t>（4）国土空间规划、土地利用规划、最新三调情况</w:t>
      </w:r>
    </w:p>
    <w:p>
      <w:pPr>
        <w:ind w:firstLine="640"/>
      </w:pPr>
      <w:r>
        <w:rPr>
          <w:rFonts w:hint="eastAsia"/>
        </w:rPr>
        <w:t>（5）文化、旅游、农业、林业、水利、生态等相关政策及规划资料，包括但不限于各类专项规划：交通规划、生态规划、给排水规划、防灾规划、农林牧渔专项规划等</w:t>
      </w:r>
    </w:p>
    <w:bookmarkEnd w:id="53"/>
    <w:p>
      <w:pPr>
        <w:pStyle w:val="3"/>
      </w:pPr>
      <w:bookmarkStart w:id="88" w:name="_Toc8342"/>
      <w:r>
        <w:rPr>
          <w:rFonts w:hint="eastAsia"/>
        </w:rPr>
        <w:t>总体要求</w:t>
      </w:r>
      <w:bookmarkEnd w:id="88"/>
    </w:p>
    <w:p>
      <w:pPr>
        <w:pStyle w:val="4"/>
        <w:ind w:left="-3" w:firstLine="643"/>
      </w:pPr>
      <w:bookmarkStart w:id="89" w:name="_Toc111818538"/>
      <w:bookmarkStart w:id="90" w:name="_Toc98702498"/>
      <w:bookmarkStart w:id="91" w:name="_Toc112145619"/>
      <w:bookmarkStart w:id="92" w:name="_Toc72231430"/>
      <w:bookmarkStart w:id="93" w:name="_Toc18561"/>
      <w:bookmarkStart w:id="94" w:name="_Toc114128699"/>
      <w:bookmarkStart w:id="95" w:name="_Toc71548852"/>
      <w:bookmarkStart w:id="96" w:name="_Toc111192730"/>
      <w:bookmarkStart w:id="97" w:name="_Toc111650298"/>
      <w:r>
        <w:rPr>
          <w:rFonts w:hint="eastAsia"/>
        </w:rPr>
        <w:t>指导思想</w:t>
      </w:r>
      <w:bookmarkEnd w:id="89"/>
      <w:bookmarkEnd w:id="90"/>
      <w:bookmarkEnd w:id="91"/>
      <w:bookmarkEnd w:id="92"/>
      <w:bookmarkEnd w:id="93"/>
      <w:bookmarkEnd w:id="94"/>
      <w:bookmarkEnd w:id="95"/>
      <w:bookmarkEnd w:id="96"/>
      <w:bookmarkEnd w:id="97"/>
    </w:p>
    <w:p>
      <w:pPr>
        <w:ind w:firstLine="640"/>
      </w:pPr>
      <w:r>
        <w:rPr>
          <w:rFonts w:hint="eastAsia"/>
        </w:rPr>
        <w:t>坚持以习近平新时代中国特色社会主义思想为指导，全面贯彻党的十九大和十九届历次全会精神，深入学习贯彻习近平总书记对四川工作系列重要指示精神，坚持加强党对</w:t>
      </w:r>
      <w:r>
        <w:rPr>
          <w:rFonts w:hint="eastAsia" w:ascii="仿宋_GB2312" w:hAnsi="仿宋"/>
        </w:rPr>
        <w:t>“</w:t>
      </w:r>
      <w:r>
        <w:rPr>
          <w:rFonts w:hint="eastAsia"/>
        </w:rPr>
        <w:t>三农</w:t>
      </w:r>
      <w:r>
        <w:rPr>
          <w:rFonts w:hint="eastAsia" w:ascii="仿宋_GB2312" w:hAnsi="仿宋"/>
        </w:rPr>
        <w:t>”</w:t>
      </w:r>
      <w:r>
        <w:rPr>
          <w:rFonts w:hint="eastAsia"/>
        </w:rPr>
        <w:t>工作的全面领导，立足新发展阶段，贯彻新发展理念，融入新发展格局。认真落实中央和</w:t>
      </w:r>
      <w:r>
        <w:rPr>
          <w:rFonts w:hint="eastAsia"/>
          <w:lang w:eastAsia="zh-CN"/>
        </w:rPr>
        <w:t>省委、省政府</w:t>
      </w:r>
      <w:r>
        <w:rPr>
          <w:rFonts w:hint="eastAsia"/>
        </w:rPr>
        <w:t>、</w:t>
      </w:r>
      <w:r>
        <w:rPr>
          <w:rFonts w:hint="eastAsia"/>
          <w:lang w:eastAsia="zh-CN"/>
        </w:rPr>
        <w:t>市委、市政府</w:t>
      </w:r>
      <w:r>
        <w:rPr>
          <w:rFonts w:hint="eastAsia"/>
        </w:rPr>
        <w:t>决策部署，响应省委、省政府关于“一带、五区、三十集群、千个园区”的“1531”的“天府粮仓”布局及建设宜居宜业和美乡村省级示范村的相关要求，围绕县委提出的“接续奋斗、乘势而上”工作主题，聚焦建设成乐一体化发展先行示范区、乐山融入成渝双城经济圈桥头堡的战略目标，开启全面建设社会主义现代化井研新征程。坚持农业农村优先发展，坚持农业现代化与农村现代化一体设计、一并推进，做好</w:t>
      </w:r>
      <w:r>
        <w:rPr>
          <w:rFonts w:hint="eastAsia"/>
          <w:lang w:eastAsia="zh-CN"/>
        </w:rPr>
        <w:t>巩固拓展脱贫攻坚成果</w:t>
      </w:r>
      <w:r>
        <w:rPr>
          <w:rFonts w:hint="eastAsia"/>
          <w:lang w:val="en-US" w:eastAsia="zh-CN"/>
        </w:rPr>
        <w:t>同</w:t>
      </w:r>
      <w:r>
        <w:rPr>
          <w:rFonts w:hint="eastAsia"/>
        </w:rPr>
        <w:t>乡村振兴有效衔接，深入推进农业供给侧结构性改革，保障粮食安全及重要农产品供给。以园区建设为抓手加快构建井研现代农业</w:t>
      </w:r>
      <w:r>
        <w:rPr>
          <w:rFonts w:hint="eastAsia" w:ascii="仿宋_GB2312" w:hAnsi="仿宋"/>
        </w:rPr>
        <w:t>“</w:t>
      </w:r>
      <w:r>
        <w:rPr>
          <w:rFonts w:hint="eastAsia"/>
        </w:rPr>
        <w:t>4+</w:t>
      </w:r>
      <w:r>
        <w:t>3</w:t>
      </w:r>
      <w:r>
        <w:rPr>
          <w:rFonts w:hint="eastAsia" w:ascii="仿宋_GB2312" w:hAnsi="仿宋"/>
        </w:rPr>
        <w:t>”</w:t>
      </w:r>
      <w:r>
        <w:rPr>
          <w:rFonts w:hint="eastAsia"/>
        </w:rPr>
        <w:t>产业体系，实施</w:t>
      </w:r>
      <w:r>
        <w:rPr>
          <w:rFonts w:hint="eastAsia" w:ascii="仿宋_GB2312" w:hAnsi="仿宋"/>
        </w:rPr>
        <w:t>“</w:t>
      </w:r>
      <w:r>
        <w:rPr>
          <w:rFonts w:hint="eastAsia"/>
        </w:rPr>
        <w:t>美丽井研·宜居乡村</w:t>
      </w:r>
      <w:r>
        <w:rPr>
          <w:rFonts w:hint="eastAsia" w:ascii="仿宋_GB2312" w:hAnsi="仿宋"/>
        </w:rPr>
        <w:t>”</w:t>
      </w:r>
      <w:r>
        <w:rPr>
          <w:rFonts w:hint="eastAsia"/>
        </w:rPr>
        <w:t>建设行动，促进农民全面发展，深化农业农村改革，推动乡村全面振兴，加快农业农村现代化步伐，实现由农业大县向农业强县跨越，为推动治蜀兴川再上新台阶贡献</w:t>
      </w:r>
      <w:r>
        <w:rPr>
          <w:rFonts w:hint="eastAsia" w:ascii="仿宋_GB2312" w:hAnsi="仿宋"/>
        </w:rPr>
        <w:t>“</w:t>
      </w:r>
      <w:r>
        <w:rPr>
          <w:rFonts w:hint="eastAsia"/>
        </w:rPr>
        <w:t>井研力量</w:t>
      </w:r>
      <w:r>
        <w:rPr>
          <w:rFonts w:hint="eastAsia" w:ascii="仿宋_GB2312" w:hAnsi="仿宋"/>
        </w:rPr>
        <w:t>”</w:t>
      </w:r>
      <w:r>
        <w:rPr>
          <w:rFonts w:hint="eastAsia"/>
        </w:rPr>
        <w:t>，为2</w:t>
      </w:r>
      <w:r>
        <w:t>035</w:t>
      </w:r>
      <w:r>
        <w:rPr>
          <w:rFonts w:hint="eastAsia"/>
        </w:rPr>
        <w:t>年基本实现农业农村现代化奠定良好基础。</w:t>
      </w:r>
    </w:p>
    <w:p>
      <w:pPr>
        <w:pStyle w:val="4"/>
        <w:ind w:left="-3" w:firstLine="643"/>
      </w:pPr>
      <w:bookmarkStart w:id="98" w:name="_Toc111650299"/>
      <w:bookmarkStart w:id="99" w:name="_Toc71548853"/>
      <w:bookmarkStart w:id="100" w:name="_Toc111818539"/>
      <w:bookmarkStart w:id="101" w:name="_Toc98702499"/>
      <w:bookmarkStart w:id="102" w:name="_Toc111192731"/>
      <w:bookmarkStart w:id="103" w:name="_Toc72231431"/>
      <w:bookmarkStart w:id="104" w:name="_Toc114128700"/>
      <w:bookmarkStart w:id="105" w:name="_Toc112145620"/>
      <w:bookmarkStart w:id="106" w:name="_Toc710"/>
      <w:r>
        <w:rPr>
          <w:rFonts w:hint="eastAsia"/>
        </w:rPr>
        <w:t>基本原则</w:t>
      </w:r>
      <w:bookmarkEnd w:id="98"/>
      <w:bookmarkEnd w:id="99"/>
      <w:bookmarkEnd w:id="100"/>
      <w:bookmarkEnd w:id="101"/>
      <w:bookmarkEnd w:id="102"/>
      <w:bookmarkEnd w:id="103"/>
      <w:bookmarkEnd w:id="104"/>
      <w:bookmarkEnd w:id="105"/>
      <w:bookmarkEnd w:id="106"/>
    </w:p>
    <w:p>
      <w:pPr>
        <w:ind w:firstLine="643"/>
      </w:pPr>
      <w:r>
        <w:rPr>
          <w:rFonts w:hint="eastAsia"/>
          <w:b/>
          <w:bCs/>
        </w:rPr>
        <w:t>——坚持党的全面领导。</w:t>
      </w:r>
      <w:r>
        <w:rPr>
          <w:rFonts w:hint="eastAsia"/>
        </w:rPr>
        <w:t>毫不动摇地坚持和加强党对农业农村工作的全面领导，健全党管农村工作领导体制机制，落实</w:t>
      </w:r>
      <w:r>
        <w:rPr>
          <w:rFonts w:hint="eastAsia" w:ascii="仿宋_GB2312" w:hAnsi="仿宋"/>
        </w:rPr>
        <w:t>“</w:t>
      </w:r>
      <w:r>
        <w:rPr>
          <w:rFonts w:hint="eastAsia"/>
        </w:rPr>
        <w:t>十四五</w:t>
      </w:r>
      <w:r>
        <w:rPr>
          <w:rFonts w:hint="eastAsia" w:ascii="仿宋_GB2312" w:hAnsi="仿宋"/>
        </w:rPr>
        <w:t>”</w:t>
      </w:r>
      <w:r>
        <w:rPr>
          <w:rFonts w:hint="eastAsia"/>
        </w:rPr>
        <w:t>农业农村工作领导责任制，确保党在</w:t>
      </w:r>
      <w:r>
        <w:rPr>
          <w:rFonts w:hint="eastAsia" w:ascii="仿宋_GB2312" w:hAnsi="仿宋"/>
        </w:rPr>
        <w:t>“</w:t>
      </w:r>
      <w:r>
        <w:rPr>
          <w:rFonts w:hint="eastAsia"/>
        </w:rPr>
        <w:t>三农</w:t>
      </w:r>
      <w:r>
        <w:rPr>
          <w:rFonts w:hint="eastAsia" w:ascii="仿宋_GB2312" w:hAnsi="仿宋"/>
        </w:rPr>
        <w:t>”</w:t>
      </w:r>
      <w:r>
        <w:rPr>
          <w:rFonts w:hint="eastAsia"/>
        </w:rPr>
        <w:t>工作中始终总揽全局、协调各方，不断提高党领导农业农村的工作水平，把党管农业农村工作的要求落到实处，为农业农村发展提供坚强政治保障。</w:t>
      </w:r>
    </w:p>
    <w:p>
      <w:pPr>
        <w:ind w:firstLine="643"/>
      </w:pPr>
      <w:r>
        <w:rPr>
          <w:rFonts w:hint="eastAsia"/>
          <w:b/>
          <w:bCs/>
        </w:rPr>
        <w:t>——坚持农业农村优先发展。</w:t>
      </w:r>
      <w:r>
        <w:rPr>
          <w:rFonts w:hint="eastAsia"/>
        </w:rPr>
        <w:t>把农业农村工作摆在优先位置，在要素配置上优先满足，在资源条件上优先保障，在公共服务上优先安排，在干部配备上优先考虑，补齐农业农村现代化短板，强化农村公共服务、基础设施和信息流通等建设，加快缩小城乡差距。</w:t>
      </w:r>
    </w:p>
    <w:p>
      <w:pPr>
        <w:ind w:firstLine="643"/>
      </w:pPr>
      <w:r>
        <w:rPr>
          <w:rFonts w:hint="eastAsia"/>
          <w:b/>
          <w:bCs/>
        </w:rPr>
        <w:t>——坚持农民主体地位。</w:t>
      </w:r>
      <w:r>
        <w:rPr>
          <w:rFonts w:hint="eastAsia"/>
        </w:rPr>
        <w:t>充分尊重农民意愿，切实发挥农民群众主体作用，调动农民群众的积极性、主动性、创造性，把维护农民群众根本利益、促进农民共同富裕作为农业农村工作的出发点和落脚点，促进农民持续增收，不断提升农民的获得感、幸福感、安全感。</w:t>
      </w:r>
    </w:p>
    <w:p>
      <w:pPr>
        <w:ind w:firstLine="643"/>
      </w:pPr>
      <w:r>
        <w:rPr>
          <w:rFonts w:hint="eastAsia"/>
          <w:b/>
          <w:bCs/>
        </w:rPr>
        <w:t>——坚持城乡融合发展。</w:t>
      </w:r>
      <w:r>
        <w:rPr>
          <w:rFonts w:hint="eastAsia"/>
        </w:rPr>
        <w:t>坚决破除体制机制弊端，推动城乡要素自由流动、平等交换，推动新型工业化、信息化、城镇化、农业现代化同步发展，促进城乡在要素配置、产业发展、公共服务、生态保护等方面深度融合，加快形成工农互促、城乡互补、全面融合、共同繁荣的新型工农城乡关系。</w:t>
      </w:r>
    </w:p>
    <w:p>
      <w:pPr>
        <w:ind w:firstLine="643"/>
      </w:pPr>
      <w:r>
        <w:rPr>
          <w:rFonts w:hint="eastAsia"/>
          <w:b/>
          <w:bCs/>
        </w:rPr>
        <w:t>——坚持人与自然和谐共生。</w:t>
      </w:r>
      <w:r>
        <w:rPr>
          <w:rFonts w:hint="eastAsia"/>
        </w:rPr>
        <w:t>牢固树立和践行“绿水青山就是金山银山”，把生态环境保护作为井研县农业农村现代化发展的优先选项，落实节约优先、保护优先、自然恢复为主的方针，严守生态保护红线，统筹山水林田湖沙草系统管理，强化绿色发展引领，推动形成绿色发展方式和生活方式。</w:t>
      </w:r>
    </w:p>
    <w:p>
      <w:pPr>
        <w:ind w:firstLine="643"/>
      </w:pPr>
      <w:r>
        <w:rPr>
          <w:rFonts w:hint="eastAsia"/>
          <w:b/>
          <w:bCs/>
        </w:rPr>
        <w:t>——坚持深化改革创新。</w:t>
      </w:r>
      <w:r>
        <w:rPr>
          <w:rFonts w:hint="eastAsia"/>
        </w:rPr>
        <w:t>坚定不移推进农业农村改革，加强农业农村治理体系和治理能力现代化建设，激活主体、激活要素、激活市场，调动各方力量投身农业农村，强化有利于提高资源配置效率、有利于调动</w:t>
      </w:r>
      <w:r>
        <w:rPr>
          <w:rFonts w:hint="eastAsia" w:ascii="仿宋_GB2312" w:hAnsi="仿宋"/>
        </w:rPr>
        <w:t>“</w:t>
      </w:r>
      <w:r>
        <w:rPr>
          <w:rFonts w:hint="eastAsia"/>
        </w:rPr>
        <w:t>三农</w:t>
      </w:r>
      <w:r>
        <w:rPr>
          <w:rFonts w:hint="eastAsia" w:ascii="仿宋_GB2312" w:hAnsi="仿宋"/>
        </w:rPr>
        <w:t>”</w:t>
      </w:r>
      <w:r>
        <w:rPr>
          <w:rFonts w:hint="eastAsia"/>
        </w:rPr>
        <w:t>工作积极性的重大改革开放举措，持续增强发展动力和活力。</w:t>
      </w:r>
    </w:p>
    <w:p>
      <w:pPr>
        <w:pStyle w:val="3"/>
      </w:pPr>
      <w:bookmarkStart w:id="107" w:name="_Toc72231432"/>
      <w:bookmarkStart w:id="108" w:name="_Toc30678"/>
      <w:bookmarkStart w:id="109" w:name="_Toc71548854"/>
      <w:r>
        <w:rPr>
          <w:rFonts w:hint="eastAsia"/>
        </w:rPr>
        <w:t>发展目标</w:t>
      </w:r>
      <w:bookmarkEnd w:id="107"/>
      <w:bookmarkEnd w:id="108"/>
      <w:bookmarkEnd w:id="109"/>
    </w:p>
    <w:p>
      <w:pPr>
        <w:ind w:firstLine="640"/>
      </w:pPr>
      <w:r>
        <w:rPr>
          <w:rFonts w:hint="eastAsia"/>
        </w:rPr>
        <w:t>围绕农业农村现代化总目标，锚定二</w:t>
      </w:r>
      <w:r>
        <w:rPr>
          <w:rFonts w:hint="eastAsia" w:ascii="微软雅黑" w:hAnsi="微软雅黑" w:eastAsia="微软雅黑" w:cs="微软雅黑"/>
        </w:rPr>
        <w:t>〇</w:t>
      </w:r>
      <w:r>
        <w:rPr>
          <w:rFonts w:hint="eastAsia"/>
        </w:rPr>
        <w:t>三五年远景目标，坚持农业农村优先发展，以实施乡村振兴战略为总抓手，以</w:t>
      </w:r>
      <w:r>
        <w:rPr>
          <w:rFonts w:hint="eastAsia"/>
          <w:lang w:eastAsia="zh-CN"/>
        </w:rPr>
        <w:t>一、二、三产业</w:t>
      </w:r>
      <w:r>
        <w:rPr>
          <w:rFonts w:hint="eastAsia"/>
        </w:rPr>
        <w:t>融合发展为路径，以创建国家乡村振兴示范县为目标，着力在农业农村改革、现代农业园区创建、产业集群培育、宜居乡村打造、城乡基层治理等方面集中发力，主动参与成渝现代高效特色农业带建设，擦亮井研农业</w:t>
      </w:r>
      <w:r>
        <w:rPr>
          <w:rFonts w:hint="eastAsia" w:ascii="仿宋_GB2312" w:hAnsi="仿宋"/>
        </w:rPr>
        <w:t>“</w:t>
      </w:r>
      <w:r>
        <w:rPr>
          <w:rFonts w:hint="eastAsia"/>
        </w:rPr>
        <w:t>金字招牌</w:t>
      </w:r>
      <w:r>
        <w:rPr>
          <w:rFonts w:hint="eastAsia" w:ascii="仿宋_GB2312" w:hAnsi="仿宋"/>
        </w:rPr>
        <w:t>”</w:t>
      </w:r>
      <w:r>
        <w:rPr>
          <w:rFonts w:hint="eastAsia"/>
        </w:rPr>
        <w:t>，打造天府粮仓“丘区样板”，推动井研由农业大县向农业强县跨越，</w:t>
      </w:r>
      <w:r>
        <w:rPr>
          <w:rFonts w:hint="eastAsia" w:cs="Times New Roman"/>
          <w:b/>
          <w:bCs/>
          <w:szCs w:val="32"/>
        </w:rPr>
        <w:t>打造天府粮仓丘陵样板区、中国晚熟柑橘全链示范区、丘区农机研发应用先行区和成渝全过程农事服务引领区，全力建设成为具有全国影响力国家级农业现代化示范区。</w:t>
      </w:r>
      <w:r>
        <w:rPr>
          <w:rFonts w:hint="eastAsia"/>
        </w:rPr>
        <w:t>到2</w:t>
      </w:r>
      <w:r>
        <w:t>025</w:t>
      </w:r>
      <w:r>
        <w:rPr>
          <w:rFonts w:hint="eastAsia"/>
        </w:rPr>
        <w:t>年，农业农村现代化取得重大成果，农村基本具备现代生活条件。到</w:t>
      </w:r>
      <w:r>
        <w:t>2035</w:t>
      </w:r>
      <w:r>
        <w:rPr>
          <w:rFonts w:hint="eastAsia"/>
        </w:rPr>
        <w:t>年，乡村振兴取得决定性进展，农业农村现代化基本实现。</w:t>
      </w:r>
    </w:p>
    <w:p>
      <w:pPr>
        <w:ind w:firstLine="643"/>
      </w:pPr>
      <w:r>
        <w:rPr>
          <w:rFonts w:hint="eastAsia"/>
          <w:b/>
          <w:bCs/>
        </w:rPr>
        <w:t>——重要农产品保供更加有力。</w:t>
      </w:r>
      <w:r>
        <w:rPr>
          <w:rFonts w:hint="eastAsia"/>
        </w:rPr>
        <w:t>农业基础设施建设迈上新台阶，粮食、生猪等重要农产品供给保障更加有力，粮食播种面积稳定在67万亩以上、产量稳定在2</w:t>
      </w:r>
      <w:r>
        <w:t>5</w:t>
      </w:r>
      <w:r>
        <w:rPr>
          <w:rFonts w:hint="eastAsia"/>
        </w:rPr>
        <w:t>万吨以上，生猪年出栏稳定在6</w:t>
      </w:r>
      <w:r>
        <w:t>0.8</w:t>
      </w:r>
      <w:r>
        <w:rPr>
          <w:rFonts w:hint="eastAsia"/>
        </w:rPr>
        <w:t>万头以上。大豆、玉米和油料生产加快发展，其他重要农产品保持合理自给水平。</w:t>
      </w:r>
    </w:p>
    <w:p>
      <w:pPr>
        <w:ind w:firstLine="643"/>
      </w:pPr>
      <w:r>
        <w:rPr>
          <w:rFonts w:hint="eastAsia"/>
          <w:b/>
          <w:bCs/>
        </w:rPr>
        <w:t>——现代农业产业高质高效。</w:t>
      </w:r>
      <w:r>
        <w:rPr>
          <w:rFonts w:hint="eastAsia"/>
        </w:rPr>
        <w:t>坚持以现代农业园区建设为抓手，继续打造柑橘、水产两大优势产业，柑橘园区着眼“换档提质”，水产园区着手“技改转型”，构建特色现代农业体系。稳定加快补齐现代农业体系支撑性短板，显著提升现代农业种业、现代农业装备、现代农业烘干冷链物流支撑保障水平，做强农产品精深加工和农村商贸物流产业，形成农村</w:t>
      </w:r>
      <w:r>
        <w:rPr>
          <w:rFonts w:hint="eastAsia"/>
          <w:lang w:eastAsia="zh-CN"/>
        </w:rPr>
        <w:t>一、二、三产业</w:t>
      </w:r>
      <w:r>
        <w:rPr>
          <w:rFonts w:hint="eastAsia"/>
        </w:rPr>
        <w:t>融合发展新态势。</w:t>
      </w:r>
    </w:p>
    <w:p>
      <w:pPr>
        <w:ind w:firstLine="643"/>
      </w:pPr>
      <w:r>
        <w:rPr>
          <w:rFonts w:hint="eastAsia"/>
          <w:b/>
          <w:bCs/>
        </w:rPr>
        <w:t>——乡村建设行动取得明显成效。</w:t>
      </w:r>
      <w:r>
        <w:rPr>
          <w:rFonts w:hint="eastAsia"/>
        </w:rPr>
        <w:t>实施“美丽井研·宜居乡村”建设行动，促进农村公共基础设施建设均衡发展，城乡基本公共服务均等化水平明显提高。农村人居环境整体提升，农村生态环境明显改善，化肥农药减量增效成效明显，农村生产生活方式绿色转型取得积极成效。乡村治理能力显著提升，农村发展安全保障更加有力。</w:t>
      </w:r>
    </w:p>
    <w:p>
      <w:pPr>
        <w:ind w:firstLine="643"/>
      </w:pPr>
      <w:r>
        <w:rPr>
          <w:rFonts w:hint="eastAsia"/>
          <w:b/>
          <w:bCs/>
        </w:rPr>
        <w:t>——农民全面发展取得重要进展。</w:t>
      </w:r>
      <w:r>
        <w:rPr>
          <w:rFonts w:hint="eastAsia"/>
        </w:rPr>
        <w:t>农民增收渠道持续拓展，农民收入持续增加，全县农村居民人均可支配收入年均增长9%以上，不低于全省平均水平，城乡居民收入差距持续缩小，农民幸福指数显著提升。农民科技文化素质和就业技能进一步提高，高素质农民队伍不断壮大。</w:t>
      </w:r>
    </w:p>
    <w:p>
      <w:pPr>
        <w:ind w:firstLine="643"/>
      </w:pPr>
      <w:r>
        <w:rPr>
          <w:rFonts w:hint="eastAsia"/>
          <w:b/>
          <w:bCs/>
        </w:rPr>
        <w:t>——乡村基层治理得到明显改善。</w:t>
      </w:r>
      <w:r>
        <w:rPr>
          <w:rFonts w:hint="eastAsia"/>
        </w:rPr>
        <w:t>不断健全现代乡村治理体系，以基层党组织建设为核心，以“3+</w:t>
      </w:r>
      <w:r>
        <w:t>1</w:t>
      </w:r>
      <w:r>
        <w:rPr>
          <w:rFonts w:hint="eastAsia"/>
        </w:rPr>
        <w:t>”</w:t>
      </w:r>
      <w:r>
        <w:rPr>
          <w:rStyle w:val="42"/>
        </w:rPr>
        <w:footnoteReference w:id="3"/>
      </w:r>
      <w:r>
        <w:rPr>
          <w:rFonts w:hint="eastAsia"/>
        </w:rPr>
        <w:t>体系为依托做实基层治理。健全基层党组织服务体系，强化村级党组织领导核心地位，加强村级党组织班子建设，促进自治、德治、法治并行，完善相关体制机制建设，保持基层治理活力。</w:t>
      </w:r>
    </w:p>
    <w:p>
      <w:pPr>
        <w:ind w:firstLine="643"/>
      </w:pPr>
      <w:r>
        <w:rPr>
          <w:rFonts w:hint="eastAsia"/>
          <w:b/>
          <w:bCs/>
        </w:rPr>
        <w:t>——脱贫攻坚成果得到持续巩固。</w:t>
      </w:r>
      <w:r>
        <w:rPr>
          <w:rFonts w:hint="eastAsia"/>
        </w:rPr>
        <w:t>脱贫攻坚政策体系和工作机制同乡村振兴有效衔接，脱贫人口“两不愁三保障”</w:t>
      </w:r>
      <w:r>
        <w:rPr>
          <w:rStyle w:val="42"/>
        </w:rPr>
        <w:footnoteReference w:id="4"/>
      </w:r>
      <w:r>
        <w:rPr>
          <w:rFonts w:hint="eastAsia"/>
        </w:rPr>
        <w:t>成果有效巩固。农村低收入人口常态化帮扶机制逐步健全，守住不发生规模性返贫底线，经济活力和发展后劲明显增强。</w:t>
      </w:r>
    </w:p>
    <w:p>
      <w:pPr>
        <w:ind w:firstLine="640"/>
      </w:pPr>
      <w:r>
        <w:rPr>
          <w:rFonts w:hint="eastAsia"/>
        </w:rPr>
        <w:t>2</w:t>
      </w:r>
      <w:r>
        <w:t>035</w:t>
      </w:r>
      <w:r>
        <w:rPr>
          <w:rFonts w:hint="eastAsia"/>
        </w:rPr>
        <w:t>年远景目标：乡村振兴取得决定性进展，农业农村现代化基本实现。农业结构得到根本性改善，农业综合生产能力大幅跃升，粮食等重要农产品供给保障更加有力，具有井研特色的现代农业产业体系建立完善。现代农业种业、现代农业装备、现代农业烘干冷链物流体系支撑有力，农业科技创新能力进一步增强，农业全产业链现代化水平明显提升。农村人居环境得到根本改善，绿色生产生活方式深入普及，乡村治理体制机制更加完善，乡风文明建设达到新高度，宜居宜业乡村基本建成。城乡融合发展体制机制更加健全，农村居民人均可支配收入迈上新台阶，城</w:t>
      </w:r>
      <w:r>
        <w:rPr>
          <w:rFonts w:hint="eastAsia" w:ascii="仿宋_GB2312" w:cs="仿宋_GB2312" w:hAnsiTheme="minorHAnsi"/>
          <w:kern w:val="0"/>
          <w:szCs w:val="32"/>
        </w:rPr>
        <w:t>乡区域发展差距和居民生活水平差距显著缩小，城乡基本公共服务实现均等化，推动农民全面发展与共同富裕取得实质性进展。</w:t>
      </w:r>
    </w:p>
    <w:p>
      <w:pPr>
        <w:pStyle w:val="60"/>
        <w:spacing w:before="217"/>
      </w:pPr>
      <w:r>
        <w:rPr>
          <w:rFonts w:hint="eastAsia"/>
        </w:rPr>
        <w:t>井研县</w:t>
      </w:r>
      <w:r>
        <w:rPr>
          <w:rFonts w:hint="eastAsia" w:ascii="仿宋_GB2312" w:eastAsia="仿宋_GB2312"/>
        </w:rPr>
        <w:t>“</w:t>
      </w:r>
      <w:r>
        <w:rPr>
          <w:rFonts w:hint="eastAsia"/>
        </w:rPr>
        <w:t>十四五</w:t>
      </w:r>
      <w:r>
        <w:rPr>
          <w:rFonts w:hint="eastAsia" w:ascii="仿宋_GB2312" w:eastAsia="仿宋_GB2312"/>
        </w:rPr>
        <w:t>”推进</w:t>
      </w:r>
      <w:r>
        <w:rPr>
          <w:rFonts w:hint="eastAsia"/>
        </w:rPr>
        <w:t>农业农村现代化规划指标</w:t>
      </w:r>
    </w:p>
    <w:tbl>
      <w:tblPr>
        <w:tblStyle w:val="33"/>
        <w:tblW w:w="5118" w:type="pct"/>
        <w:tblInd w:w="0" w:type="dxa"/>
        <w:tblLayout w:type="autofit"/>
        <w:tblCellMar>
          <w:top w:w="0" w:type="dxa"/>
          <w:left w:w="0" w:type="dxa"/>
          <w:bottom w:w="0" w:type="dxa"/>
          <w:right w:w="0" w:type="dxa"/>
        </w:tblCellMar>
      </w:tblPr>
      <w:tblGrid>
        <w:gridCol w:w="718"/>
        <w:gridCol w:w="637"/>
        <w:gridCol w:w="3238"/>
        <w:gridCol w:w="1029"/>
        <w:gridCol w:w="1029"/>
        <w:gridCol w:w="1026"/>
        <w:gridCol w:w="1213"/>
      </w:tblGrid>
      <w:tr>
        <w:tblPrEx>
          <w:tblCellMar>
            <w:top w:w="0" w:type="dxa"/>
            <w:left w:w="0" w:type="dxa"/>
            <w:bottom w:w="0" w:type="dxa"/>
            <w:right w:w="0" w:type="dxa"/>
          </w:tblCellMar>
        </w:tblPrEx>
        <w:trPr>
          <w:trHeight w:val="688" w:hRule="atLeast"/>
        </w:trPr>
        <w:tc>
          <w:tcPr>
            <w:tcW w:w="404" w:type="pct"/>
            <w:tcBorders>
              <w:top w:val="single" w:color="000000" w:sz="8" w:space="0"/>
              <w:left w:val="single" w:color="000000" w:sz="8" w:space="0"/>
              <w:bottom w:val="single" w:color="000000" w:sz="8" w:space="0"/>
              <w:right w:val="single" w:color="000000" w:sz="8" w:space="0"/>
            </w:tcBorders>
            <w:shd w:val="clear" w:color="auto" w:fill="F1F1F1" w:themeFill="background1" w:themeFillShade="F2"/>
            <w:tcMar>
              <w:top w:w="22" w:type="dxa"/>
              <w:left w:w="34" w:type="dxa"/>
              <w:bottom w:w="22" w:type="dxa"/>
              <w:right w:w="34" w:type="dxa"/>
            </w:tcMar>
            <w:vAlign w:val="center"/>
          </w:tcPr>
          <w:p>
            <w:pPr>
              <w:pStyle w:val="57"/>
              <w:rPr>
                <w:b/>
                <w:bCs/>
              </w:rPr>
            </w:pPr>
            <w:r>
              <w:rPr>
                <w:rFonts w:hint="eastAsia"/>
                <w:b/>
                <w:bCs/>
              </w:rPr>
              <w:t>类别</w:t>
            </w:r>
          </w:p>
        </w:tc>
        <w:tc>
          <w:tcPr>
            <w:tcW w:w="2179" w:type="pct"/>
            <w:gridSpan w:val="2"/>
            <w:tcBorders>
              <w:top w:val="single" w:color="000000" w:sz="8" w:space="0"/>
              <w:left w:val="single" w:color="000000" w:sz="8" w:space="0"/>
              <w:bottom w:val="single" w:color="000000" w:sz="8" w:space="0"/>
              <w:right w:val="single" w:color="000000" w:sz="8" w:space="0"/>
            </w:tcBorders>
            <w:shd w:val="clear" w:color="auto" w:fill="F1F1F1" w:themeFill="background1" w:themeFillShade="F2"/>
            <w:vAlign w:val="center"/>
          </w:tcPr>
          <w:p>
            <w:pPr>
              <w:pStyle w:val="57"/>
              <w:rPr>
                <w:b/>
                <w:bCs/>
              </w:rPr>
            </w:pPr>
            <w:r>
              <w:rPr>
                <w:rFonts w:hint="eastAsia"/>
                <w:b/>
                <w:bCs/>
              </w:rPr>
              <w:t>指标</w:t>
            </w:r>
          </w:p>
        </w:tc>
        <w:tc>
          <w:tcPr>
            <w:tcW w:w="579" w:type="pct"/>
            <w:tcBorders>
              <w:top w:val="single" w:color="000000" w:sz="8" w:space="0"/>
              <w:left w:val="single" w:color="000000" w:sz="8" w:space="0"/>
              <w:bottom w:val="single" w:color="000000" w:sz="8" w:space="0"/>
              <w:right w:val="single" w:color="000000" w:sz="8" w:space="0"/>
            </w:tcBorders>
            <w:shd w:val="clear" w:color="auto" w:fill="F1F1F1" w:themeFill="background1" w:themeFillShade="F2"/>
            <w:tcMar>
              <w:top w:w="22" w:type="dxa"/>
              <w:left w:w="34" w:type="dxa"/>
              <w:bottom w:w="22" w:type="dxa"/>
              <w:right w:w="34" w:type="dxa"/>
            </w:tcMar>
            <w:vAlign w:val="center"/>
          </w:tcPr>
          <w:p>
            <w:pPr>
              <w:pStyle w:val="57"/>
              <w:rPr>
                <w:b/>
                <w:bCs/>
              </w:rPr>
            </w:pPr>
            <w:r>
              <w:rPr>
                <w:rFonts w:hint="eastAsia"/>
                <w:b/>
                <w:bCs/>
              </w:rPr>
              <w:t>单位</w:t>
            </w:r>
          </w:p>
        </w:tc>
        <w:tc>
          <w:tcPr>
            <w:tcW w:w="579" w:type="pct"/>
            <w:tcBorders>
              <w:top w:val="single" w:color="000000" w:sz="8" w:space="0"/>
              <w:left w:val="single" w:color="000000" w:sz="8" w:space="0"/>
              <w:bottom w:val="single" w:color="000000" w:sz="8" w:space="0"/>
              <w:right w:val="single" w:color="000000" w:sz="8" w:space="0"/>
            </w:tcBorders>
            <w:shd w:val="clear" w:color="auto" w:fill="F1F1F1" w:themeFill="background1" w:themeFillShade="F2"/>
            <w:tcMar>
              <w:top w:w="22" w:type="dxa"/>
              <w:left w:w="34" w:type="dxa"/>
              <w:bottom w:w="22" w:type="dxa"/>
              <w:right w:w="34" w:type="dxa"/>
            </w:tcMar>
            <w:vAlign w:val="center"/>
          </w:tcPr>
          <w:p>
            <w:pPr>
              <w:pStyle w:val="57"/>
              <w:rPr>
                <w:b/>
                <w:bCs/>
              </w:rPr>
            </w:pPr>
            <w:r>
              <w:rPr>
                <w:rFonts w:hint="eastAsia"/>
                <w:b/>
                <w:bCs/>
              </w:rPr>
              <w:t>2020年</w:t>
            </w:r>
          </w:p>
          <w:p>
            <w:pPr>
              <w:pStyle w:val="57"/>
              <w:rPr>
                <w:b/>
                <w:bCs/>
              </w:rPr>
            </w:pPr>
            <w:r>
              <w:rPr>
                <w:rFonts w:hint="eastAsia"/>
                <w:b/>
                <w:bCs/>
              </w:rPr>
              <w:t>基期值</w:t>
            </w:r>
          </w:p>
        </w:tc>
        <w:tc>
          <w:tcPr>
            <w:tcW w:w="577" w:type="pct"/>
            <w:tcBorders>
              <w:top w:val="single" w:color="000000" w:sz="8" w:space="0"/>
              <w:left w:val="single" w:color="000000" w:sz="8" w:space="0"/>
              <w:bottom w:val="single" w:color="000000" w:sz="8" w:space="0"/>
              <w:right w:val="single" w:color="000000" w:sz="8" w:space="0"/>
            </w:tcBorders>
            <w:shd w:val="clear" w:color="auto" w:fill="F1F1F1" w:themeFill="background1" w:themeFillShade="F2"/>
            <w:tcMar>
              <w:top w:w="22" w:type="dxa"/>
              <w:left w:w="34" w:type="dxa"/>
              <w:bottom w:w="22" w:type="dxa"/>
              <w:right w:w="34" w:type="dxa"/>
            </w:tcMar>
            <w:vAlign w:val="center"/>
          </w:tcPr>
          <w:p>
            <w:pPr>
              <w:pStyle w:val="57"/>
              <w:rPr>
                <w:b/>
                <w:bCs/>
              </w:rPr>
            </w:pPr>
            <w:r>
              <w:rPr>
                <w:rFonts w:hint="eastAsia"/>
                <w:b/>
                <w:bCs/>
              </w:rPr>
              <w:t>2025年</w:t>
            </w:r>
          </w:p>
          <w:p>
            <w:pPr>
              <w:pStyle w:val="57"/>
              <w:rPr>
                <w:b/>
                <w:bCs/>
              </w:rPr>
            </w:pPr>
            <w:r>
              <w:rPr>
                <w:rFonts w:hint="eastAsia"/>
                <w:b/>
                <w:bCs/>
              </w:rPr>
              <w:t>目标值</w:t>
            </w:r>
          </w:p>
        </w:tc>
        <w:tc>
          <w:tcPr>
            <w:tcW w:w="682" w:type="pct"/>
            <w:tcBorders>
              <w:top w:val="single" w:color="000000" w:sz="8" w:space="0"/>
              <w:left w:val="single" w:color="000000" w:sz="8" w:space="0"/>
              <w:bottom w:val="single" w:color="000000" w:sz="8" w:space="0"/>
              <w:right w:val="single" w:color="000000" w:sz="8" w:space="0"/>
            </w:tcBorders>
            <w:shd w:val="clear" w:color="auto" w:fill="F1F1F1" w:themeFill="background1" w:themeFillShade="F2"/>
            <w:tcMar>
              <w:top w:w="22" w:type="dxa"/>
              <w:left w:w="34" w:type="dxa"/>
              <w:bottom w:w="22" w:type="dxa"/>
              <w:right w:w="34" w:type="dxa"/>
            </w:tcMar>
            <w:vAlign w:val="center"/>
          </w:tcPr>
          <w:p>
            <w:pPr>
              <w:pStyle w:val="57"/>
              <w:rPr>
                <w:b/>
                <w:bCs/>
              </w:rPr>
            </w:pPr>
            <w:r>
              <w:rPr>
                <w:rFonts w:hint="eastAsia"/>
                <w:b/>
                <w:bCs/>
              </w:rPr>
              <w:t>指标属性</w:t>
            </w:r>
          </w:p>
        </w:tc>
      </w:tr>
      <w:tr>
        <w:tblPrEx>
          <w:tblCellMar>
            <w:top w:w="0" w:type="dxa"/>
            <w:left w:w="0" w:type="dxa"/>
            <w:bottom w:w="0" w:type="dxa"/>
            <w:right w:w="0" w:type="dxa"/>
          </w:tblCellMar>
        </w:tblPrEx>
        <w:trPr>
          <w:trHeight w:val="354" w:hRule="atLeast"/>
        </w:trPr>
        <w:tc>
          <w:tcPr>
            <w:tcW w:w="404" w:type="pct"/>
            <w:vMerge w:val="restar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rPr>
                <w:b/>
                <w:bCs/>
              </w:rPr>
            </w:pPr>
            <w:r>
              <w:rPr>
                <w:rFonts w:hint="eastAsia"/>
                <w:b/>
                <w:bCs/>
              </w:rPr>
              <w:t>农业高质高效</w:t>
            </w:r>
          </w:p>
        </w:tc>
        <w:tc>
          <w:tcPr>
            <w:tcW w:w="358" w:type="pct"/>
            <w:tcBorders>
              <w:top w:val="single" w:color="000000" w:sz="8" w:space="0"/>
              <w:left w:val="single" w:color="000000" w:sz="8" w:space="0"/>
              <w:bottom w:val="single" w:color="000000" w:sz="8" w:space="0"/>
              <w:right w:val="single" w:color="000000" w:sz="8" w:space="0"/>
            </w:tcBorders>
            <w:vAlign w:val="center"/>
          </w:tcPr>
          <w:p>
            <w:pPr>
              <w:pStyle w:val="57"/>
            </w:pPr>
            <w:r>
              <w:rPr>
                <w:rFonts w:hint="eastAsia"/>
              </w:rPr>
              <w:t>1</w:t>
            </w:r>
          </w:p>
        </w:tc>
        <w:tc>
          <w:tcPr>
            <w:tcW w:w="1821"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粮食综合生产能力</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万吨</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t>24.</w:t>
            </w:r>
            <w:r>
              <w:rPr>
                <w:rFonts w:hint="eastAsia"/>
              </w:rPr>
              <w:t>34</w:t>
            </w:r>
          </w:p>
        </w:tc>
        <w:tc>
          <w:tcPr>
            <w:tcW w:w="577"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w:t>
            </w:r>
            <w:r>
              <w:t>25</w:t>
            </w:r>
          </w:p>
        </w:tc>
        <w:tc>
          <w:tcPr>
            <w:tcW w:w="682"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约束性</w:t>
            </w:r>
          </w:p>
        </w:tc>
      </w:tr>
      <w:tr>
        <w:tblPrEx>
          <w:tblCellMar>
            <w:top w:w="0" w:type="dxa"/>
            <w:left w:w="0" w:type="dxa"/>
            <w:bottom w:w="0" w:type="dxa"/>
            <w:right w:w="0" w:type="dxa"/>
          </w:tblCellMar>
        </w:tblPrEx>
        <w:trPr>
          <w:trHeight w:val="354" w:hRule="atLeast"/>
        </w:trPr>
        <w:tc>
          <w:tcPr>
            <w:tcW w:w="404" w:type="pct"/>
            <w:vMerge w:val="continue"/>
            <w:tcBorders>
              <w:top w:val="single" w:color="000000" w:sz="8" w:space="0"/>
              <w:left w:val="single" w:color="000000" w:sz="8" w:space="0"/>
              <w:bottom w:val="single" w:color="000000" w:sz="8" w:space="0"/>
              <w:right w:val="single" w:color="000000" w:sz="8" w:space="0"/>
            </w:tcBorders>
            <w:vAlign w:val="center"/>
          </w:tcPr>
          <w:p>
            <w:pPr>
              <w:pStyle w:val="57"/>
              <w:rPr>
                <w:b/>
                <w:bCs/>
              </w:rPr>
            </w:pPr>
          </w:p>
        </w:tc>
        <w:tc>
          <w:tcPr>
            <w:tcW w:w="358" w:type="pct"/>
            <w:tcBorders>
              <w:top w:val="single" w:color="000000" w:sz="8" w:space="0"/>
              <w:left w:val="single" w:color="000000" w:sz="8" w:space="0"/>
              <w:bottom w:val="single" w:color="000000" w:sz="8" w:space="0"/>
              <w:right w:val="single" w:color="000000" w:sz="8" w:space="0"/>
            </w:tcBorders>
            <w:vAlign w:val="center"/>
          </w:tcPr>
          <w:p>
            <w:pPr>
              <w:pStyle w:val="57"/>
            </w:pPr>
            <w:r>
              <w:rPr>
                <w:rFonts w:hint="eastAsia"/>
              </w:rPr>
              <w:t>2</w:t>
            </w:r>
          </w:p>
        </w:tc>
        <w:tc>
          <w:tcPr>
            <w:tcW w:w="1821"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粮食播种面积</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万亩</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t>65.</w:t>
            </w:r>
            <w:r>
              <w:rPr>
                <w:rFonts w:hint="eastAsia"/>
              </w:rPr>
              <w:t>4</w:t>
            </w:r>
            <w:r>
              <w:t>7</w:t>
            </w:r>
          </w:p>
        </w:tc>
        <w:tc>
          <w:tcPr>
            <w:tcW w:w="577"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w:t>
            </w:r>
            <w:r>
              <w:t>6</w:t>
            </w:r>
            <w:r>
              <w:rPr>
                <w:rFonts w:hint="eastAsia"/>
              </w:rPr>
              <w:t>7</w:t>
            </w:r>
          </w:p>
        </w:tc>
        <w:tc>
          <w:tcPr>
            <w:tcW w:w="682"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约束性</w:t>
            </w:r>
          </w:p>
        </w:tc>
      </w:tr>
      <w:tr>
        <w:tblPrEx>
          <w:tblCellMar>
            <w:top w:w="0" w:type="dxa"/>
            <w:left w:w="0" w:type="dxa"/>
            <w:bottom w:w="0" w:type="dxa"/>
            <w:right w:w="0" w:type="dxa"/>
          </w:tblCellMar>
        </w:tblPrEx>
        <w:trPr>
          <w:trHeight w:val="354" w:hRule="atLeast"/>
        </w:trPr>
        <w:tc>
          <w:tcPr>
            <w:tcW w:w="404" w:type="pct"/>
            <w:vMerge w:val="continue"/>
            <w:tcBorders>
              <w:top w:val="single" w:color="000000" w:sz="8" w:space="0"/>
              <w:left w:val="single" w:color="000000" w:sz="8" w:space="0"/>
              <w:bottom w:val="single" w:color="000000" w:sz="8" w:space="0"/>
              <w:right w:val="single" w:color="000000" w:sz="8" w:space="0"/>
            </w:tcBorders>
            <w:vAlign w:val="center"/>
          </w:tcPr>
          <w:p>
            <w:pPr>
              <w:pStyle w:val="57"/>
              <w:rPr>
                <w:b/>
                <w:bCs/>
              </w:rPr>
            </w:pPr>
          </w:p>
        </w:tc>
        <w:tc>
          <w:tcPr>
            <w:tcW w:w="358" w:type="pct"/>
            <w:tcBorders>
              <w:top w:val="single" w:color="000000" w:sz="8" w:space="0"/>
              <w:left w:val="single" w:color="000000" w:sz="8" w:space="0"/>
              <w:bottom w:val="single" w:color="000000" w:sz="8" w:space="0"/>
              <w:right w:val="single" w:color="000000" w:sz="8" w:space="0"/>
            </w:tcBorders>
            <w:vAlign w:val="center"/>
          </w:tcPr>
          <w:p>
            <w:pPr>
              <w:pStyle w:val="57"/>
            </w:pPr>
            <w:r>
              <w:rPr>
                <w:rFonts w:hint="eastAsia"/>
              </w:rPr>
              <w:t>3</w:t>
            </w:r>
          </w:p>
        </w:tc>
        <w:tc>
          <w:tcPr>
            <w:tcW w:w="1821"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生猪出栏量</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万头</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55</w:t>
            </w:r>
          </w:p>
        </w:tc>
        <w:tc>
          <w:tcPr>
            <w:tcW w:w="577"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t>60.8</w:t>
            </w:r>
          </w:p>
        </w:tc>
        <w:tc>
          <w:tcPr>
            <w:tcW w:w="682"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预期性</w:t>
            </w:r>
          </w:p>
        </w:tc>
      </w:tr>
      <w:tr>
        <w:tblPrEx>
          <w:tblCellMar>
            <w:top w:w="0" w:type="dxa"/>
            <w:left w:w="0" w:type="dxa"/>
            <w:bottom w:w="0" w:type="dxa"/>
            <w:right w:w="0" w:type="dxa"/>
          </w:tblCellMar>
        </w:tblPrEx>
        <w:trPr>
          <w:trHeight w:val="354" w:hRule="atLeast"/>
        </w:trPr>
        <w:tc>
          <w:tcPr>
            <w:tcW w:w="404" w:type="pct"/>
            <w:vMerge w:val="continue"/>
            <w:tcBorders>
              <w:top w:val="single" w:color="000000" w:sz="8" w:space="0"/>
              <w:left w:val="single" w:color="000000" w:sz="8" w:space="0"/>
              <w:bottom w:val="single" w:color="000000" w:sz="8" w:space="0"/>
              <w:right w:val="single" w:color="000000" w:sz="8" w:space="0"/>
            </w:tcBorders>
            <w:vAlign w:val="center"/>
          </w:tcPr>
          <w:p>
            <w:pPr>
              <w:pStyle w:val="57"/>
              <w:rPr>
                <w:b/>
                <w:bCs/>
              </w:rPr>
            </w:pPr>
          </w:p>
        </w:tc>
        <w:tc>
          <w:tcPr>
            <w:tcW w:w="358" w:type="pct"/>
            <w:tcBorders>
              <w:top w:val="single" w:color="000000" w:sz="8" w:space="0"/>
              <w:left w:val="single" w:color="000000" w:sz="8" w:space="0"/>
              <w:bottom w:val="single" w:color="000000" w:sz="8" w:space="0"/>
              <w:right w:val="single" w:color="000000" w:sz="8" w:space="0"/>
            </w:tcBorders>
            <w:vAlign w:val="center"/>
          </w:tcPr>
          <w:p>
            <w:pPr>
              <w:pStyle w:val="57"/>
            </w:pPr>
            <w:r>
              <w:rPr>
                <w:rFonts w:hint="eastAsia"/>
              </w:rPr>
              <w:t>4</w:t>
            </w:r>
          </w:p>
        </w:tc>
        <w:tc>
          <w:tcPr>
            <w:tcW w:w="1821"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柑橘综合生产能力</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万吨</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2</w:t>
            </w:r>
            <w:r>
              <w:t>7</w:t>
            </w:r>
          </w:p>
        </w:tc>
        <w:tc>
          <w:tcPr>
            <w:tcW w:w="577"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t>28</w:t>
            </w:r>
          </w:p>
        </w:tc>
        <w:tc>
          <w:tcPr>
            <w:tcW w:w="682"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预期性</w:t>
            </w:r>
          </w:p>
        </w:tc>
      </w:tr>
      <w:tr>
        <w:tblPrEx>
          <w:tblCellMar>
            <w:top w:w="0" w:type="dxa"/>
            <w:left w:w="0" w:type="dxa"/>
            <w:bottom w:w="0" w:type="dxa"/>
            <w:right w:w="0" w:type="dxa"/>
          </w:tblCellMar>
        </w:tblPrEx>
        <w:trPr>
          <w:trHeight w:val="354" w:hRule="atLeast"/>
        </w:trPr>
        <w:tc>
          <w:tcPr>
            <w:tcW w:w="404" w:type="pct"/>
            <w:vMerge w:val="continue"/>
            <w:tcBorders>
              <w:top w:val="single" w:color="000000" w:sz="8" w:space="0"/>
              <w:left w:val="single" w:color="000000" w:sz="8" w:space="0"/>
              <w:bottom w:val="single" w:color="000000" w:sz="8" w:space="0"/>
              <w:right w:val="single" w:color="000000" w:sz="8" w:space="0"/>
            </w:tcBorders>
            <w:vAlign w:val="center"/>
          </w:tcPr>
          <w:p>
            <w:pPr>
              <w:pStyle w:val="57"/>
              <w:rPr>
                <w:b/>
                <w:bCs/>
              </w:rPr>
            </w:pPr>
          </w:p>
        </w:tc>
        <w:tc>
          <w:tcPr>
            <w:tcW w:w="358" w:type="pct"/>
            <w:tcBorders>
              <w:top w:val="single" w:color="000000" w:sz="8" w:space="0"/>
              <w:left w:val="single" w:color="000000" w:sz="8" w:space="0"/>
              <w:bottom w:val="single" w:color="000000" w:sz="8" w:space="0"/>
              <w:right w:val="single" w:color="000000" w:sz="8" w:space="0"/>
            </w:tcBorders>
            <w:vAlign w:val="center"/>
          </w:tcPr>
          <w:p>
            <w:pPr>
              <w:pStyle w:val="57"/>
            </w:pPr>
            <w:r>
              <w:rPr>
                <w:rFonts w:hint="eastAsia"/>
              </w:rPr>
              <w:t>5</w:t>
            </w:r>
          </w:p>
        </w:tc>
        <w:tc>
          <w:tcPr>
            <w:tcW w:w="1821"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柑橘种植面积</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万亩</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2</w:t>
            </w:r>
            <w:r>
              <w:t>3</w:t>
            </w:r>
          </w:p>
        </w:tc>
        <w:tc>
          <w:tcPr>
            <w:tcW w:w="577"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≤23</w:t>
            </w:r>
          </w:p>
        </w:tc>
        <w:tc>
          <w:tcPr>
            <w:tcW w:w="682"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预期性</w:t>
            </w:r>
          </w:p>
        </w:tc>
      </w:tr>
      <w:tr>
        <w:tblPrEx>
          <w:tblCellMar>
            <w:top w:w="0" w:type="dxa"/>
            <w:left w:w="0" w:type="dxa"/>
            <w:bottom w:w="0" w:type="dxa"/>
            <w:right w:w="0" w:type="dxa"/>
          </w:tblCellMar>
        </w:tblPrEx>
        <w:trPr>
          <w:trHeight w:val="354" w:hRule="atLeast"/>
        </w:trPr>
        <w:tc>
          <w:tcPr>
            <w:tcW w:w="404" w:type="pct"/>
            <w:vMerge w:val="continue"/>
            <w:tcBorders>
              <w:top w:val="single" w:color="000000" w:sz="8" w:space="0"/>
              <w:left w:val="single" w:color="000000" w:sz="8" w:space="0"/>
              <w:bottom w:val="single" w:color="000000" w:sz="8" w:space="0"/>
              <w:right w:val="single" w:color="000000" w:sz="8" w:space="0"/>
            </w:tcBorders>
            <w:vAlign w:val="center"/>
          </w:tcPr>
          <w:p>
            <w:pPr>
              <w:pStyle w:val="57"/>
              <w:rPr>
                <w:b/>
                <w:bCs/>
              </w:rPr>
            </w:pPr>
          </w:p>
        </w:tc>
        <w:tc>
          <w:tcPr>
            <w:tcW w:w="358" w:type="pct"/>
            <w:tcBorders>
              <w:top w:val="single" w:color="000000" w:sz="8" w:space="0"/>
              <w:left w:val="single" w:color="000000" w:sz="8" w:space="0"/>
              <w:bottom w:val="single" w:color="000000" w:sz="8" w:space="0"/>
              <w:right w:val="single" w:color="000000" w:sz="8" w:space="0"/>
            </w:tcBorders>
            <w:vAlign w:val="center"/>
          </w:tcPr>
          <w:p>
            <w:pPr>
              <w:pStyle w:val="57"/>
            </w:pPr>
            <w:r>
              <w:rPr>
                <w:rFonts w:hint="eastAsia"/>
              </w:rPr>
              <w:t>6</w:t>
            </w:r>
          </w:p>
        </w:tc>
        <w:tc>
          <w:tcPr>
            <w:tcW w:w="1821"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水产综合生产能力</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万吨</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4</w:t>
            </w:r>
            <w:r>
              <w:t>.2</w:t>
            </w:r>
          </w:p>
        </w:tc>
        <w:tc>
          <w:tcPr>
            <w:tcW w:w="577"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5</w:t>
            </w:r>
            <w:r>
              <w:t>.5</w:t>
            </w:r>
          </w:p>
        </w:tc>
        <w:tc>
          <w:tcPr>
            <w:tcW w:w="682"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预期性</w:t>
            </w:r>
          </w:p>
        </w:tc>
      </w:tr>
      <w:tr>
        <w:tblPrEx>
          <w:tblCellMar>
            <w:top w:w="0" w:type="dxa"/>
            <w:left w:w="0" w:type="dxa"/>
            <w:bottom w:w="0" w:type="dxa"/>
            <w:right w:w="0" w:type="dxa"/>
          </w:tblCellMar>
        </w:tblPrEx>
        <w:trPr>
          <w:trHeight w:val="354" w:hRule="atLeast"/>
        </w:trPr>
        <w:tc>
          <w:tcPr>
            <w:tcW w:w="404" w:type="pct"/>
            <w:vMerge w:val="continue"/>
            <w:tcBorders>
              <w:top w:val="single" w:color="000000" w:sz="8" w:space="0"/>
              <w:left w:val="single" w:color="000000" w:sz="8" w:space="0"/>
              <w:bottom w:val="single" w:color="000000" w:sz="8" w:space="0"/>
              <w:right w:val="single" w:color="000000" w:sz="8" w:space="0"/>
            </w:tcBorders>
            <w:vAlign w:val="center"/>
          </w:tcPr>
          <w:p>
            <w:pPr>
              <w:pStyle w:val="57"/>
              <w:rPr>
                <w:b/>
                <w:bCs/>
              </w:rPr>
            </w:pPr>
          </w:p>
        </w:tc>
        <w:tc>
          <w:tcPr>
            <w:tcW w:w="358" w:type="pct"/>
            <w:tcBorders>
              <w:top w:val="single" w:color="000000" w:sz="8" w:space="0"/>
              <w:left w:val="single" w:color="000000" w:sz="8" w:space="0"/>
              <w:bottom w:val="single" w:color="000000" w:sz="8" w:space="0"/>
              <w:right w:val="single" w:color="000000" w:sz="8" w:space="0"/>
            </w:tcBorders>
            <w:vAlign w:val="center"/>
          </w:tcPr>
          <w:p>
            <w:pPr>
              <w:pStyle w:val="57"/>
            </w:pPr>
            <w:r>
              <w:rPr>
                <w:rFonts w:hint="eastAsia"/>
              </w:rPr>
              <w:t>7</w:t>
            </w:r>
          </w:p>
        </w:tc>
        <w:tc>
          <w:tcPr>
            <w:tcW w:w="1821"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水产养殖面积</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万亩</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1</w:t>
            </w:r>
            <w:r>
              <w:t>1.5</w:t>
            </w:r>
          </w:p>
        </w:tc>
        <w:tc>
          <w:tcPr>
            <w:tcW w:w="577"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≤1</w:t>
            </w:r>
            <w:r>
              <w:t>1</w:t>
            </w:r>
          </w:p>
        </w:tc>
        <w:tc>
          <w:tcPr>
            <w:tcW w:w="682"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预期性</w:t>
            </w:r>
          </w:p>
        </w:tc>
      </w:tr>
      <w:tr>
        <w:tblPrEx>
          <w:tblCellMar>
            <w:top w:w="0" w:type="dxa"/>
            <w:left w:w="0" w:type="dxa"/>
            <w:bottom w:w="0" w:type="dxa"/>
            <w:right w:w="0" w:type="dxa"/>
          </w:tblCellMar>
        </w:tblPrEx>
        <w:trPr>
          <w:trHeight w:val="354" w:hRule="atLeast"/>
        </w:trPr>
        <w:tc>
          <w:tcPr>
            <w:tcW w:w="404" w:type="pct"/>
            <w:vMerge w:val="continue"/>
            <w:tcBorders>
              <w:top w:val="single" w:color="000000" w:sz="8" w:space="0"/>
              <w:left w:val="single" w:color="000000" w:sz="8" w:space="0"/>
              <w:bottom w:val="single" w:color="000000" w:sz="8" w:space="0"/>
              <w:right w:val="single" w:color="000000" w:sz="8" w:space="0"/>
            </w:tcBorders>
            <w:vAlign w:val="center"/>
          </w:tcPr>
          <w:p>
            <w:pPr>
              <w:pStyle w:val="57"/>
              <w:rPr>
                <w:b/>
                <w:bCs/>
              </w:rPr>
            </w:pPr>
          </w:p>
        </w:tc>
        <w:tc>
          <w:tcPr>
            <w:tcW w:w="358" w:type="pct"/>
            <w:tcBorders>
              <w:top w:val="single" w:color="000000" w:sz="8" w:space="0"/>
              <w:left w:val="single" w:color="000000" w:sz="8" w:space="0"/>
              <w:bottom w:val="single" w:color="000000" w:sz="8" w:space="0"/>
              <w:right w:val="single" w:color="000000" w:sz="8" w:space="0"/>
            </w:tcBorders>
            <w:vAlign w:val="center"/>
          </w:tcPr>
          <w:p>
            <w:pPr>
              <w:pStyle w:val="57"/>
            </w:pPr>
            <w:r>
              <w:rPr>
                <w:rFonts w:hint="eastAsia"/>
              </w:rPr>
              <w:t>8</w:t>
            </w:r>
          </w:p>
        </w:tc>
        <w:tc>
          <w:tcPr>
            <w:tcW w:w="1821"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高标准农田面积</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万亩</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31.51</w:t>
            </w:r>
          </w:p>
        </w:tc>
        <w:tc>
          <w:tcPr>
            <w:tcW w:w="577"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t>45.7</w:t>
            </w:r>
          </w:p>
        </w:tc>
        <w:tc>
          <w:tcPr>
            <w:tcW w:w="682"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预期性</w:t>
            </w:r>
          </w:p>
        </w:tc>
      </w:tr>
      <w:tr>
        <w:tblPrEx>
          <w:tblCellMar>
            <w:top w:w="0" w:type="dxa"/>
            <w:left w:w="0" w:type="dxa"/>
            <w:bottom w:w="0" w:type="dxa"/>
            <w:right w:w="0" w:type="dxa"/>
          </w:tblCellMar>
        </w:tblPrEx>
        <w:trPr>
          <w:trHeight w:val="354" w:hRule="atLeast"/>
        </w:trPr>
        <w:tc>
          <w:tcPr>
            <w:tcW w:w="404" w:type="pct"/>
            <w:vMerge w:val="continue"/>
            <w:tcBorders>
              <w:top w:val="single" w:color="000000" w:sz="8" w:space="0"/>
              <w:left w:val="single" w:color="000000" w:sz="8" w:space="0"/>
              <w:bottom w:val="single" w:color="000000" w:sz="8" w:space="0"/>
              <w:right w:val="single" w:color="000000" w:sz="8" w:space="0"/>
            </w:tcBorders>
            <w:vAlign w:val="center"/>
          </w:tcPr>
          <w:p>
            <w:pPr>
              <w:pStyle w:val="57"/>
              <w:rPr>
                <w:b/>
                <w:bCs/>
              </w:rPr>
            </w:pPr>
          </w:p>
        </w:tc>
        <w:tc>
          <w:tcPr>
            <w:tcW w:w="358" w:type="pct"/>
            <w:tcBorders>
              <w:top w:val="single" w:color="000000" w:sz="8" w:space="0"/>
              <w:left w:val="single" w:color="000000" w:sz="8" w:space="0"/>
              <w:bottom w:val="single" w:color="000000" w:sz="8" w:space="0"/>
              <w:right w:val="single" w:color="000000" w:sz="8" w:space="0"/>
            </w:tcBorders>
            <w:vAlign w:val="center"/>
          </w:tcPr>
          <w:p>
            <w:pPr>
              <w:pStyle w:val="57"/>
            </w:pPr>
            <w:r>
              <w:rPr>
                <w:rFonts w:hint="eastAsia"/>
              </w:rPr>
              <w:t>9</w:t>
            </w:r>
          </w:p>
        </w:tc>
        <w:tc>
          <w:tcPr>
            <w:tcW w:w="1821"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农业科技进步贡献率</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w:t>
            </w:r>
          </w:p>
        </w:tc>
        <w:tc>
          <w:tcPr>
            <w:tcW w:w="577"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t>66</w:t>
            </w:r>
          </w:p>
        </w:tc>
        <w:tc>
          <w:tcPr>
            <w:tcW w:w="682"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预期性</w:t>
            </w:r>
          </w:p>
        </w:tc>
      </w:tr>
      <w:tr>
        <w:tblPrEx>
          <w:tblCellMar>
            <w:top w:w="0" w:type="dxa"/>
            <w:left w:w="0" w:type="dxa"/>
            <w:bottom w:w="0" w:type="dxa"/>
            <w:right w:w="0" w:type="dxa"/>
          </w:tblCellMar>
        </w:tblPrEx>
        <w:trPr>
          <w:trHeight w:val="354" w:hRule="atLeast"/>
        </w:trPr>
        <w:tc>
          <w:tcPr>
            <w:tcW w:w="404" w:type="pct"/>
            <w:vMerge w:val="continue"/>
            <w:tcBorders>
              <w:top w:val="single" w:color="000000" w:sz="8" w:space="0"/>
              <w:left w:val="single" w:color="000000" w:sz="8" w:space="0"/>
              <w:bottom w:val="single" w:color="000000" w:sz="8" w:space="0"/>
              <w:right w:val="single" w:color="000000" w:sz="8" w:space="0"/>
            </w:tcBorders>
            <w:vAlign w:val="center"/>
          </w:tcPr>
          <w:p>
            <w:pPr>
              <w:pStyle w:val="57"/>
              <w:rPr>
                <w:b/>
                <w:bCs/>
              </w:rPr>
            </w:pPr>
          </w:p>
        </w:tc>
        <w:tc>
          <w:tcPr>
            <w:tcW w:w="358" w:type="pct"/>
            <w:tcBorders>
              <w:top w:val="single" w:color="000000" w:sz="8" w:space="0"/>
              <w:left w:val="single" w:color="000000" w:sz="8" w:space="0"/>
              <w:bottom w:val="single" w:color="000000" w:sz="8" w:space="0"/>
              <w:right w:val="single" w:color="000000" w:sz="8" w:space="0"/>
            </w:tcBorders>
            <w:vAlign w:val="center"/>
          </w:tcPr>
          <w:p>
            <w:pPr>
              <w:pStyle w:val="57"/>
            </w:pPr>
            <w:r>
              <w:rPr>
                <w:rFonts w:hint="eastAsia"/>
              </w:rPr>
              <w:t>1</w:t>
            </w:r>
            <w:r>
              <w:t>0</w:t>
            </w:r>
          </w:p>
        </w:tc>
        <w:tc>
          <w:tcPr>
            <w:tcW w:w="1821"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主要农作物耕种收综合机械化率</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t>56.92</w:t>
            </w:r>
          </w:p>
        </w:tc>
        <w:tc>
          <w:tcPr>
            <w:tcW w:w="577"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t>70</w:t>
            </w:r>
          </w:p>
        </w:tc>
        <w:tc>
          <w:tcPr>
            <w:tcW w:w="682"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预期性</w:t>
            </w:r>
          </w:p>
        </w:tc>
      </w:tr>
      <w:tr>
        <w:tblPrEx>
          <w:tblCellMar>
            <w:top w:w="0" w:type="dxa"/>
            <w:left w:w="0" w:type="dxa"/>
            <w:bottom w:w="0" w:type="dxa"/>
            <w:right w:w="0" w:type="dxa"/>
          </w:tblCellMar>
        </w:tblPrEx>
        <w:trPr>
          <w:trHeight w:val="354" w:hRule="atLeast"/>
        </w:trPr>
        <w:tc>
          <w:tcPr>
            <w:tcW w:w="404" w:type="pct"/>
            <w:vMerge w:val="continue"/>
            <w:tcBorders>
              <w:top w:val="single" w:color="000000" w:sz="8" w:space="0"/>
              <w:left w:val="single" w:color="000000" w:sz="8" w:space="0"/>
              <w:bottom w:val="single" w:color="000000" w:sz="8" w:space="0"/>
              <w:right w:val="single" w:color="000000" w:sz="8" w:space="0"/>
            </w:tcBorders>
            <w:vAlign w:val="center"/>
          </w:tcPr>
          <w:p>
            <w:pPr>
              <w:pStyle w:val="57"/>
              <w:rPr>
                <w:b/>
                <w:bCs/>
              </w:rPr>
            </w:pPr>
          </w:p>
        </w:tc>
        <w:tc>
          <w:tcPr>
            <w:tcW w:w="358" w:type="pct"/>
            <w:tcBorders>
              <w:top w:val="single" w:color="000000" w:sz="8" w:space="0"/>
              <w:left w:val="single" w:color="000000" w:sz="8" w:space="0"/>
              <w:bottom w:val="single" w:color="000000" w:sz="8" w:space="0"/>
              <w:right w:val="single" w:color="000000" w:sz="8" w:space="0"/>
            </w:tcBorders>
            <w:vAlign w:val="center"/>
          </w:tcPr>
          <w:p>
            <w:pPr>
              <w:pStyle w:val="57"/>
            </w:pPr>
            <w:r>
              <w:rPr>
                <w:rFonts w:hint="eastAsia"/>
              </w:rPr>
              <w:t>1</w:t>
            </w:r>
            <w:r>
              <w:t>1</w:t>
            </w:r>
          </w:p>
        </w:tc>
        <w:tc>
          <w:tcPr>
            <w:tcW w:w="1821"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农产品质量安全例行监测合格率</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t>99.8</w:t>
            </w:r>
          </w:p>
        </w:tc>
        <w:tc>
          <w:tcPr>
            <w:tcW w:w="577"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w:t>
            </w:r>
            <w:r>
              <w:t>98</w:t>
            </w:r>
          </w:p>
        </w:tc>
        <w:tc>
          <w:tcPr>
            <w:tcW w:w="682"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预期性</w:t>
            </w:r>
          </w:p>
        </w:tc>
      </w:tr>
      <w:tr>
        <w:tblPrEx>
          <w:tblCellMar>
            <w:top w:w="0" w:type="dxa"/>
            <w:left w:w="0" w:type="dxa"/>
            <w:bottom w:w="0" w:type="dxa"/>
            <w:right w:w="0" w:type="dxa"/>
          </w:tblCellMar>
        </w:tblPrEx>
        <w:trPr>
          <w:trHeight w:val="354" w:hRule="atLeast"/>
        </w:trPr>
        <w:tc>
          <w:tcPr>
            <w:tcW w:w="404" w:type="pct"/>
            <w:vMerge w:val="continue"/>
            <w:tcBorders>
              <w:top w:val="single" w:color="000000" w:sz="8" w:space="0"/>
              <w:left w:val="single" w:color="000000" w:sz="8" w:space="0"/>
              <w:bottom w:val="single" w:color="000000" w:sz="8" w:space="0"/>
              <w:right w:val="single" w:color="000000" w:sz="8" w:space="0"/>
            </w:tcBorders>
            <w:vAlign w:val="center"/>
          </w:tcPr>
          <w:p>
            <w:pPr>
              <w:pStyle w:val="57"/>
              <w:rPr>
                <w:b/>
                <w:bCs/>
              </w:rPr>
            </w:pPr>
          </w:p>
        </w:tc>
        <w:tc>
          <w:tcPr>
            <w:tcW w:w="358" w:type="pct"/>
            <w:tcBorders>
              <w:top w:val="single" w:color="000000" w:sz="8" w:space="0"/>
              <w:left w:val="single" w:color="000000" w:sz="8" w:space="0"/>
              <w:bottom w:val="single" w:color="000000" w:sz="8" w:space="0"/>
              <w:right w:val="single" w:color="000000" w:sz="8" w:space="0"/>
            </w:tcBorders>
            <w:vAlign w:val="center"/>
          </w:tcPr>
          <w:p>
            <w:pPr>
              <w:pStyle w:val="57"/>
            </w:pPr>
            <w:r>
              <w:rPr>
                <w:rFonts w:hint="eastAsia"/>
              </w:rPr>
              <w:t>1</w:t>
            </w:r>
            <w:r>
              <w:t>2</w:t>
            </w:r>
          </w:p>
        </w:tc>
        <w:tc>
          <w:tcPr>
            <w:tcW w:w="1821"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农产品加工业与农业总产值比</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w:t>
            </w:r>
          </w:p>
        </w:tc>
        <w:tc>
          <w:tcPr>
            <w:tcW w:w="577"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t>2.2</w:t>
            </w:r>
          </w:p>
        </w:tc>
        <w:tc>
          <w:tcPr>
            <w:tcW w:w="682"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预期性</w:t>
            </w:r>
          </w:p>
        </w:tc>
      </w:tr>
      <w:tr>
        <w:tblPrEx>
          <w:tblCellMar>
            <w:top w:w="0" w:type="dxa"/>
            <w:left w:w="0" w:type="dxa"/>
            <w:bottom w:w="0" w:type="dxa"/>
            <w:right w:w="0" w:type="dxa"/>
          </w:tblCellMar>
        </w:tblPrEx>
        <w:trPr>
          <w:trHeight w:val="354" w:hRule="atLeast"/>
        </w:trPr>
        <w:tc>
          <w:tcPr>
            <w:tcW w:w="404" w:type="pct"/>
            <w:vMerge w:val="restart"/>
            <w:tcBorders>
              <w:top w:val="single" w:color="000000" w:sz="8" w:space="0"/>
              <w:left w:val="single" w:color="000000" w:sz="8" w:space="0"/>
              <w:right w:val="single" w:color="000000" w:sz="8" w:space="0"/>
            </w:tcBorders>
            <w:shd w:val="clear" w:color="auto" w:fill="auto"/>
            <w:tcMar>
              <w:top w:w="22" w:type="dxa"/>
              <w:left w:w="34" w:type="dxa"/>
              <w:bottom w:w="22" w:type="dxa"/>
              <w:right w:w="34" w:type="dxa"/>
            </w:tcMar>
            <w:vAlign w:val="center"/>
          </w:tcPr>
          <w:p>
            <w:pPr>
              <w:pStyle w:val="57"/>
              <w:rPr>
                <w:b/>
                <w:bCs/>
              </w:rPr>
            </w:pPr>
            <w:r>
              <w:rPr>
                <w:rFonts w:hint="eastAsia"/>
                <w:b/>
                <w:bCs/>
              </w:rPr>
              <w:t>乡村宜居宜业</w:t>
            </w:r>
          </w:p>
        </w:tc>
        <w:tc>
          <w:tcPr>
            <w:tcW w:w="358" w:type="pct"/>
            <w:tcBorders>
              <w:top w:val="single" w:color="000000" w:sz="8" w:space="0"/>
              <w:left w:val="single" w:color="000000" w:sz="8" w:space="0"/>
              <w:bottom w:val="single" w:color="000000" w:sz="8" w:space="0"/>
              <w:right w:val="single" w:color="000000" w:sz="8" w:space="0"/>
            </w:tcBorders>
            <w:vAlign w:val="center"/>
          </w:tcPr>
          <w:p>
            <w:pPr>
              <w:pStyle w:val="57"/>
            </w:pPr>
            <w:r>
              <w:rPr>
                <w:rFonts w:hint="eastAsia"/>
              </w:rPr>
              <w:t>1</w:t>
            </w:r>
            <w:r>
              <w:t>3</w:t>
            </w:r>
          </w:p>
        </w:tc>
        <w:tc>
          <w:tcPr>
            <w:tcW w:w="1821"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村内道路硬化占比</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w:t>
            </w:r>
          </w:p>
        </w:tc>
        <w:tc>
          <w:tcPr>
            <w:tcW w:w="577"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t>100</w:t>
            </w:r>
          </w:p>
        </w:tc>
        <w:tc>
          <w:tcPr>
            <w:tcW w:w="682"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预期性</w:t>
            </w:r>
          </w:p>
        </w:tc>
      </w:tr>
      <w:tr>
        <w:tblPrEx>
          <w:tblCellMar>
            <w:top w:w="0" w:type="dxa"/>
            <w:left w:w="0" w:type="dxa"/>
            <w:bottom w:w="0" w:type="dxa"/>
            <w:right w:w="0" w:type="dxa"/>
          </w:tblCellMar>
        </w:tblPrEx>
        <w:trPr>
          <w:trHeight w:val="354" w:hRule="atLeast"/>
        </w:trPr>
        <w:tc>
          <w:tcPr>
            <w:tcW w:w="404" w:type="pct"/>
            <w:vMerge w:val="continue"/>
            <w:tcBorders>
              <w:left w:val="single" w:color="000000" w:sz="8" w:space="0"/>
              <w:right w:val="single" w:color="000000" w:sz="8" w:space="0"/>
            </w:tcBorders>
            <w:vAlign w:val="center"/>
          </w:tcPr>
          <w:p>
            <w:pPr>
              <w:pStyle w:val="57"/>
              <w:rPr>
                <w:b/>
                <w:bCs/>
              </w:rPr>
            </w:pPr>
          </w:p>
        </w:tc>
        <w:tc>
          <w:tcPr>
            <w:tcW w:w="358" w:type="pct"/>
            <w:tcBorders>
              <w:top w:val="single" w:color="000000" w:sz="8" w:space="0"/>
              <w:left w:val="single" w:color="000000" w:sz="8" w:space="0"/>
              <w:bottom w:val="single" w:color="000000" w:sz="8" w:space="0"/>
              <w:right w:val="single" w:color="000000" w:sz="8" w:space="0"/>
            </w:tcBorders>
            <w:vAlign w:val="center"/>
          </w:tcPr>
          <w:p>
            <w:pPr>
              <w:pStyle w:val="57"/>
            </w:pPr>
            <w:r>
              <w:rPr>
                <w:rFonts w:hint="eastAsia"/>
              </w:rPr>
              <w:t>1</w:t>
            </w:r>
            <w:r>
              <w:t>4</w:t>
            </w:r>
          </w:p>
        </w:tc>
        <w:tc>
          <w:tcPr>
            <w:tcW w:w="1821"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农村自来水普及率</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w:t>
            </w:r>
          </w:p>
        </w:tc>
        <w:tc>
          <w:tcPr>
            <w:tcW w:w="577"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＞9</w:t>
            </w:r>
            <w:r>
              <w:t>5</w:t>
            </w:r>
          </w:p>
        </w:tc>
        <w:tc>
          <w:tcPr>
            <w:tcW w:w="682"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预期性</w:t>
            </w:r>
          </w:p>
        </w:tc>
      </w:tr>
      <w:tr>
        <w:tblPrEx>
          <w:tblCellMar>
            <w:top w:w="0" w:type="dxa"/>
            <w:left w:w="0" w:type="dxa"/>
            <w:bottom w:w="0" w:type="dxa"/>
            <w:right w:w="0" w:type="dxa"/>
          </w:tblCellMar>
        </w:tblPrEx>
        <w:trPr>
          <w:trHeight w:val="354" w:hRule="atLeast"/>
        </w:trPr>
        <w:tc>
          <w:tcPr>
            <w:tcW w:w="404" w:type="pct"/>
            <w:vMerge w:val="continue"/>
            <w:tcBorders>
              <w:left w:val="single" w:color="000000" w:sz="8" w:space="0"/>
              <w:right w:val="single" w:color="000000" w:sz="8" w:space="0"/>
            </w:tcBorders>
            <w:vAlign w:val="center"/>
          </w:tcPr>
          <w:p>
            <w:pPr>
              <w:pStyle w:val="57"/>
              <w:rPr>
                <w:b/>
                <w:bCs/>
              </w:rPr>
            </w:pPr>
          </w:p>
        </w:tc>
        <w:tc>
          <w:tcPr>
            <w:tcW w:w="358" w:type="pct"/>
            <w:tcBorders>
              <w:top w:val="single" w:color="000000" w:sz="8" w:space="0"/>
              <w:left w:val="single" w:color="000000" w:sz="8" w:space="0"/>
              <w:bottom w:val="single" w:color="000000" w:sz="8" w:space="0"/>
              <w:right w:val="single" w:color="000000" w:sz="8" w:space="0"/>
            </w:tcBorders>
            <w:vAlign w:val="center"/>
          </w:tcPr>
          <w:p>
            <w:pPr>
              <w:pStyle w:val="57"/>
            </w:pPr>
            <w:r>
              <w:rPr>
                <w:rFonts w:hint="eastAsia"/>
              </w:rPr>
              <w:t>1</w:t>
            </w:r>
            <w:r>
              <w:t>5</w:t>
            </w:r>
          </w:p>
        </w:tc>
        <w:tc>
          <w:tcPr>
            <w:tcW w:w="1821"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农村卫生厕所普及率</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t>95.8</w:t>
            </w:r>
          </w:p>
        </w:tc>
        <w:tc>
          <w:tcPr>
            <w:tcW w:w="577"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＞9</w:t>
            </w:r>
            <w:r>
              <w:t>8</w:t>
            </w:r>
          </w:p>
        </w:tc>
        <w:tc>
          <w:tcPr>
            <w:tcW w:w="682"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预期性</w:t>
            </w:r>
          </w:p>
        </w:tc>
      </w:tr>
      <w:tr>
        <w:tblPrEx>
          <w:tblCellMar>
            <w:top w:w="0" w:type="dxa"/>
            <w:left w:w="0" w:type="dxa"/>
            <w:bottom w:w="0" w:type="dxa"/>
            <w:right w:w="0" w:type="dxa"/>
          </w:tblCellMar>
        </w:tblPrEx>
        <w:trPr>
          <w:trHeight w:val="265" w:hRule="atLeast"/>
        </w:trPr>
        <w:tc>
          <w:tcPr>
            <w:tcW w:w="404" w:type="pct"/>
            <w:vMerge w:val="continue"/>
            <w:tcBorders>
              <w:left w:val="single" w:color="000000" w:sz="8" w:space="0"/>
              <w:right w:val="single" w:color="000000" w:sz="8" w:space="0"/>
            </w:tcBorders>
            <w:vAlign w:val="center"/>
          </w:tcPr>
          <w:p>
            <w:pPr>
              <w:pStyle w:val="57"/>
              <w:rPr>
                <w:b/>
                <w:bCs/>
              </w:rPr>
            </w:pPr>
          </w:p>
        </w:tc>
        <w:tc>
          <w:tcPr>
            <w:tcW w:w="358" w:type="pct"/>
            <w:tcBorders>
              <w:top w:val="single" w:color="000000" w:sz="8" w:space="0"/>
              <w:left w:val="single" w:color="000000" w:sz="8" w:space="0"/>
              <w:bottom w:val="single" w:color="000000" w:sz="8" w:space="0"/>
              <w:right w:val="single" w:color="000000" w:sz="8" w:space="0"/>
            </w:tcBorders>
            <w:vAlign w:val="center"/>
          </w:tcPr>
          <w:p>
            <w:pPr>
              <w:pStyle w:val="57"/>
            </w:pPr>
            <w:r>
              <w:rPr>
                <w:rFonts w:hint="eastAsia"/>
              </w:rPr>
              <w:t>1</w:t>
            </w:r>
            <w:r>
              <w:t>6</w:t>
            </w:r>
          </w:p>
        </w:tc>
        <w:tc>
          <w:tcPr>
            <w:tcW w:w="1821"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农村生活垃圾治理率</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t>100</w:t>
            </w:r>
          </w:p>
        </w:tc>
        <w:tc>
          <w:tcPr>
            <w:tcW w:w="577"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100</w:t>
            </w:r>
          </w:p>
        </w:tc>
        <w:tc>
          <w:tcPr>
            <w:tcW w:w="682"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预期性</w:t>
            </w:r>
          </w:p>
        </w:tc>
      </w:tr>
      <w:tr>
        <w:tblPrEx>
          <w:tblCellMar>
            <w:top w:w="0" w:type="dxa"/>
            <w:left w:w="0" w:type="dxa"/>
            <w:bottom w:w="0" w:type="dxa"/>
            <w:right w:w="0" w:type="dxa"/>
          </w:tblCellMar>
        </w:tblPrEx>
        <w:trPr>
          <w:trHeight w:val="354" w:hRule="atLeast"/>
        </w:trPr>
        <w:tc>
          <w:tcPr>
            <w:tcW w:w="404" w:type="pct"/>
            <w:vMerge w:val="continue"/>
            <w:tcBorders>
              <w:left w:val="single" w:color="000000" w:sz="8" w:space="0"/>
              <w:right w:val="single" w:color="000000" w:sz="8" w:space="0"/>
            </w:tcBorders>
            <w:vAlign w:val="center"/>
          </w:tcPr>
          <w:p>
            <w:pPr>
              <w:pStyle w:val="57"/>
              <w:rPr>
                <w:b/>
                <w:bCs/>
              </w:rPr>
            </w:pPr>
          </w:p>
        </w:tc>
        <w:tc>
          <w:tcPr>
            <w:tcW w:w="358" w:type="pct"/>
            <w:tcBorders>
              <w:top w:val="single" w:color="000000" w:sz="8" w:space="0"/>
              <w:left w:val="single" w:color="000000" w:sz="8" w:space="0"/>
              <w:bottom w:val="single" w:color="000000" w:sz="8" w:space="0"/>
              <w:right w:val="single" w:color="000000" w:sz="8" w:space="0"/>
            </w:tcBorders>
            <w:vAlign w:val="center"/>
          </w:tcPr>
          <w:p>
            <w:pPr>
              <w:pStyle w:val="57"/>
            </w:pPr>
            <w:r>
              <w:rPr>
                <w:rFonts w:hint="eastAsia"/>
              </w:rPr>
              <w:t>1</w:t>
            </w:r>
            <w:r>
              <w:t>7</w:t>
            </w:r>
          </w:p>
        </w:tc>
        <w:tc>
          <w:tcPr>
            <w:tcW w:w="1821"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畜禽粪污综合利用率</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90</w:t>
            </w:r>
          </w:p>
        </w:tc>
        <w:tc>
          <w:tcPr>
            <w:tcW w:w="577"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w:t>
            </w:r>
            <w:r>
              <w:t>9</w:t>
            </w:r>
            <w:r>
              <w:rPr>
                <w:rFonts w:hint="eastAsia"/>
              </w:rPr>
              <w:t>5</w:t>
            </w:r>
          </w:p>
        </w:tc>
        <w:tc>
          <w:tcPr>
            <w:tcW w:w="682"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约束性</w:t>
            </w:r>
          </w:p>
        </w:tc>
      </w:tr>
      <w:tr>
        <w:tblPrEx>
          <w:tblCellMar>
            <w:top w:w="0" w:type="dxa"/>
            <w:left w:w="0" w:type="dxa"/>
            <w:bottom w:w="0" w:type="dxa"/>
            <w:right w:w="0" w:type="dxa"/>
          </w:tblCellMar>
        </w:tblPrEx>
        <w:trPr>
          <w:trHeight w:val="354" w:hRule="atLeast"/>
        </w:trPr>
        <w:tc>
          <w:tcPr>
            <w:tcW w:w="404" w:type="pct"/>
            <w:vMerge w:val="continue"/>
            <w:tcBorders>
              <w:left w:val="single" w:color="000000" w:sz="8" w:space="0"/>
              <w:right w:val="single" w:color="000000" w:sz="8" w:space="0"/>
            </w:tcBorders>
            <w:vAlign w:val="center"/>
          </w:tcPr>
          <w:p>
            <w:pPr>
              <w:pStyle w:val="57"/>
              <w:rPr>
                <w:b/>
                <w:bCs/>
              </w:rPr>
            </w:pPr>
          </w:p>
        </w:tc>
        <w:tc>
          <w:tcPr>
            <w:tcW w:w="358" w:type="pct"/>
            <w:tcBorders>
              <w:top w:val="single" w:color="000000" w:sz="8" w:space="0"/>
              <w:left w:val="single" w:color="000000" w:sz="8" w:space="0"/>
              <w:bottom w:val="single" w:color="000000" w:sz="8" w:space="0"/>
              <w:right w:val="single" w:color="000000" w:sz="8" w:space="0"/>
            </w:tcBorders>
            <w:vAlign w:val="center"/>
          </w:tcPr>
          <w:p>
            <w:pPr>
              <w:pStyle w:val="57"/>
            </w:pPr>
            <w:r>
              <w:rPr>
                <w:rFonts w:hint="eastAsia"/>
              </w:rPr>
              <w:t>1</w:t>
            </w:r>
            <w:r>
              <w:t>8</w:t>
            </w:r>
          </w:p>
        </w:tc>
        <w:tc>
          <w:tcPr>
            <w:tcW w:w="1821"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行政村生活污水有效治理比例</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t>35</w:t>
            </w:r>
          </w:p>
        </w:tc>
        <w:tc>
          <w:tcPr>
            <w:tcW w:w="577"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t>85</w:t>
            </w:r>
          </w:p>
        </w:tc>
        <w:tc>
          <w:tcPr>
            <w:tcW w:w="682"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预期性</w:t>
            </w:r>
          </w:p>
        </w:tc>
      </w:tr>
      <w:tr>
        <w:tblPrEx>
          <w:tblCellMar>
            <w:top w:w="0" w:type="dxa"/>
            <w:left w:w="0" w:type="dxa"/>
            <w:bottom w:w="0" w:type="dxa"/>
            <w:right w:w="0" w:type="dxa"/>
          </w:tblCellMar>
        </w:tblPrEx>
        <w:trPr>
          <w:trHeight w:val="354" w:hRule="atLeast"/>
        </w:trPr>
        <w:tc>
          <w:tcPr>
            <w:tcW w:w="404" w:type="pct"/>
            <w:vMerge w:val="continue"/>
            <w:tcBorders>
              <w:left w:val="single" w:color="000000" w:sz="8" w:space="0"/>
              <w:bottom w:val="single" w:color="000000" w:sz="8" w:space="0"/>
              <w:right w:val="single" w:color="000000" w:sz="8" w:space="0"/>
            </w:tcBorders>
            <w:vAlign w:val="center"/>
          </w:tcPr>
          <w:p>
            <w:pPr>
              <w:pStyle w:val="57"/>
              <w:rPr>
                <w:b/>
                <w:bCs/>
              </w:rPr>
            </w:pPr>
          </w:p>
        </w:tc>
        <w:tc>
          <w:tcPr>
            <w:tcW w:w="358" w:type="pct"/>
            <w:tcBorders>
              <w:top w:val="single" w:color="000000" w:sz="8" w:space="0"/>
              <w:left w:val="single" w:color="000000" w:sz="8" w:space="0"/>
              <w:bottom w:val="single" w:color="000000" w:sz="8" w:space="0"/>
              <w:right w:val="single" w:color="000000" w:sz="8" w:space="0"/>
            </w:tcBorders>
            <w:vAlign w:val="center"/>
          </w:tcPr>
          <w:p>
            <w:pPr>
              <w:pStyle w:val="57"/>
            </w:pPr>
            <w:r>
              <w:rPr>
                <w:rFonts w:hint="eastAsia"/>
              </w:rPr>
              <w:t>1</w:t>
            </w:r>
            <w:r>
              <w:t>9</w:t>
            </w:r>
          </w:p>
        </w:tc>
        <w:tc>
          <w:tcPr>
            <w:tcW w:w="1821"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建有综合服务站的村占比</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w:t>
            </w:r>
          </w:p>
        </w:tc>
        <w:tc>
          <w:tcPr>
            <w:tcW w:w="577"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t>100</w:t>
            </w:r>
          </w:p>
        </w:tc>
        <w:tc>
          <w:tcPr>
            <w:tcW w:w="682"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预期性</w:t>
            </w:r>
          </w:p>
        </w:tc>
      </w:tr>
      <w:tr>
        <w:tblPrEx>
          <w:tblCellMar>
            <w:top w:w="0" w:type="dxa"/>
            <w:left w:w="0" w:type="dxa"/>
            <w:bottom w:w="0" w:type="dxa"/>
            <w:right w:w="0" w:type="dxa"/>
          </w:tblCellMar>
        </w:tblPrEx>
        <w:trPr>
          <w:trHeight w:val="354" w:hRule="atLeast"/>
        </w:trPr>
        <w:tc>
          <w:tcPr>
            <w:tcW w:w="404" w:type="pct"/>
            <w:vMerge w:val="restart"/>
            <w:tcBorders>
              <w:top w:val="single" w:color="auto" w:sz="4" w:space="0"/>
              <w:left w:val="single" w:color="auto" w:sz="4" w:space="0"/>
              <w:bottom w:val="single" w:color="auto" w:sz="4" w:space="0"/>
              <w:right w:val="single" w:color="auto" w:sz="4" w:space="0"/>
            </w:tcBorders>
            <w:vAlign w:val="center"/>
          </w:tcPr>
          <w:p>
            <w:pPr>
              <w:pStyle w:val="57"/>
              <w:rPr>
                <w:b/>
                <w:bCs/>
              </w:rPr>
            </w:pPr>
            <w:r>
              <w:rPr>
                <w:rFonts w:hint="eastAsia"/>
                <w:b/>
                <w:bCs/>
              </w:rPr>
              <w:t>农民富裕富足</w:t>
            </w:r>
          </w:p>
        </w:tc>
        <w:tc>
          <w:tcPr>
            <w:tcW w:w="358" w:type="pct"/>
            <w:tcBorders>
              <w:top w:val="single" w:color="000000" w:sz="8" w:space="0"/>
              <w:left w:val="single" w:color="auto" w:sz="4" w:space="0"/>
              <w:bottom w:val="single" w:color="000000" w:sz="8" w:space="0"/>
              <w:right w:val="single" w:color="auto" w:sz="4" w:space="0"/>
            </w:tcBorders>
            <w:vAlign w:val="center"/>
          </w:tcPr>
          <w:p>
            <w:pPr>
              <w:pStyle w:val="57"/>
            </w:pPr>
            <w:r>
              <w:rPr>
                <w:rFonts w:hint="eastAsia"/>
              </w:rPr>
              <w:t>2</w:t>
            </w:r>
            <w:r>
              <w:t>0</w:t>
            </w:r>
          </w:p>
        </w:tc>
        <w:tc>
          <w:tcPr>
            <w:tcW w:w="1821" w:type="pct"/>
            <w:tcBorders>
              <w:top w:val="single" w:color="000000" w:sz="8" w:space="0"/>
              <w:left w:val="single" w:color="auto" w:sz="4"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农村居民人均可支配收入</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元</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t>17563</w:t>
            </w:r>
          </w:p>
        </w:tc>
        <w:tc>
          <w:tcPr>
            <w:tcW w:w="577"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t>28285</w:t>
            </w:r>
          </w:p>
        </w:tc>
        <w:tc>
          <w:tcPr>
            <w:tcW w:w="682"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预期性</w:t>
            </w:r>
          </w:p>
        </w:tc>
      </w:tr>
      <w:tr>
        <w:tblPrEx>
          <w:tblCellMar>
            <w:top w:w="0" w:type="dxa"/>
            <w:left w:w="0" w:type="dxa"/>
            <w:bottom w:w="0" w:type="dxa"/>
            <w:right w:w="0" w:type="dxa"/>
          </w:tblCellMar>
        </w:tblPrEx>
        <w:trPr>
          <w:trHeight w:val="354" w:hRule="atLeast"/>
        </w:trPr>
        <w:tc>
          <w:tcPr>
            <w:tcW w:w="404" w:type="pct"/>
            <w:vMerge w:val="continue"/>
            <w:tcBorders>
              <w:top w:val="single" w:color="auto" w:sz="4" w:space="0"/>
              <w:left w:val="single" w:color="auto" w:sz="4" w:space="0"/>
              <w:bottom w:val="single" w:color="auto" w:sz="4" w:space="0"/>
              <w:right w:val="single" w:color="auto" w:sz="4" w:space="0"/>
            </w:tcBorders>
            <w:vAlign w:val="center"/>
          </w:tcPr>
          <w:p>
            <w:pPr>
              <w:pStyle w:val="57"/>
            </w:pPr>
          </w:p>
        </w:tc>
        <w:tc>
          <w:tcPr>
            <w:tcW w:w="358" w:type="pct"/>
            <w:tcBorders>
              <w:top w:val="single" w:color="000000" w:sz="8" w:space="0"/>
              <w:left w:val="single" w:color="auto" w:sz="4" w:space="0"/>
              <w:bottom w:val="single" w:color="000000" w:sz="8" w:space="0"/>
              <w:right w:val="single" w:color="auto" w:sz="4" w:space="0"/>
            </w:tcBorders>
            <w:vAlign w:val="center"/>
          </w:tcPr>
          <w:p>
            <w:pPr>
              <w:pStyle w:val="57"/>
            </w:pPr>
            <w:r>
              <w:rPr>
                <w:rFonts w:hint="eastAsia"/>
              </w:rPr>
              <w:t>2</w:t>
            </w:r>
            <w:r>
              <w:t>1</w:t>
            </w:r>
          </w:p>
        </w:tc>
        <w:tc>
          <w:tcPr>
            <w:tcW w:w="1821" w:type="pct"/>
            <w:tcBorders>
              <w:top w:val="single" w:color="000000" w:sz="8" w:space="0"/>
              <w:left w:val="single" w:color="auto" w:sz="4"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集体收益5万元以上的村占比</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w:t>
            </w:r>
          </w:p>
        </w:tc>
        <w:tc>
          <w:tcPr>
            <w:tcW w:w="577"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t>45</w:t>
            </w:r>
          </w:p>
        </w:tc>
        <w:tc>
          <w:tcPr>
            <w:tcW w:w="682"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预期性</w:t>
            </w:r>
          </w:p>
        </w:tc>
      </w:tr>
      <w:tr>
        <w:tblPrEx>
          <w:tblCellMar>
            <w:top w:w="0" w:type="dxa"/>
            <w:left w:w="0" w:type="dxa"/>
            <w:bottom w:w="0" w:type="dxa"/>
            <w:right w:w="0" w:type="dxa"/>
          </w:tblCellMar>
        </w:tblPrEx>
        <w:trPr>
          <w:trHeight w:val="354" w:hRule="atLeast"/>
        </w:trPr>
        <w:tc>
          <w:tcPr>
            <w:tcW w:w="404" w:type="pct"/>
            <w:vMerge w:val="continue"/>
            <w:tcBorders>
              <w:top w:val="single" w:color="auto" w:sz="4" w:space="0"/>
              <w:left w:val="single" w:color="auto" w:sz="4" w:space="0"/>
              <w:bottom w:val="single" w:color="auto" w:sz="4" w:space="0"/>
              <w:right w:val="single" w:color="auto" w:sz="4" w:space="0"/>
            </w:tcBorders>
            <w:vAlign w:val="center"/>
          </w:tcPr>
          <w:p>
            <w:pPr>
              <w:pStyle w:val="57"/>
            </w:pPr>
          </w:p>
        </w:tc>
        <w:tc>
          <w:tcPr>
            <w:tcW w:w="358" w:type="pct"/>
            <w:tcBorders>
              <w:top w:val="single" w:color="000000" w:sz="8" w:space="0"/>
              <w:left w:val="single" w:color="auto" w:sz="4" w:space="0"/>
              <w:bottom w:val="single" w:color="000000" w:sz="8" w:space="0"/>
              <w:right w:val="single" w:color="auto" w:sz="4" w:space="0"/>
            </w:tcBorders>
            <w:vAlign w:val="center"/>
          </w:tcPr>
          <w:p>
            <w:pPr>
              <w:pStyle w:val="57"/>
            </w:pPr>
            <w:r>
              <w:rPr>
                <w:rFonts w:hint="eastAsia"/>
              </w:rPr>
              <w:t>2</w:t>
            </w:r>
            <w:r>
              <w:t>2</w:t>
            </w:r>
          </w:p>
        </w:tc>
        <w:tc>
          <w:tcPr>
            <w:tcW w:w="1821" w:type="pct"/>
            <w:tcBorders>
              <w:top w:val="single" w:color="000000" w:sz="8" w:space="0"/>
              <w:left w:val="single" w:color="auto" w:sz="4"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城乡居民收入比</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w:t>
            </w:r>
          </w:p>
        </w:tc>
        <w:tc>
          <w:tcPr>
            <w:tcW w:w="577"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t>2.01</w:t>
            </w:r>
            <w:r>
              <w:rPr>
                <w:rFonts w:hint="eastAsia"/>
              </w:rPr>
              <w:t>:</w:t>
            </w:r>
            <w:r>
              <w:t>1</w:t>
            </w:r>
          </w:p>
        </w:tc>
        <w:tc>
          <w:tcPr>
            <w:tcW w:w="682"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预期性</w:t>
            </w:r>
          </w:p>
        </w:tc>
      </w:tr>
      <w:tr>
        <w:tblPrEx>
          <w:tblCellMar>
            <w:top w:w="0" w:type="dxa"/>
            <w:left w:w="0" w:type="dxa"/>
            <w:bottom w:w="0" w:type="dxa"/>
            <w:right w:w="0" w:type="dxa"/>
          </w:tblCellMar>
        </w:tblPrEx>
        <w:trPr>
          <w:trHeight w:val="354" w:hRule="atLeast"/>
        </w:trPr>
        <w:tc>
          <w:tcPr>
            <w:tcW w:w="404" w:type="pct"/>
            <w:vMerge w:val="continue"/>
            <w:tcBorders>
              <w:top w:val="single" w:color="auto" w:sz="4" w:space="0"/>
              <w:left w:val="single" w:color="auto" w:sz="4" w:space="0"/>
              <w:bottom w:val="single" w:color="auto" w:sz="4" w:space="0"/>
              <w:right w:val="single" w:color="auto" w:sz="4" w:space="0"/>
            </w:tcBorders>
            <w:vAlign w:val="center"/>
          </w:tcPr>
          <w:p>
            <w:pPr>
              <w:pStyle w:val="57"/>
            </w:pPr>
          </w:p>
        </w:tc>
        <w:tc>
          <w:tcPr>
            <w:tcW w:w="358" w:type="pct"/>
            <w:tcBorders>
              <w:top w:val="single" w:color="000000" w:sz="8" w:space="0"/>
              <w:left w:val="single" w:color="auto" w:sz="4" w:space="0"/>
              <w:bottom w:val="single" w:color="000000" w:sz="8" w:space="0"/>
              <w:right w:val="single" w:color="auto" w:sz="4" w:space="0"/>
            </w:tcBorders>
            <w:vAlign w:val="center"/>
          </w:tcPr>
          <w:p>
            <w:pPr>
              <w:pStyle w:val="57"/>
            </w:pPr>
            <w:r>
              <w:rPr>
                <w:rFonts w:hint="eastAsia"/>
              </w:rPr>
              <w:t>2</w:t>
            </w:r>
            <w:r>
              <w:t>3</w:t>
            </w:r>
          </w:p>
        </w:tc>
        <w:tc>
          <w:tcPr>
            <w:tcW w:w="1821" w:type="pct"/>
            <w:tcBorders>
              <w:top w:val="single" w:color="000000" w:sz="8" w:space="0"/>
              <w:left w:val="single" w:color="auto" w:sz="4"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农村居民教育文化娱乐消费支出占比</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w:t>
            </w:r>
          </w:p>
        </w:tc>
        <w:tc>
          <w:tcPr>
            <w:tcW w:w="579"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w:t>
            </w:r>
          </w:p>
        </w:tc>
        <w:tc>
          <w:tcPr>
            <w:tcW w:w="577"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t>10</w:t>
            </w:r>
          </w:p>
        </w:tc>
        <w:tc>
          <w:tcPr>
            <w:tcW w:w="682" w:type="pct"/>
            <w:tcBorders>
              <w:top w:val="single" w:color="000000" w:sz="8" w:space="0"/>
              <w:left w:val="single" w:color="000000" w:sz="8" w:space="0"/>
              <w:bottom w:val="single" w:color="000000" w:sz="8" w:space="0"/>
              <w:right w:val="single" w:color="000000" w:sz="8" w:space="0"/>
            </w:tcBorders>
            <w:shd w:val="clear" w:color="auto" w:fill="auto"/>
            <w:tcMar>
              <w:top w:w="22" w:type="dxa"/>
              <w:left w:w="34" w:type="dxa"/>
              <w:bottom w:w="22" w:type="dxa"/>
              <w:right w:w="34" w:type="dxa"/>
            </w:tcMar>
            <w:vAlign w:val="center"/>
          </w:tcPr>
          <w:p>
            <w:pPr>
              <w:pStyle w:val="57"/>
            </w:pPr>
            <w:r>
              <w:rPr>
                <w:rFonts w:hint="eastAsia"/>
              </w:rPr>
              <w:t>预期性</w:t>
            </w:r>
          </w:p>
        </w:tc>
      </w:tr>
    </w:tbl>
    <w:p>
      <w:pPr>
        <w:pStyle w:val="2"/>
        <w:spacing w:before="217" w:after="217"/>
        <w:ind w:left="480" w:leftChars="150"/>
        <w:rPr>
          <w:rFonts w:ascii="黑体" w:hAnsi="黑体"/>
          <w:szCs w:val="36"/>
        </w:rPr>
      </w:pPr>
      <w:bookmarkStart w:id="110" w:name="_Toc16186"/>
      <w:r>
        <w:rPr>
          <w:rFonts w:hint="eastAsia"/>
        </w:rPr>
        <w:t>夯实农业基础，</w:t>
      </w:r>
      <w:r>
        <w:rPr>
          <w:rFonts w:hint="eastAsia" w:ascii="黑体" w:hAnsi="黑体"/>
          <w:szCs w:val="36"/>
        </w:rPr>
        <w:t>保障重要农产品有效供给</w:t>
      </w:r>
      <w:bookmarkEnd w:id="110"/>
    </w:p>
    <w:p>
      <w:pPr>
        <w:ind w:firstLine="640"/>
      </w:pPr>
      <w:r>
        <w:rPr>
          <w:rFonts w:hint="eastAsia"/>
        </w:rPr>
        <w:t>坚持把“稳粮猪”作为稳农业的重中之重。深入实施</w:t>
      </w:r>
      <w:r>
        <w:rPr>
          <w:rFonts w:hint="eastAsia" w:ascii="仿宋_GB2312" w:hAnsi="仿宋"/>
        </w:rPr>
        <w:t>“</w:t>
      </w:r>
      <w:r>
        <w:rPr>
          <w:rFonts w:hint="eastAsia"/>
        </w:rPr>
        <w:t>藏粮于地、藏粮于技</w:t>
      </w:r>
      <w:r>
        <w:rPr>
          <w:rFonts w:hint="eastAsia" w:ascii="仿宋_GB2312" w:hAnsi="仿宋"/>
        </w:rPr>
        <w:t>”</w:t>
      </w:r>
      <w:r>
        <w:rPr>
          <w:rFonts w:hint="eastAsia"/>
        </w:rPr>
        <w:t>战略，坚持最严格的耕地保护制度，加快推进高标准农田新（改）建，加强农村水利设施建设，增强农业抗风险能力，稳步提升粮食综合生产能力，推进生猪等重要农产品稳产保供。</w:t>
      </w:r>
    </w:p>
    <w:p>
      <w:pPr>
        <w:pStyle w:val="3"/>
      </w:pPr>
      <w:bookmarkStart w:id="111" w:name="_Toc32452"/>
      <w:r>
        <w:rPr>
          <w:rFonts w:hint="eastAsia"/>
        </w:rPr>
        <w:t>加强耕地保护和质量提升</w:t>
      </w:r>
      <w:bookmarkEnd w:id="111"/>
    </w:p>
    <w:p>
      <w:pPr>
        <w:ind w:firstLine="640"/>
      </w:pPr>
      <w:r>
        <w:rPr>
          <w:rFonts w:hint="eastAsia"/>
        </w:rPr>
        <w:t>坚决守住耕地红线，采取“长牙齿”的硬措施，落实最严格的耕地保护制度。强化永久基本农田划定和保护，全面落实永久基本农田特殊保护政策措施。严格永久基本农田管理，全面落实“田长制”，持续推进耕地占补平衡政策落实，探索建立耕地保护奖惩措施，确保耕地数量不减少、质量有提升、产量不降低、生态有改善。制定耕地恢复补充方案，已经在永久基本农田和高标准农田种植林果、苗木、草皮和挖塘养鱼的，要逐步恢复种粮或置换补充，实现“完璧归赵”。引导新发展林果业上山上坡，不与粮争地。严格执法和监管，开展农村撂荒地专项整治，禁止闲置、荒芜永久基本农田，坚决打击违法占用行为，坚决遏制耕地“非农化”、防止耕地“非粮化”。严格林地用途管制，控制林地向非林地逆转。推进耕地质量监测点位全覆盖，开展县域耕地质量调查与监测评价。实施耕地质量保护与提升行动，大力推广测土配方施肥等新技术，稳步推进耕地轮作休耕制度试点，提升耕地自然质量等级。开展受污染耕地修复治理试点工作，确保农产品质量安全。加强耕地保护宣传教育，深入推进农村乱占耕地建房问题整治行动。</w:t>
      </w:r>
    </w:p>
    <w:p>
      <w:pPr>
        <w:pStyle w:val="3"/>
      </w:pPr>
      <w:bookmarkStart w:id="112" w:name="_Toc8886"/>
      <w:r>
        <w:rPr>
          <w:rFonts w:hint="eastAsia"/>
        </w:rPr>
        <w:t>加快推进高标准农田建设</w:t>
      </w:r>
      <w:bookmarkEnd w:id="112"/>
    </w:p>
    <w:p>
      <w:pPr>
        <w:ind w:firstLine="640"/>
      </w:pPr>
      <w:r>
        <w:rPr>
          <w:rFonts w:hint="eastAsia"/>
        </w:rPr>
        <w:t>大力实施新一轮高标准农田新（改）建工程，以提升粮食产能为首要目标，加快建设一批集中连片、旱涝保收、宜机作业、节水高效、稳产高产、生态友好的高标准农田，“十四五”时期全县新（改）建高标准农田约22.88万亩。坚持</w:t>
      </w:r>
      <w:r>
        <w:rPr>
          <w:rFonts w:hint="eastAsia" w:ascii="仿宋_GB2312" w:hAnsi="仿宋"/>
        </w:rPr>
        <w:t>“</w:t>
      </w:r>
      <w:r>
        <w:rPr>
          <w:rFonts w:hint="eastAsia"/>
        </w:rPr>
        <w:t>五统一</w:t>
      </w:r>
      <w:r>
        <w:rPr>
          <w:rFonts w:hint="eastAsia" w:ascii="仿宋_GB2312" w:hAnsi="仿宋"/>
        </w:rPr>
        <w:t>”</w:t>
      </w:r>
      <w:r>
        <w:rPr>
          <w:rStyle w:val="42"/>
          <w:rFonts w:ascii="仿宋_GB2312" w:hAnsi="仿宋"/>
        </w:rPr>
        <w:footnoteReference w:id="5"/>
      </w:r>
      <w:r>
        <w:rPr>
          <w:rFonts w:hint="eastAsia"/>
        </w:rPr>
        <w:t>原则，实行田、土、水、路、林、电、技、管、制综合配套，突出</w:t>
      </w:r>
      <w:r>
        <w:rPr>
          <w:rFonts w:hint="eastAsia"/>
          <w:lang w:eastAsia="zh-CN"/>
        </w:rPr>
        <w:t>抓好</w:t>
      </w:r>
      <w:r>
        <w:rPr>
          <w:rFonts w:hint="eastAsia"/>
        </w:rPr>
        <w:t>高效节水灌溉、水型水源工程和农田宜机化建设，提高建设标准和质量。对建成的高标准农田严格划为永久基本农田，实行特殊保护，任何单位和个人不得损毁、擅自占用或改变用途。按照</w:t>
      </w:r>
      <w:r>
        <w:rPr>
          <w:rFonts w:hint="eastAsia" w:ascii="仿宋_GB2312" w:hAnsi="仿宋"/>
        </w:rPr>
        <w:t>“</w:t>
      </w:r>
      <w:r>
        <w:rPr>
          <w:rFonts w:hint="eastAsia"/>
        </w:rPr>
        <w:t>谁使用、谁受益、谁管护</w:t>
      </w:r>
      <w:r>
        <w:rPr>
          <w:rFonts w:hint="eastAsia" w:ascii="仿宋_GB2312" w:hAnsi="仿宋"/>
        </w:rPr>
        <w:t>”</w:t>
      </w:r>
      <w:r>
        <w:rPr>
          <w:rFonts w:hint="eastAsia"/>
        </w:rPr>
        <w:t>的原则，落实各镇（街道）设施管护的责任主体，建立健全高标准农田建后管护长效机制，</w:t>
      </w:r>
      <w:r>
        <w:rPr>
          <w:rFonts w:hint="eastAsia"/>
          <w:lang w:eastAsia="zh-CN"/>
        </w:rPr>
        <w:t>加大</w:t>
      </w:r>
      <w:r>
        <w:rPr>
          <w:rFonts w:hint="eastAsia"/>
        </w:rPr>
        <w:t>对灾毁农田的修复力度。做好高标准农田新（改）建项目立项、实施、验收等各阶段相关信息上图入库。</w:t>
      </w:r>
    </w:p>
    <w:p>
      <w:pPr>
        <w:pStyle w:val="3"/>
      </w:pPr>
      <w:bookmarkStart w:id="113" w:name="_Toc25630"/>
      <w:r>
        <w:rPr>
          <w:rFonts w:hint="eastAsia"/>
        </w:rPr>
        <w:t>加强农村水利设施建设</w:t>
      </w:r>
      <w:bookmarkEnd w:id="113"/>
    </w:p>
    <w:p>
      <w:pPr>
        <w:ind w:firstLine="640"/>
      </w:pPr>
      <w:r>
        <w:rPr>
          <w:rFonts w:hint="eastAsia"/>
        </w:rPr>
        <w:t>完善水治理制度体系，优化水资源配置格局，进一步夯实农村水利基础，为农业产业发展提供水源保障。推进都江堰井研灌区续建配套与现代化改造，全力配合推进长征渠引水工程，加快推进岷茫水系工程，配套完善渠系水网。坚持因地制宜，宜井则井、宜坝则坝、宜库则库、宜闸则闸，着力开发灌溉新水源，实施高效节水灌溉提升工程，突出节约高效利用水土资源，大力普及喷灌、滴灌、水肥一体化等节水灌溉技术和农艺。联合其他相关部门，加大对提灌站、进排水渠等水利基础设施的管理维护及新建力度，探索建立农田水利工程运行管护监管机制。针对年久失修的提灌站、沟渠进行摸排调查，会同有关部门共同商讨维护维修对策，不断加大农田水利设施覆盖面，提高相关基础设施可利用率。</w:t>
      </w:r>
    </w:p>
    <w:p>
      <w:pPr>
        <w:pStyle w:val="3"/>
      </w:pPr>
      <w:bookmarkStart w:id="114" w:name="_Toc22875"/>
      <w:r>
        <w:rPr>
          <w:rFonts w:hint="eastAsia"/>
        </w:rPr>
        <w:t>提升农业抗风险能力</w:t>
      </w:r>
      <w:bookmarkEnd w:id="114"/>
    </w:p>
    <w:p>
      <w:pPr>
        <w:ind w:firstLine="640"/>
      </w:pPr>
      <w:r>
        <w:rPr>
          <w:rFonts w:hint="eastAsia"/>
        </w:rPr>
        <w:t>提升农业防灾减灾能力，加强农业行业安全生产治理体系和治理能力建设。强化农业农村、气象、水务等部门联动，加强种子苗木检疫监管和农作物重大疫情监测预警及阻截防控，加强动物卫生监督管理，健全非洲猪瘟等重大动物疫病防控和农作物病虫害防治体系。加强机构队伍建设，提升监测防控和应急处置能力。加快构建实时互联互通的智慧农业平台，加强农村自然灾害监测预报预警，做好灾害防范预案、物资储备和技术准备，指导农民落实抗灾救灾和灾后恢复生产措施。全面落实防汛抗旱地方行政首长负责制，加强防汛抗旱应急管理。提高农业机械化抢种抢收抢烘服务能力，发挥农业保险灾后减损作用。继续推进农业行业安全生产清单制管理，建立安全生产风险分级分类管控制度，加强农机、农药、渔业、饲料等重点领域监管和农村沼气安全生产工作。做好农业行业安全生产宣传教育，</w:t>
      </w:r>
      <w:r>
        <w:rPr>
          <w:rFonts w:hint="eastAsia"/>
          <w:lang w:eastAsia="zh-CN"/>
        </w:rPr>
        <w:t>增强</w:t>
      </w:r>
      <w:r>
        <w:rPr>
          <w:rFonts w:hint="eastAsia"/>
        </w:rPr>
        <w:t>社会防范意识，做到群防群控。</w:t>
      </w:r>
    </w:p>
    <w:p>
      <w:pPr>
        <w:pStyle w:val="3"/>
      </w:pPr>
      <w:bookmarkStart w:id="115" w:name="_Toc18871"/>
      <w:r>
        <w:rPr>
          <w:rFonts w:hint="eastAsia"/>
        </w:rPr>
        <w:t>稳步提高粮食产量</w:t>
      </w:r>
      <w:bookmarkEnd w:id="115"/>
    </w:p>
    <w:p>
      <w:pPr>
        <w:ind w:firstLine="640"/>
      </w:pPr>
      <w:r>
        <w:rPr>
          <w:rFonts w:hint="eastAsia"/>
        </w:rPr>
        <w:t>坚持把保障粮食生产和有效供给作为全县</w:t>
      </w:r>
      <w:r>
        <w:rPr>
          <w:rFonts w:hint="eastAsia" w:ascii="仿宋_GB2312"/>
        </w:rPr>
        <w:t>“</w:t>
      </w:r>
      <w:r>
        <w:rPr>
          <w:rFonts w:hint="eastAsia"/>
        </w:rPr>
        <w:t>三农</w:t>
      </w:r>
      <w:r>
        <w:rPr>
          <w:rFonts w:hint="eastAsia" w:ascii="仿宋_GB2312"/>
        </w:rPr>
        <w:t>”</w:t>
      </w:r>
      <w:r>
        <w:rPr>
          <w:rFonts w:hint="eastAsia"/>
        </w:rPr>
        <w:t>工作的首要任务，落实粮食安全政治责任，实施重要农产品保供战略，夯实农业高质量发展根基，全力打造规模化粮食生产聚集区。</w:t>
      </w:r>
    </w:p>
    <w:p>
      <w:pPr>
        <w:pStyle w:val="4"/>
        <w:ind w:left="-3" w:firstLine="643"/>
      </w:pPr>
      <w:bookmarkStart w:id="116" w:name="_Toc111650303"/>
      <w:bookmarkStart w:id="117" w:name="_Toc114128708"/>
      <w:bookmarkStart w:id="118" w:name="_Toc21276"/>
      <w:bookmarkStart w:id="119" w:name="_Toc112145628"/>
      <w:bookmarkStart w:id="120" w:name="_Toc111192735"/>
      <w:bookmarkStart w:id="121" w:name="_Toc111818547"/>
      <w:r>
        <w:rPr>
          <w:rFonts w:hint="eastAsia"/>
        </w:rPr>
        <w:t>打造天府粮仓“丘区样板”</w:t>
      </w:r>
      <w:bookmarkEnd w:id="116"/>
      <w:bookmarkEnd w:id="117"/>
      <w:bookmarkEnd w:id="118"/>
      <w:bookmarkEnd w:id="119"/>
      <w:bookmarkEnd w:id="120"/>
      <w:bookmarkEnd w:id="121"/>
    </w:p>
    <w:p>
      <w:pPr>
        <w:ind w:firstLine="640"/>
      </w:pPr>
      <w:r>
        <w:rPr>
          <w:rFonts w:hint="eastAsia"/>
        </w:rPr>
        <w:t>坚持规划编制“高标准”、项目推进“高质效”、土地整治“高成效”，下好规划引领“先手棋”，促进粮油发展格局更优；通过“北柑南粮”做大总量、“四化协同”</w:t>
      </w:r>
      <w:r>
        <w:rPr>
          <w:rStyle w:val="42"/>
        </w:rPr>
        <w:footnoteReference w:id="6"/>
      </w:r>
      <w:r>
        <w:rPr>
          <w:rFonts w:hint="eastAsia"/>
        </w:rPr>
        <w:t>做优存量、“串珠成链”做活增量，夯实乡村产业培育根基，着力打造“粮经渔统筹、产加销一体、农文旅融合”的现代农业全产业链，促进农业增效、农民增收、农村发展。力争将井研建设成国家农业现代化示范区和乡村振兴示范县，把南部百里粮油走廊建设成川渝粮油全产业融合发展示范区、丘区粮油机械化创新应用先行区，高水平打造“天府粮仓”丘区样板，持续擦亮“全国产粮大县”金字招牌。</w:t>
      </w:r>
    </w:p>
    <w:p>
      <w:pPr>
        <w:pStyle w:val="4"/>
        <w:ind w:left="-3" w:firstLine="643"/>
      </w:pPr>
      <w:bookmarkStart w:id="122" w:name="_Toc98702503"/>
      <w:bookmarkStart w:id="123" w:name="_Toc111818548"/>
      <w:bookmarkStart w:id="124" w:name="_Toc112145629"/>
      <w:bookmarkStart w:id="125" w:name="_Toc111192736"/>
      <w:bookmarkStart w:id="126" w:name="_Toc114128709"/>
      <w:bookmarkStart w:id="127" w:name="_Toc111650304"/>
      <w:bookmarkStart w:id="128" w:name="_Toc1911"/>
      <w:r>
        <w:rPr>
          <w:rFonts w:hint="eastAsia"/>
        </w:rPr>
        <w:t>稳定粮食生产水平</w:t>
      </w:r>
      <w:bookmarkEnd w:id="122"/>
      <w:bookmarkEnd w:id="123"/>
      <w:bookmarkEnd w:id="124"/>
      <w:bookmarkEnd w:id="125"/>
      <w:bookmarkEnd w:id="126"/>
      <w:bookmarkEnd w:id="127"/>
      <w:bookmarkEnd w:id="128"/>
    </w:p>
    <w:p>
      <w:pPr>
        <w:ind w:firstLine="640"/>
      </w:pPr>
      <w:r>
        <w:rPr>
          <w:rFonts w:hint="eastAsia"/>
        </w:rPr>
        <w:t>落实粮食生产党政同责，压实粮食生产责任，确保粮食播种面积和产量只增不减，稳步提升粮食综合生产能力。推进粮食生产功能区和重要农产品保护区建设，实施优质粮油基地提升工程，开展优质粮食工程和</w:t>
      </w:r>
      <w:r>
        <w:rPr>
          <w:rFonts w:hint="eastAsia" w:ascii="仿宋_GB2312" w:hAnsi="仿宋"/>
        </w:rPr>
        <w:t>“</w:t>
      </w:r>
      <w:r>
        <w:rPr>
          <w:rFonts w:hint="eastAsia"/>
        </w:rPr>
        <w:t>天府菜油</w:t>
      </w:r>
      <w:r>
        <w:rPr>
          <w:rFonts w:hint="eastAsia" w:ascii="仿宋_GB2312" w:hAnsi="仿宋"/>
        </w:rPr>
        <w:t>”</w:t>
      </w:r>
      <w:r>
        <w:rPr>
          <w:rFonts w:hint="eastAsia"/>
        </w:rPr>
        <w:t>行动，积极参加</w:t>
      </w:r>
      <w:r>
        <w:rPr>
          <w:rFonts w:hint="eastAsia" w:ascii="仿宋_GB2312" w:hAnsi="仿宋"/>
        </w:rPr>
        <w:t>“</w:t>
      </w:r>
      <w:r>
        <w:rPr>
          <w:rFonts w:hint="eastAsia"/>
        </w:rPr>
        <w:t>稻香杯</w:t>
      </w:r>
      <w:r>
        <w:rPr>
          <w:rFonts w:hint="eastAsia" w:ascii="仿宋_GB2312" w:hAnsi="仿宋"/>
        </w:rPr>
        <w:t>”</w:t>
      </w:r>
      <w:r>
        <w:rPr>
          <w:rFonts w:hint="eastAsia"/>
        </w:rPr>
        <w:t>和粮食生产丰收奖评选，全力创建</w:t>
      </w:r>
      <w:r>
        <w:rPr>
          <w:rFonts w:hint="eastAsia" w:ascii="仿宋_GB2312" w:hAnsi="仿宋"/>
        </w:rPr>
        <w:t>“</w:t>
      </w:r>
      <w:r>
        <w:rPr>
          <w:rFonts w:hint="eastAsia"/>
        </w:rPr>
        <w:t>鱼米之乡</w:t>
      </w:r>
      <w:r>
        <w:rPr>
          <w:rFonts w:hint="eastAsia" w:ascii="仿宋_GB2312" w:hAnsi="仿宋"/>
        </w:rPr>
        <w:t>”</w:t>
      </w:r>
      <w:r>
        <w:rPr>
          <w:rFonts w:hint="eastAsia"/>
        </w:rPr>
        <w:t>。支持林翔米业、奇能米业等龙头企业做大做强，加大新型经营主体的培育力度，强化新型经营主体示范带动作用。积极发展适度规模经营，充分调动粮农积极性。加强对农民的引导和宣传教育，加大各项惠农政策的宣传和落实力度，深入实施粮食生产计划，守住百姓的</w:t>
      </w:r>
      <w:r>
        <w:rPr>
          <w:rFonts w:hint="eastAsia" w:ascii="仿宋_GB2312" w:hAnsi="仿宋"/>
        </w:rPr>
        <w:t>“</w:t>
      </w:r>
      <w:r>
        <w:rPr>
          <w:rFonts w:hint="eastAsia"/>
        </w:rPr>
        <w:t>米袋子</w:t>
      </w:r>
      <w:r>
        <w:rPr>
          <w:rFonts w:hint="eastAsia" w:ascii="仿宋_GB2312" w:hAnsi="仿宋"/>
        </w:rPr>
        <w:t>”</w:t>
      </w:r>
      <w:r>
        <w:rPr>
          <w:rFonts w:hint="eastAsia"/>
        </w:rPr>
        <w:t>。确保全县粮食种植面积稳定在</w:t>
      </w:r>
      <w:r>
        <w:t>6</w:t>
      </w:r>
      <w:r>
        <w:rPr>
          <w:rFonts w:hint="eastAsia"/>
        </w:rPr>
        <w:t>7万亩以上，产量稳定在</w:t>
      </w:r>
      <w:r>
        <w:t>25</w:t>
      </w:r>
      <w:r>
        <w:rPr>
          <w:rFonts w:hint="eastAsia"/>
        </w:rPr>
        <w:t>万吨以上。</w:t>
      </w:r>
    </w:p>
    <w:p>
      <w:pPr>
        <w:pStyle w:val="4"/>
        <w:ind w:left="-3" w:firstLine="643"/>
      </w:pPr>
      <w:bookmarkStart w:id="129" w:name="_Toc114128710"/>
      <w:bookmarkStart w:id="130" w:name="_Toc112145630"/>
      <w:bookmarkStart w:id="131" w:name="_Toc111650305"/>
      <w:bookmarkStart w:id="132" w:name="_Toc111818549"/>
      <w:bookmarkStart w:id="133" w:name="_Toc111192737"/>
      <w:bookmarkStart w:id="134" w:name="_Toc6391"/>
      <w:bookmarkStart w:id="135" w:name="_Toc98702504"/>
      <w:r>
        <w:rPr>
          <w:rFonts w:hint="eastAsia"/>
        </w:rPr>
        <w:t>建设粮食生产聚集区</w:t>
      </w:r>
      <w:bookmarkEnd w:id="129"/>
      <w:bookmarkEnd w:id="130"/>
      <w:bookmarkEnd w:id="131"/>
      <w:bookmarkEnd w:id="132"/>
      <w:bookmarkEnd w:id="133"/>
      <w:bookmarkEnd w:id="134"/>
    </w:p>
    <w:p>
      <w:pPr>
        <w:ind w:firstLine="640"/>
      </w:pPr>
      <w:r>
        <w:rPr>
          <w:rFonts w:hint="eastAsia"/>
        </w:rPr>
        <w:t>突出抓好“三链协同、五优联动、六大行动”</w:t>
      </w:r>
      <w:r>
        <w:rPr>
          <w:rStyle w:val="42"/>
        </w:rPr>
        <w:footnoteReference w:id="7"/>
      </w:r>
      <w:r>
        <w:rPr>
          <w:rFonts w:hint="eastAsia"/>
        </w:rPr>
        <w:t>，持续优化产业布局，围绕“稳定面积、优化结构、主攻单产、稳粮保供、提质增效”的总体思路，提升产品品质，突出科技引领，集成先进技术，挖掘生产潜力，创新经营机制，提升粮食产业规模效益和精深加工水平，不断加快推进优质粮食产业转型升级，保障农机农艺融合、良种良法配套、生产生态协调发展，粮食</w:t>
      </w:r>
      <w:r>
        <w:rPr>
          <w:rFonts w:hint="eastAsia"/>
          <w:spacing w:val="-6"/>
        </w:rPr>
        <w:t>质量效益稳步提升。全力建设以粮为主、粮经统筹、“五良”</w:t>
      </w:r>
      <w:r>
        <w:rPr>
          <w:rFonts w:hint="eastAsia"/>
          <w:spacing w:val="-6"/>
          <w:vertAlign w:val="superscript"/>
        </w:rPr>
        <w:t>9</w:t>
      </w:r>
      <w:r>
        <w:rPr>
          <w:rFonts w:hint="eastAsia"/>
        </w:rPr>
        <w:t>融合、鱼米富足的粮食生产聚集区，加快粮食产业高质量发展。</w:t>
      </w:r>
      <w:bookmarkEnd w:id="135"/>
    </w:p>
    <w:p>
      <w:pPr>
        <w:pStyle w:val="3"/>
      </w:pPr>
      <w:bookmarkStart w:id="136" w:name="_Toc14386"/>
      <w:r>
        <w:rPr>
          <w:rFonts w:hint="eastAsia"/>
        </w:rPr>
        <w:t>保障“菜篮子”产品有效供给</w:t>
      </w:r>
      <w:bookmarkEnd w:id="136"/>
    </w:p>
    <w:p>
      <w:pPr>
        <w:ind w:firstLine="640"/>
      </w:pPr>
      <w:r>
        <w:rPr>
          <w:rFonts w:hint="eastAsia"/>
        </w:rPr>
        <w:t>贯彻落实“菜篮子”县委书记负责制，促进“菜篮子”产品生产结构升级、体系优化，稳定生猪生产，推进蔬菜、肉类、水产等“菜篮子”产品有效供给。</w:t>
      </w:r>
    </w:p>
    <w:p>
      <w:pPr>
        <w:pStyle w:val="4"/>
        <w:ind w:left="-3" w:firstLine="643"/>
      </w:pPr>
      <w:bookmarkStart w:id="137" w:name="_Toc112145632"/>
      <w:bookmarkStart w:id="138" w:name="_Toc98702507"/>
      <w:bookmarkStart w:id="139" w:name="_Toc114128712"/>
      <w:bookmarkStart w:id="140" w:name="_Toc111192740"/>
      <w:bookmarkStart w:id="141" w:name="_Toc111818551"/>
      <w:bookmarkStart w:id="142" w:name="_Toc111650308"/>
      <w:bookmarkStart w:id="143" w:name="_Toc251"/>
      <w:r>
        <w:rPr>
          <w:rFonts w:hint="eastAsia"/>
        </w:rPr>
        <w:t>促进生猪产业平稳有序发展</w:t>
      </w:r>
      <w:bookmarkEnd w:id="137"/>
      <w:bookmarkEnd w:id="138"/>
      <w:bookmarkEnd w:id="139"/>
      <w:bookmarkEnd w:id="140"/>
      <w:bookmarkEnd w:id="141"/>
      <w:bookmarkEnd w:id="142"/>
      <w:bookmarkEnd w:id="143"/>
    </w:p>
    <w:p>
      <w:pPr>
        <w:ind w:firstLine="640"/>
        <w:rPr>
          <w:highlight w:val="yellow"/>
        </w:rPr>
      </w:pPr>
      <w:r>
        <w:rPr>
          <w:rFonts w:hint="eastAsia"/>
        </w:rPr>
        <w:t>加快生猪产业转型升级，落实生猪生产扶持政策举措，高标准推进生猪标准化规模化养殖，重点支持新希望、奕嘉怡、仟和牧业等种养结合基地高标准建设，推进“川猪”复产。完善现代生猪良繁体系，加强地方猪遗传资源品种保护，重点支持部、省级生猪核心育种场建设，以“国家级核心育种场—一级扩繁场—二级扩繁场”为基本格局，加快推动国家优质商品猪战略保障基地建设。抓好非洲猪瘟等重大动物疫病防控，扎实开展动物疫病强制免疫，加快补齐基层动物疫病防控体系短板。提升猪肉精深加工能力，进一步支持井研县食品有限公司扩能增效，聚力创建一批国家级、省级标准化屠宰场。建立生猪屠宰、进口贸易、市场流通、餐饮消费全链条追溯平台。建立健全生猪市场预测预警机制，完善价格调控机制，加强应急加工、储运和供应体系建设，保障市场供应和价格总体平稳。确保</w:t>
      </w:r>
      <w:r>
        <w:rPr>
          <w:rFonts w:hint="eastAsia" w:ascii="仿宋_GB2312"/>
        </w:rPr>
        <w:t>“</w:t>
      </w:r>
      <w:r>
        <w:rPr>
          <w:rFonts w:hint="eastAsia"/>
        </w:rPr>
        <w:t>十四五</w:t>
      </w:r>
      <w:r>
        <w:rPr>
          <w:rFonts w:hint="eastAsia" w:ascii="仿宋_GB2312"/>
        </w:rPr>
        <w:t>”</w:t>
      </w:r>
      <w:r>
        <w:rPr>
          <w:rFonts w:hint="eastAsia"/>
        </w:rPr>
        <w:t>末，全县生猪年出栏达</w:t>
      </w:r>
      <w:r>
        <w:t>60.8</w:t>
      </w:r>
      <w:r>
        <w:rPr>
          <w:rFonts w:hint="eastAsia"/>
        </w:rPr>
        <w:t>万头以上。</w:t>
      </w:r>
    </w:p>
    <w:p>
      <w:pPr>
        <w:pStyle w:val="4"/>
        <w:ind w:left="-3" w:firstLine="643"/>
      </w:pPr>
      <w:bookmarkStart w:id="144" w:name="_Toc111192741"/>
      <w:bookmarkStart w:id="145" w:name="_Toc112145633"/>
      <w:bookmarkStart w:id="146" w:name="_Toc3618"/>
      <w:bookmarkStart w:id="147" w:name="_Toc114128713"/>
      <w:bookmarkStart w:id="148" w:name="_Toc111650309"/>
      <w:bookmarkStart w:id="149" w:name="_Toc111818552"/>
      <w:bookmarkStart w:id="150" w:name="_Toc98702508"/>
      <w:r>
        <w:rPr>
          <w:rFonts w:hint="eastAsia"/>
        </w:rPr>
        <w:t>大力发展草食畜牧业</w:t>
      </w:r>
      <w:bookmarkEnd w:id="144"/>
      <w:bookmarkEnd w:id="145"/>
      <w:bookmarkEnd w:id="146"/>
      <w:bookmarkEnd w:id="147"/>
      <w:bookmarkEnd w:id="148"/>
      <w:bookmarkEnd w:id="149"/>
      <w:bookmarkEnd w:id="150"/>
    </w:p>
    <w:p>
      <w:pPr>
        <w:ind w:firstLine="640"/>
      </w:pPr>
      <w:r>
        <w:rPr>
          <w:rFonts w:hint="eastAsia"/>
        </w:rPr>
        <w:t>振兴肉兔产业，围绕“良兔富民”“小兔子大产业”的思路，依托乐山市哈五爷贸易有限责任公司，采取市场牵“龙头”、“龙头”带基地、基地连农户的发展模式，以园（场）带动、小区促动、大户联动、帮扶推动，逐步构建集养殖、加工、销售、科研为一体的农业产业化经营模式。发展牛、羊等草食牲畜，探索建立优质饲草基地，引导一批肉牛肉羊规模养殖场实施畜禽圈舍标准化、集约化、智能化改造，逐步壮大牛羊产业发展，探索种植结构、养殖结构转型升级。</w:t>
      </w:r>
    </w:p>
    <w:p>
      <w:pPr>
        <w:pStyle w:val="4"/>
        <w:ind w:left="-3" w:firstLine="643"/>
      </w:pPr>
      <w:bookmarkStart w:id="151" w:name="_Toc112145634"/>
      <w:bookmarkStart w:id="152" w:name="_Toc24407"/>
      <w:bookmarkStart w:id="153" w:name="_Toc111192742"/>
      <w:bookmarkStart w:id="154" w:name="_Toc111650310"/>
      <w:bookmarkStart w:id="155" w:name="_Toc98702509"/>
      <w:bookmarkStart w:id="156" w:name="_Toc114128714"/>
      <w:bookmarkStart w:id="157" w:name="_Toc111818553"/>
      <w:r>
        <w:rPr>
          <w:rFonts w:hint="eastAsia"/>
        </w:rPr>
        <w:t>提升果蔬差异化生产能力</w:t>
      </w:r>
      <w:bookmarkEnd w:id="151"/>
      <w:bookmarkEnd w:id="152"/>
      <w:bookmarkEnd w:id="153"/>
      <w:bookmarkEnd w:id="154"/>
      <w:bookmarkEnd w:id="155"/>
      <w:bookmarkEnd w:id="156"/>
      <w:bookmarkEnd w:id="157"/>
    </w:p>
    <w:p>
      <w:pPr>
        <w:ind w:firstLine="640"/>
      </w:pPr>
      <w:r>
        <w:rPr>
          <w:rFonts w:hint="eastAsia"/>
        </w:rPr>
        <w:t>大力推进果蔬保供基地和</w:t>
      </w:r>
      <w:r>
        <w:rPr>
          <w:rFonts w:hint="eastAsia" w:ascii="仿宋_GB2312" w:hAnsi="仿宋"/>
        </w:rPr>
        <w:t>“</w:t>
      </w:r>
      <w:r>
        <w:rPr>
          <w:rFonts w:hint="eastAsia"/>
        </w:rPr>
        <w:t>菜篮子</w:t>
      </w:r>
      <w:r>
        <w:rPr>
          <w:rFonts w:hint="eastAsia" w:ascii="仿宋_GB2312" w:hAnsi="仿宋"/>
        </w:rPr>
        <w:t>”</w:t>
      </w:r>
      <w:r>
        <w:rPr>
          <w:rFonts w:hint="eastAsia"/>
        </w:rPr>
        <w:t>生产基地建设，按照</w:t>
      </w:r>
      <w:r>
        <w:rPr>
          <w:rFonts w:hint="eastAsia" w:ascii="仿宋_GB2312" w:hAnsi="仿宋"/>
        </w:rPr>
        <w:t>“</w:t>
      </w:r>
      <w:r>
        <w:rPr>
          <w:rFonts w:hint="eastAsia"/>
        </w:rPr>
        <w:t>调减大宗菜、增种错季菜、补充特色菜</w:t>
      </w:r>
      <w:r>
        <w:rPr>
          <w:rFonts w:hint="eastAsia" w:ascii="仿宋_GB2312" w:hAnsi="仿宋"/>
        </w:rPr>
        <w:t>”</w:t>
      </w:r>
      <w:r>
        <w:rPr>
          <w:rFonts w:hint="eastAsia"/>
        </w:rPr>
        <w:t>的思路，重点发展根茎、茄果、叶菜、菌菇类等蔬菜，推广设施农业，做大蔬菜加工业，提升</w:t>
      </w:r>
      <w:r>
        <w:rPr>
          <w:rFonts w:hint="eastAsia" w:ascii="仿宋_GB2312" w:hAnsi="仿宋"/>
        </w:rPr>
        <w:t>“</w:t>
      </w:r>
      <w:r>
        <w:rPr>
          <w:rFonts w:hint="eastAsia"/>
        </w:rPr>
        <w:t>菜篮子</w:t>
      </w:r>
      <w:r>
        <w:rPr>
          <w:rFonts w:hint="eastAsia" w:ascii="仿宋_GB2312" w:hAnsi="仿宋"/>
        </w:rPr>
        <w:t>”</w:t>
      </w:r>
      <w:r>
        <w:rPr>
          <w:rFonts w:hint="eastAsia"/>
        </w:rPr>
        <w:t>产品多样性。充分发挥柑橘种植最佳适宜区的优势，做强柑橘产业，同时布局台柚、桃、李、梨、猕猴桃等特色水果产业，提升井研水果市场占有率和竞争力。</w:t>
      </w:r>
    </w:p>
    <w:p>
      <w:pPr>
        <w:pStyle w:val="16"/>
        <w:ind w:firstLine="640"/>
      </w:pPr>
    </w:p>
    <w:p>
      <w:pPr>
        <w:pStyle w:val="16"/>
        <w:ind w:firstLine="640"/>
      </w:pP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7" w:type="dxa"/>
            <w:shd w:val="clear" w:color="auto" w:fill="D8D8D8" w:themeFill="background1" w:themeFillShade="D9"/>
          </w:tcPr>
          <w:p>
            <w:pPr>
              <w:pStyle w:val="74"/>
            </w:pPr>
            <w:r>
              <w:t>专栏1：</w:t>
            </w:r>
            <w:r>
              <w:rPr>
                <w:rFonts w:hint="eastAsia"/>
              </w:rPr>
              <w:t>重要农产品保障</w:t>
            </w:r>
            <w: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2" w:hRule="atLeast"/>
          <w:jc w:val="center"/>
        </w:trPr>
        <w:tc>
          <w:tcPr>
            <w:tcW w:w="8607" w:type="dxa"/>
          </w:tcPr>
          <w:p>
            <w:pPr>
              <w:pStyle w:val="72"/>
              <w:ind w:firstLine="482"/>
            </w:pPr>
            <w:r>
              <w:rPr>
                <w:b/>
              </w:rPr>
              <w:t xml:space="preserve">1. </w:t>
            </w:r>
            <w:r>
              <w:rPr>
                <w:rFonts w:hint="eastAsia"/>
                <w:b/>
              </w:rPr>
              <w:t>优质粮食提升工程：</w:t>
            </w:r>
            <w:r>
              <w:rPr>
                <w:rFonts w:hint="eastAsia"/>
              </w:rPr>
              <w:t>建成</w:t>
            </w:r>
            <w:r>
              <w:rPr>
                <w:rFonts w:hint="eastAsia" w:cs="Times New Roman"/>
              </w:rPr>
              <w:t>38</w:t>
            </w:r>
            <w:r>
              <w:rPr>
                <w:rFonts w:hint="eastAsia"/>
              </w:rPr>
              <w:t>万亩粮食生产功能区。统筹布局粮食生产、加工、储备、流通等能力建设，完善粮食质量安全检验检测体系和粮食产后服务体系，进一步开展粮油绿色高质高效创建工作，加大“稻香杯”优质稻生产与推广，促进粮油绿色生产，推动粮油产业高质量发展示范县建设。</w:t>
            </w:r>
          </w:p>
          <w:p>
            <w:pPr>
              <w:pStyle w:val="72"/>
              <w:shd w:val="clear" w:color="auto" w:fill="FFFFFF" w:themeFill="background1"/>
              <w:ind w:firstLine="482"/>
            </w:pPr>
            <w:r>
              <w:rPr>
                <w:b/>
              </w:rPr>
              <w:t xml:space="preserve">2. </w:t>
            </w:r>
            <w:r>
              <w:rPr>
                <w:rFonts w:hint="eastAsia"/>
                <w:b/>
              </w:rPr>
              <w:t>耕地资源保护与质量提升工程：</w:t>
            </w:r>
            <w:r>
              <w:rPr>
                <w:rFonts w:hint="eastAsia"/>
              </w:rPr>
              <w:t>推广秸秆直接还田，施用有机肥，改良酸化土壤，提升耕地质量。推行稻油、稻菜等轮作模式，稳步推进耕地轮作休耕制度试点。到2025年，全县耕地质量年平均提升0.06个等级以上。</w:t>
            </w:r>
          </w:p>
          <w:p>
            <w:pPr>
              <w:pStyle w:val="72"/>
              <w:ind w:firstLine="482"/>
            </w:pPr>
            <w:r>
              <w:rPr>
                <w:b/>
              </w:rPr>
              <w:t xml:space="preserve">3. </w:t>
            </w:r>
            <w:r>
              <w:rPr>
                <w:rFonts w:hint="eastAsia"/>
                <w:b/>
              </w:rPr>
              <w:t>高标准农田新（改）建项目：</w:t>
            </w:r>
            <w:r>
              <w:rPr>
                <w:rFonts w:hint="eastAsia"/>
              </w:rPr>
              <w:t>实施土地平整、农田宜机化改造、水利灌排设施、田间道路、高效节水灌溉示范、科技服务等建设工程。“十四五”时期，全县新（改）建高标准农田约22.88万亩，进一步提升农业生产基础能力。</w:t>
            </w:r>
          </w:p>
          <w:p>
            <w:pPr>
              <w:pStyle w:val="72"/>
              <w:ind w:firstLine="482"/>
            </w:pPr>
            <w:r>
              <w:rPr>
                <w:b/>
              </w:rPr>
              <w:t>4.</w:t>
            </w:r>
            <w:r>
              <w:rPr>
                <w:rFonts w:hint="eastAsia"/>
                <w:b/>
              </w:rPr>
              <w:t>智慧灌溉工程建设项目：</w:t>
            </w:r>
            <w:r>
              <w:rPr>
                <w:rFonts w:hint="eastAsia"/>
              </w:rPr>
              <w:t>建设从水</w:t>
            </w:r>
            <w:r>
              <w:rPr>
                <w:rFonts w:hint="eastAsia" w:ascii="宋体" w:hAnsi="宋体" w:cs="宋体"/>
              </w:rPr>
              <w:t>源、输水、配水、灌水全过程自动化、数字化节水工程10个，配套建设高效节水农业示范区和水肥一体化示范点。</w:t>
            </w:r>
          </w:p>
          <w:p>
            <w:pPr>
              <w:pStyle w:val="72"/>
              <w:ind w:firstLine="482"/>
            </w:pPr>
            <w:r>
              <w:rPr>
                <w:b/>
              </w:rPr>
              <w:t xml:space="preserve">5. </w:t>
            </w:r>
            <w:r>
              <w:rPr>
                <w:rFonts w:hint="eastAsia"/>
                <w:b/>
              </w:rPr>
              <w:t>农作物病虫害应急防治中心及监测点：</w:t>
            </w:r>
            <w:r>
              <w:rPr>
                <w:rFonts w:hint="eastAsia"/>
              </w:rPr>
              <w:t>建设一个农作物实验、应急防控中心；同时设置60个田间病虫监测点（其中10个重点监测点，50个常规监测点）。</w:t>
            </w:r>
          </w:p>
        </w:tc>
      </w:tr>
    </w:tbl>
    <w:p>
      <w:pPr>
        <w:pStyle w:val="2"/>
        <w:spacing w:before="217" w:after="217"/>
        <w:ind w:firstLine="567" w:firstLineChars="157"/>
      </w:pPr>
      <w:bookmarkStart w:id="158" w:name="_Toc13355"/>
      <w:r>
        <w:rPr>
          <w:rFonts w:hint="eastAsia"/>
        </w:rPr>
        <w:t>聚焦优势特色产业，打造四大产业新高地</w:t>
      </w:r>
      <w:bookmarkEnd w:id="158"/>
    </w:p>
    <w:p>
      <w:pPr>
        <w:ind w:firstLine="640"/>
      </w:pPr>
      <w:r>
        <w:rPr>
          <w:rFonts w:hint="eastAsia"/>
        </w:rPr>
        <w:t>坚持主导产业与特色产业并行，聚焦井研县“4+</w:t>
      </w:r>
      <w:r>
        <w:t>3</w:t>
      </w:r>
      <w:r>
        <w:rPr>
          <w:rFonts w:hint="eastAsia"/>
        </w:rPr>
        <w:t>”现代农业产业体系建设，着力构建“北柑南粮”产业布局，不断推动粮油、柑橘、畜牧、水产四大产业提档升级，聚力打造产业新高地，全面提升农产品质量与效益。</w:t>
      </w:r>
    </w:p>
    <w:p>
      <w:pPr>
        <w:pStyle w:val="3"/>
      </w:pPr>
      <w:bookmarkStart w:id="159" w:name="_Toc1287"/>
      <w:r>
        <w:rPr>
          <w:rFonts w:hint="eastAsia"/>
        </w:rPr>
        <w:t>打造粮油产业新高地</w:t>
      </w:r>
      <w:bookmarkEnd w:id="159"/>
    </w:p>
    <w:p>
      <w:pPr>
        <w:ind w:firstLine="640"/>
      </w:pPr>
      <w:r>
        <w:rPr>
          <w:rFonts w:hint="eastAsia"/>
        </w:rPr>
        <w:t>以打造“天府粮仓”丘区样板为核心，不断夯实全县粮油产业生产，以“打基础、建基地、立支柱、上水平”为抓手，进一步擦亮全国产粮大县“金字招牌”，按照乐山市三大粮食产业带建设工程的定位划分，全力将井研县打造成省级优势稻发展重点县，推动井研现代农业产业高质量发展。</w:t>
      </w:r>
    </w:p>
    <w:p>
      <w:pPr>
        <w:pStyle w:val="4"/>
        <w:numPr>
          <w:ilvl w:val="2"/>
          <w:numId w:val="4"/>
        </w:numPr>
        <w:ind w:left="-3" w:firstLine="643"/>
      </w:pPr>
      <w:bookmarkStart w:id="160" w:name="_Toc114128717"/>
      <w:bookmarkStart w:id="161" w:name="_Toc27224"/>
      <w:r>
        <w:rPr>
          <w:rFonts w:hint="eastAsia"/>
        </w:rPr>
        <w:t>持续优化粮油产业结构</w:t>
      </w:r>
      <w:bookmarkEnd w:id="160"/>
      <w:bookmarkEnd w:id="161"/>
    </w:p>
    <w:p>
      <w:pPr>
        <w:ind w:firstLine="643"/>
        <w:rPr>
          <w:b/>
          <w:bCs/>
        </w:rPr>
      </w:pPr>
      <w:r>
        <w:rPr>
          <w:rFonts w:hint="eastAsia"/>
          <w:b/>
          <w:bCs/>
        </w:rPr>
        <w:t>一是促进品种改良。</w:t>
      </w:r>
      <w:r>
        <w:rPr>
          <w:rFonts w:hint="eastAsia"/>
        </w:rPr>
        <w:t>通过引入新品种、改良本土品种等方式，筛选、培育、推广一批适合产业发展需求、本地表现优良、宜机化品种。针对粮油产业发展需求，水稻优先选择四川省“稻香杯”优质稻、国标三级以上优质稻等品种；大豆优先选择本地适应性强、高产高抗品种；玉米选择耐密性、紧凑型、半紧凑型品种；油菜选择低芥酸、低硫苷“双低”品种及浓香型品种。到2</w:t>
      </w:r>
      <w:r>
        <w:t>025</w:t>
      </w:r>
      <w:r>
        <w:rPr>
          <w:rFonts w:hint="eastAsia"/>
        </w:rPr>
        <w:t>年，建设1</w:t>
      </w:r>
      <w:r>
        <w:t>00</w:t>
      </w:r>
      <w:r>
        <w:rPr>
          <w:rFonts w:hint="eastAsia"/>
        </w:rPr>
        <w:t>亩新品种引进与示范基地，优选2—</w:t>
      </w:r>
      <w:r>
        <w:t>3</w:t>
      </w:r>
      <w:r>
        <w:rPr>
          <w:rFonts w:hint="eastAsia"/>
        </w:rPr>
        <w:t>个优良新品种，开展与新品种配套的良种引进、示范、推广工作。</w:t>
      </w:r>
    </w:p>
    <w:p>
      <w:pPr>
        <w:ind w:firstLine="643"/>
      </w:pPr>
      <w:r>
        <w:rPr>
          <w:rFonts w:hint="eastAsia"/>
          <w:b/>
          <w:bCs/>
        </w:rPr>
        <w:t>二是引导结构调优。</w:t>
      </w:r>
      <w:r>
        <w:rPr>
          <w:rFonts w:hint="eastAsia"/>
        </w:rPr>
        <w:t>坚持以市场需求调优品种和产业结构，通过实施新品种引进与示范、制定完善品种栽培管理标准、推动绿色种养循环农业和高效立体种养模式、发展农产品精深加工等项目，不断优化产业结构，推动资源高效利用，实现粮油产业高产高效发展。推广高效种植模式，通过示范推广大豆—玉米带状复合种植、水稻—油菜、水稻—蔬菜、水稻—药材、水稻—水产等轮作、套作高效种养结合模式，提升农田单位产出效益。</w:t>
      </w:r>
    </w:p>
    <w:p>
      <w:pPr>
        <w:ind w:firstLine="643"/>
      </w:pPr>
      <w:r>
        <w:rPr>
          <w:rFonts w:hint="eastAsia"/>
          <w:b/>
          <w:bCs/>
        </w:rPr>
        <w:t>三是促进绿色发展。</w:t>
      </w:r>
      <w:r>
        <w:rPr>
          <w:rFonts w:hint="eastAsia"/>
        </w:rPr>
        <w:t>构建生态循环农业体系，把农业生态环境治理、废弃物综合利用与农业转方式、调结构和农业产业发展有机结合起来，构建串点成线、线织成网、全域覆盖的生态循环农业示范体系。发展生态种养结合模式，利用现有粮油产业基础，发展稻—虾、稻—鱼、稻—蛙、稻—鸭等立体种养模式，通过开展规模养殖粪污资源化利用，发展种养循环农业。开展稻田综合种养技术示范，大力发展绿色种养结合模式，走产出高效、产品安全、资源节约、环境友好的现代化发展之路。推广有机肥替代农药化肥，测土配方等先进技术，强化农业绿色生产模式。</w:t>
      </w:r>
    </w:p>
    <w:p>
      <w:pPr>
        <w:pStyle w:val="4"/>
        <w:numPr>
          <w:ilvl w:val="2"/>
          <w:numId w:val="4"/>
        </w:numPr>
        <w:ind w:left="-3" w:firstLine="643"/>
      </w:pPr>
      <w:bookmarkStart w:id="162" w:name="_Toc8420"/>
      <w:bookmarkStart w:id="163" w:name="_Toc114128718"/>
      <w:r>
        <w:rPr>
          <w:rFonts w:hint="eastAsia"/>
        </w:rPr>
        <w:t>不断强化设施装备建设</w:t>
      </w:r>
      <w:bookmarkEnd w:id="162"/>
      <w:bookmarkEnd w:id="163"/>
    </w:p>
    <w:p>
      <w:pPr>
        <w:ind w:firstLine="643"/>
      </w:pPr>
      <w:r>
        <w:rPr>
          <w:rFonts w:hint="eastAsia"/>
          <w:b/>
          <w:bCs/>
        </w:rPr>
        <w:t>一是实施宜机化改造项目。</w:t>
      </w:r>
      <w:r>
        <w:rPr>
          <w:rFonts w:hint="eastAsia"/>
        </w:rPr>
        <w:t>继续实施产业宜机化基地改造，在千佛镇瓦子坝村和宝五镇五龙场村，采用“谁用谁建、先建后补”的模式，在确保土地属性不变的前提下，对农田地开展小并大、短并长、陡变缓、弯变直改造，修建农机通行道路、进出坡道等。结合良种、良法、良制、良田、良机五种农艺农机融合发展，配套完善生态防护、排灌设施、土壤改良、地力提升等设施建设，有效降低生产成本，提高机械化应用水平，推进丘陵山地粮油产业规模化、标准化、机械化发展。</w:t>
      </w:r>
    </w:p>
    <w:p>
      <w:pPr>
        <w:ind w:firstLine="643"/>
      </w:pPr>
      <w:r>
        <w:rPr>
          <w:rFonts w:hint="eastAsia"/>
          <w:b/>
          <w:bCs/>
        </w:rPr>
        <w:t>二是探索推广数字农业。</w:t>
      </w:r>
      <w:r>
        <w:rPr>
          <w:rFonts w:hint="eastAsia"/>
        </w:rPr>
        <w:t>在千佛镇瓦子坝村实施智慧农业科技示范项目，建设气候、土壤、病虫害自动化监测预警平台，搭建500亩智能化生产管理基地，应用智能水肥管理系统、无人机植保、智能农机开展水稻种植作业，探索智慧农业发展模式。在宝五镇曙光村建设农业数字化信息服务平台，涵盖粮油产业农情信息采集及实时监控，展示农业基地、商品化处理、仓储物流分布布局</w:t>
      </w:r>
      <w:r>
        <w:rPr>
          <w:rFonts w:hint="eastAsia" w:ascii="仿宋_GB2312" w:hAnsi="仿宋_GB2312" w:cs="仿宋_GB2312"/>
        </w:rPr>
        <w:t>。</w:t>
      </w:r>
    </w:p>
    <w:p>
      <w:pPr>
        <w:ind w:firstLine="643"/>
      </w:pPr>
      <w:r>
        <w:rPr>
          <w:rFonts w:hint="eastAsia"/>
          <w:b/>
          <w:bCs/>
        </w:rPr>
        <w:t>三是强化农机装备运用。</w:t>
      </w:r>
      <w:r>
        <w:rPr>
          <w:rFonts w:hint="eastAsia"/>
        </w:rPr>
        <w:t>通过设备引进、设备研发与改造，配置工厂育苗、机械移栽、无人机授粉与植保、机械化收割、工厂化烘干等现代农业机械装备，推广丘区粮油作物全程机械化设备应用，提升粮油产业机械化应用水平，全面提高农业生产效率和综合效益，助推产业高质量发展。到2</w:t>
      </w:r>
      <w:r>
        <w:t>025</w:t>
      </w:r>
      <w:r>
        <w:rPr>
          <w:rFonts w:hint="eastAsia"/>
        </w:rPr>
        <w:t>年，确保粮油耕种收机械化率高出全省平均水平1</w:t>
      </w:r>
      <w:r>
        <w:t>5</w:t>
      </w:r>
      <w:r>
        <w:rPr>
          <w:rFonts w:hint="eastAsia"/>
        </w:rPr>
        <w:t>%以上，其中，水稻生产综合机械化率达9</w:t>
      </w:r>
      <w:r>
        <w:t>0</w:t>
      </w:r>
      <w:r>
        <w:rPr>
          <w:rFonts w:hint="eastAsia"/>
        </w:rPr>
        <w:t>%以上、油菜生产综合机械化率达80%以上、玉米生产综合机械化率达48%以上，建立粮油产业“全程机械化+综合农事”服务中心1个。</w:t>
      </w:r>
    </w:p>
    <w:p>
      <w:pPr>
        <w:pStyle w:val="4"/>
        <w:numPr>
          <w:ilvl w:val="2"/>
          <w:numId w:val="4"/>
        </w:numPr>
        <w:ind w:left="-3" w:firstLine="643"/>
      </w:pPr>
      <w:bookmarkStart w:id="164" w:name="_Toc114128719"/>
      <w:bookmarkStart w:id="165" w:name="_Toc16181"/>
      <w:r>
        <w:rPr>
          <w:rFonts w:hint="eastAsia"/>
        </w:rPr>
        <w:t>着力构建粮油全产业链</w:t>
      </w:r>
      <w:bookmarkEnd w:id="164"/>
      <w:bookmarkEnd w:id="165"/>
    </w:p>
    <w:p>
      <w:pPr>
        <w:ind w:firstLine="643"/>
      </w:pPr>
      <w:r>
        <w:rPr>
          <w:rFonts w:hint="eastAsia"/>
          <w:b/>
          <w:bCs/>
        </w:rPr>
        <w:t>一是壮大粮油精深加工。</w:t>
      </w:r>
      <w:r>
        <w:rPr>
          <w:rFonts w:hint="eastAsia"/>
        </w:rPr>
        <w:t>将发展农产品精深加工作为带领粮油产业提质增效的核心，通过构建“园区精深加工+集中初加工+基地商品化加工”三级加工体系。鼓励林翔米业、奇能米业、何郎粮油、千佛酒厂等加工企业在原有基础上进行生产线升级改造、扩能增效，开发功能型粮油加工产品，着力优化产品工艺、提升产品品质、丰富产品种类，引导开发浓香型菜籽油、功能性稻米、粮油发酵产品等精深加工产品。到2</w:t>
      </w:r>
      <w:r>
        <w:t>025</w:t>
      </w:r>
      <w:r>
        <w:rPr>
          <w:rFonts w:hint="eastAsia"/>
        </w:rPr>
        <w:t>年，在千佛镇建设农产品精深加工中心1个，引进和培育知名粮油精深加工企业3家。</w:t>
      </w:r>
    </w:p>
    <w:p>
      <w:pPr>
        <w:ind w:firstLine="643"/>
      </w:pPr>
      <w:r>
        <w:rPr>
          <w:rFonts w:hint="eastAsia"/>
          <w:b/>
          <w:bCs/>
        </w:rPr>
        <w:t>二是支持品牌创建培育。</w:t>
      </w:r>
      <w:r>
        <w:rPr>
          <w:rFonts w:hint="eastAsia"/>
        </w:rPr>
        <w:t>坚持品牌质量管控和市场营销同步发展，通过实施“区域公用品牌+企业自主品牌”共建模式，全面实施优质粮油品牌“孵化、提升、创新、整合”工程，合力打造“井研稻米</w:t>
      </w:r>
      <w:r>
        <w:rPr>
          <w:rFonts w:hint="eastAsia"/>
          <w:lang w:eastAsia="zh-CN"/>
        </w:rPr>
        <w:t>”“</w:t>
      </w:r>
      <w:r>
        <w:rPr>
          <w:rFonts w:hint="eastAsia"/>
        </w:rPr>
        <w:t>井研粮油</w:t>
      </w:r>
      <w:r>
        <w:rPr>
          <w:rFonts w:hint="eastAsia"/>
          <w:lang w:eastAsia="zh-CN"/>
        </w:rPr>
        <w:t>”“</w:t>
      </w:r>
      <w:r>
        <w:rPr>
          <w:rFonts w:hint="eastAsia"/>
        </w:rPr>
        <w:t>井研菜油”“井研贡米”等区域公用品牌。继续扶持培育“林翔</w:t>
      </w:r>
      <w:r>
        <w:rPr>
          <w:rFonts w:hint="eastAsia"/>
          <w:lang w:eastAsia="zh-CN"/>
        </w:rPr>
        <w:t>”“</w:t>
      </w:r>
      <w:r>
        <w:rPr>
          <w:rFonts w:hint="eastAsia"/>
        </w:rPr>
        <w:t>林瑞</w:t>
      </w:r>
      <w:r>
        <w:rPr>
          <w:rFonts w:hint="eastAsia"/>
          <w:lang w:eastAsia="zh-CN"/>
        </w:rPr>
        <w:t>”“</w:t>
      </w:r>
      <w:r>
        <w:rPr>
          <w:rFonts w:hint="eastAsia"/>
        </w:rPr>
        <w:t>奇能</w:t>
      </w:r>
      <w:r>
        <w:rPr>
          <w:rFonts w:hint="eastAsia"/>
          <w:lang w:eastAsia="zh-CN"/>
        </w:rPr>
        <w:t>”“</w:t>
      </w:r>
      <w:r>
        <w:rPr>
          <w:rFonts w:hint="eastAsia"/>
        </w:rPr>
        <w:t>奇嘉</w:t>
      </w:r>
      <w:r>
        <w:rPr>
          <w:rFonts w:hint="eastAsia"/>
          <w:lang w:eastAsia="zh-CN"/>
        </w:rPr>
        <w:t>”“</w:t>
      </w:r>
      <w:r>
        <w:rPr>
          <w:rFonts w:hint="eastAsia"/>
        </w:rPr>
        <w:t>翰乡”等粮油加工品牌，加快扶持培育一批“大而优</w:t>
      </w:r>
      <w:r>
        <w:rPr>
          <w:rFonts w:hint="eastAsia"/>
          <w:lang w:eastAsia="zh-CN"/>
        </w:rPr>
        <w:t>”“</w:t>
      </w:r>
      <w:r>
        <w:rPr>
          <w:rFonts w:hint="eastAsia"/>
        </w:rPr>
        <w:t>小而美</w:t>
      </w:r>
      <w:r>
        <w:rPr>
          <w:rFonts w:hint="eastAsia"/>
          <w:lang w:eastAsia="zh-CN"/>
        </w:rPr>
        <w:t>”“</w:t>
      </w:r>
      <w:r>
        <w:rPr>
          <w:rFonts w:hint="eastAsia"/>
        </w:rPr>
        <w:t>特而精”有影响力的粮油产品品牌，大力扶持和引导新型经营主体开展“三品一标”认证，提升品牌核心竞争力。到2</w:t>
      </w:r>
      <w:r>
        <w:t>025</w:t>
      </w:r>
      <w:r>
        <w:rPr>
          <w:rFonts w:hint="eastAsia"/>
        </w:rPr>
        <w:t>年，打造井研粮油产业区域公用品牌1个、四川省粮油产品知名产品2个。</w:t>
      </w:r>
    </w:p>
    <w:p>
      <w:pPr>
        <w:ind w:firstLine="643"/>
      </w:pPr>
      <w:r>
        <w:rPr>
          <w:rFonts w:hint="eastAsia"/>
          <w:b/>
          <w:bCs/>
        </w:rPr>
        <w:t>三是推动农旅深度融合。</w:t>
      </w:r>
      <w:r>
        <w:rPr>
          <w:rFonts w:hint="eastAsia"/>
        </w:rPr>
        <w:t>坚持</w:t>
      </w:r>
      <w:r>
        <w:rPr>
          <w:rFonts w:hint="eastAsia"/>
          <w:lang w:eastAsia="zh-CN"/>
        </w:rPr>
        <w:t>一、二、三产业</w:t>
      </w:r>
      <w:r>
        <w:rPr>
          <w:rFonts w:hint="eastAsia"/>
        </w:rPr>
        <w:t>融合创新发展，深度挖掘和拓展产业链休闲观光、娱乐体验、教育培训、养生养老等功能。依托现有产业基地、研溪湿地、雷畅故居、雷家祠、千佛岩、三江白塔等人文自然景观，深度拓展产业链条，以农耕文化为魂、以田园风光为韵、以美丽乡村为形、以绿色农业为基、以创新创意为径，发展农旅深度融合业态，不断丰富乡村产业业态。</w:t>
      </w:r>
    </w:p>
    <w:p>
      <w:pPr>
        <w:pStyle w:val="4"/>
        <w:numPr>
          <w:ilvl w:val="2"/>
          <w:numId w:val="4"/>
        </w:numPr>
        <w:ind w:left="-3" w:firstLine="643"/>
      </w:pPr>
      <w:bookmarkStart w:id="166" w:name="_Toc114128720"/>
      <w:bookmarkStart w:id="167" w:name="_Toc32277"/>
      <w:r>
        <w:rPr>
          <w:rFonts w:hint="eastAsia"/>
        </w:rPr>
        <w:t>建立健全产业发展保障</w:t>
      </w:r>
      <w:bookmarkEnd w:id="166"/>
      <w:bookmarkEnd w:id="167"/>
    </w:p>
    <w:p>
      <w:pPr>
        <w:ind w:firstLine="643"/>
      </w:pPr>
      <w:r>
        <w:rPr>
          <w:rFonts w:hint="eastAsia"/>
          <w:b/>
          <w:bCs/>
        </w:rPr>
        <w:t>一是配套烘干冷链物流体系。</w:t>
      </w:r>
      <w:r>
        <w:rPr>
          <w:rFonts w:hint="eastAsia"/>
        </w:rPr>
        <w:t>围绕产业发展需求，构建“区域物流集散中心+产业基地节点”的两级仓储物流网络，提升粮油产品集散、仓储、物流能力。支持新型经营主体在产业基地就近建设冷藏库、通风库等仓储设施，重点镇建立区域性农副产品交易集散中心，延长粮油产品及经济作物货架期和销售半径，提升产品附加值。到2</w:t>
      </w:r>
      <w:r>
        <w:t>025</w:t>
      </w:r>
      <w:r>
        <w:rPr>
          <w:rFonts w:hint="eastAsia"/>
        </w:rPr>
        <w:t>年，推动全县粮油作物烘干率达到4</w:t>
      </w:r>
      <w:r>
        <w:t>0</w:t>
      </w:r>
      <w:r>
        <w:rPr>
          <w:rFonts w:hint="eastAsia"/>
        </w:rPr>
        <w:t>%以上，建设冷链仓储物流中心1个、粮食烘干中心3个。</w:t>
      </w:r>
    </w:p>
    <w:p>
      <w:pPr>
        <w:ind w:firstLine="643"/>
      </w:pPr>
      <w:r>
        <w:rPr>
          <w:rFonts w:hint="eastAsia"/>
          <w:b/>
          <w:bCs/>
        </w:rPr>
        <w:t>二是壮大农业社会化服务。</w:t>
      </w:r>
      <w:r>
        <w:rPr>
          <w:rFonts w:hint="eastAsia"/>
        </w:rPr>
        <w:t>围绕水稻、大豆、玉米、油菜等粮油产业，强化农业产前、产中、产后服务。坚持公益性和社会性相结合、专业性和综合性</w:t>
      </w:r>
      <w:r>
        <w:rPr>
          <w:rFonts w:hint="eastAsia" w:ascii="仿宋_GB2312" w:hAnsi="仿宋_GB2312" w:cs="仿宋_GB2312"/>
        </w:rPr>
        <w:t>相协调</w:t>
      </w:r>
      <w:r>
        <w:rPr>
          <w:rFonts w:hint="eastAsia"/>
        </w:rPr>
        <w:t>，不断健全农业社会化服务体系，培育多元化农业服务组织，</w:t>
      </w:r>
      <w:r>
        <w:rPr>
          <w:rFonts w:hint="eastAsia"/>
          <w:lang w:eastAsia="zh-CN"/>
        </w:rPr>
        <w:t>创新</w:t>
      </w:r>
      <w:r>
        <w:rPr>
          <w:rFonts w:hint="eastAsia"/>
        </w:rPr>
        <w:t>农业社会化服务方式，着力构建覆盖全程、综合配</w:t>
      </w:r>
      <w:r>
        <w:rPr>
          <w:rFonts w:hint="eastAsia" w:ascii="仿宋_GB2312" w:hAnsi="仿宋_GB2312" w:cs="仿宋_GB2312"/>
        </w:rPr>
        <w:t>套、便捷高效的农业社会化服务体系</w:t>
      </w:r>
      <w:r>
        <w:rPr>
          <w:rFonts w:hint="eastAsia"/>
        </w:rPr>
        <w:t>，提高农业公共服务能力，促进传统农业转型升级，为建设现代农业园区提供有力服务保障。到2</w:t>
      </w:r>
      <w:r>
        <w:t>025</w:t>
      </w:r>
      <w:r>
        <w:rPr>
          <w:rFonts w:hint="eastAsia"/>
        </w:rPr>
        <w:t>年，完善粮油产业“两主体·四中心”</w:t>
      </w:r>
      <w:r>
        <w:rPr>
          <w:rStyle w:val="42"/>
        </w:rPr>
        <w:footnoteReference w:id="8"/>
      </w:r>
      <w:r>
        <w:rPr>
          <w:rFonts w:hint="eastAsia"/>
        </w:rPr>
        <w:t>建设，推动社会化服务覆盖面达8</w:t>
      </w:r>
      <w:r>
        <w:t>0</w:t>
      </w:r>
      <w:r>
        <w:rPr>
          <w:rFonts w:hint="eastAsia"/>
        </w:rPr>
        <w:t>%以上。</w:t>
      </w:r>
    </w:p>
    <w:p>
      <w:pPr>
        <w:ind w:firstLine="643"/>
      </w:pPr>
      <w:r>
        <w:rPr>
          <w:rFonts w:hint="eastAsia"/>
          <w:b/>
          <w:bCs/>
        </w:rPr>
        <w:t>三是完善相关政策保障。</w:t>
      </w:r>
      <w:r>
        <w:rPr>
          <w:rFonts w:hint="eastAsia"/>
        </w:rPr>
        <w:t>坚持问题导向，以“粮十条”为核心，细化各项补贴政策，充分调动种粮积极性。做细精准化确定补贴对象、规模化发展粮油产销、兜底化落实金融保障，调动种粮主体积极性；做实创新驱动、服务撬动、扶持带动，助推粮油生产社会化；做优补贴激励促共治、严格管护促整治、逗硬处罚促惩治，促进耕地管理制度化，形成“政府补、集体引、社会投、农民种”的良性循环，为全县粮油生产“稳面积、增产量、提质量”提供有力保障。</w:t>
      </w:r>
    </w:p>
    <w:p>
      <w:pPr>
        <w:pStyle w:val="4"/>
        <w:numPr>
          <w:ilvl w:val="2"/>
          <w:numId w:val="4"/>
        </w:numPr>
        <w:ind w:left="-3" w:firstLine="643"/>
      </w:pPr>
      <w:bookmarkStart w:id="168" w:name="_Toc114128721"/>
      <w:bookmarkStart w:id="169" w:name="_Toc5354"/>
      <w:r>
        <w:rPr>
          <w:rFonts w:hint="eastAsia"/>
        </w:rPr>
        <w:t>全力建设</w:t>
      </w:r>
      <w:bookmarkEnd w:id="168"/>
      <w:r>
        <w:rPr>
          <w:rFonts w:hint="eastAsia"/>
        </w:rPr>
        <w:t>百里粮油走廊园区</w:t>
      </w:r>
      <w:bookmarkEnd w:id="169"/>
    </w:p>
    <w:p>
      <w:pPr>
        <w:ind w:firstLine="643"/>
      </w:pPr>
      <w:r>
        <w:rPr>
          <w:rFonts w:hint="eastAsia"/>
          <w:b/>
          <w:bCs/>
        </w:rPr>
        <w:t>一是夯实现代农业三大体系。</w:t>
      </w:r>
      <w:r>
        <w:rPr>
          <w:rFonts w:hint="eastAsia"/>
        </w:rPr>
        <w:t>以优质粮油为主导产业，优化产业结构和资源配置，壮大产业规模，提升产业竞争力，构建全产业链融合发展的现代农业产业体系；以农业科技和丘区农机装备创新应用为突破口，改变传统生产方式，提高产业科技贡献率，构建“五良融合”的现代农业生产体系；以经营主体培育壮大为重点，集聚发展要素，健全产业保障服务功能，构建特色鲜明、集群效益显著、组织管理有序、带动影响力强的现代农业经营体系。立足乐山、面向川渝、辐射全国，通过3—5年建设，力争将园区打造成为“川渝粮油全产业融合发展示范区</w:t>
      </w:r>
      <w:r>
        <w:rPr>
          <w:rFonts w:hint="eastAsia"/>
          <w:lang w:eastAsia="zh-CN"/>
        </w:rPr>
        <w:t>”“</w:t>
      </w:r>
      <w:r>
        <w:rPr>
          <w:rFonts w:hint="eastAsia"/>
        </w:rPr>
        <w:t>丘区粮油机械化创新应用先行区”。</w:t>
      </w:r>
    </w:p>
    <w:p>
      <w:pPr>
        <w:ind w:firstLine="643"/>
      </w:pPr>
      <w:r>
        <w:rPr>
          <w:rFonts w:hint="eastAsia"/>
          <w:b/>
          <w:bCs/>
        </w:rPr>
        <w:t>二是促进质量效益双提升。</w:t>
      </w:r>
      <w:r>
        <w:rPr>
          <w:rFonts w:hint="eastAsia"/>
        </w:rPr>
        <w:t>按照“科技引领、产业融合、效益优先、利益共享、生态绿色”的建园理念，立足丘区粮油产业特色，壮大产业规模，保障粮食安全供应，优化现代农业“三大体系”</w:t>
      </w:r>
      <w:r>
        <w:rPr>
          <w:rStyle w:val="42"/>
        </w:rPr>
        <w:footnoteReference w:id="9"/>
      </w:r>
      <w:r>
        <w:rPr>
          <w:rFonts w:hint="eastAsia"/>
        </w:rPr>
        <w:t>建设，推动园区高质量发展，构建“产业兴、田园美、农民富、生态优”的川西南丘区乡村画卷，为创建国家级乡村振兴示范区、农业绿色发展先行区奠定良好产业基础。</w:t>
      </w:r>
    </w:p>
    <w:p>
      <w:pPr>
        <w:pStyle w:val="3"/>
      </w:pPr>
      <w:bookmarkStart w:id="170" w:name="_Toc13116"/>
      <w:r>
        <w:rPr>
          <w:rFonts w:hint="eastAsia"/>
        </w:rPr>
        <w:t>打造柑橘产业新高地</w:t>
      </w:r>
      <w:bookmarkEnd w:id="170"/>
    </w:p>
    <w:p>
      <w:pPr>
        <w:ind w:firstLine="640"/>
      </w:pPr>
      <w:r>
        <w:rPr>
          <w:rFonts w:hint="eastAsia"/>
        </w:rPr>
        <w:t>充分发挥晚熟柑橘栽培最适宜区域的优势，以柑橘百里产业环线为核心，持续擦亮“井研柑橘”区域公用品牌金字招牌，促进全县农业转型升级。</w:t>
      </w:r>
    </w:p>
    <w:p>
      <w:pPr>
        <w:pStyle w:val="4"/>
        <w:numPr>
          <w:ilvl w:val="2"/>
          <w:numId w:val="4"/>
        </w:numPr>
        <w:ind w:left="-3" w:firstLine="643"/>
      </w:pPr>
      <w:bookmarkStart w:id="171" w:name="_Toc22599"/>
      <w:bookmarkStart w:id="172" w:name="_Toc114128723"/>
      <w:r>
        <w:rPr>
          <w:rFonts w:hint="eastAsia"/>
        </w:rPr>
        <w:t>抢抓品种改良推广</w:t>
      </w:r>
      <w:bookmarkEnd w:id="171"/>
      <w:bookmarkEnd w:id="172"/>
    </w:p>
    <w:p>
      <w:pPr>
        <w:ind w:firstLine="643"/>
      </w:pPr>
      <w:r>
        <w:rPr>
          <w:rFonts w:hint="eastAsia"/>
          <w:b/>
          <w:bCs/>
        </w:rPr>
        <w:t>一是健全良繁推一体化体系。</w:t>
      </w:r>
      <w:r>
        <w:rPr>
          <w:rFonts w:hint="eastAsia"/>
        </w:rPr>
        <w:t>充分发挥乐山市现代种业共享研发中心作用，推动种业建设提升，形成“育、繁、推”一体化，“产、加、销”一条龙种业生产体系。聚力建设现代种业“三园”，建成品比试验园、柑橘新品种示范园和多个高标准柑橘示范园。着力构建砧木育种圃、苗木繁育圃、采穗圃、母本园、砧木采本园、新品种展示园的“三园三圃”柑橘无病毒良种苗木繁育基地体系，不断丰富柑橘品类、延长上市时间、提升产品价值、注入科技基因。</w:t>
      </w:r>
    </w:p>
    <w:p>
      <w:pPr>
        <w:ind w:firstLine="643"/>
      </w:pPr>
      <w:r>
        <w:rPr>
          <w:rFonts w:hint="eastAsia"/>
          <w:b/>
          <w:bCs/>
        </w:rPr>
        <w:t>二是强化品种引育筛选。</w:t>
      </w:r>
      <w:r>
        <w:rPr>
          <w:rFonts w:hint="eastAsia"/>
        </w:rPr>
        <w:t>依托区域良繁中心，开展选种、引种、育苗，加大新品种研发推广力度，年提供脱毒种苗25万株。</w:t>
      </w:r>
      <w:r>
        <w:rPr>
          <w:rFonts w:hint="eastAsia" w:cs="Times New Roman"/>
        </w:rPr>
        <w:t>与中国农业科学院柑橘研究所开展深度合作，</w:t>
      </w:r>
      <w:r>
        <w:rPr>
          <w:rFonts w:cs="Times New Roman"/>
        </w:rPr>
        <w:t>签订《技术服务合作协议》，建立专家工作站，为新品种的引进、种植提供技术支持，</w:t>
      </w:r>
      <w:r>
        <w:rPr>
          <w:rFonts w:hint="eastAsia" w:cs="Times New Roman"/>
        </w:rPr>
        <w:t>配套建设中心实验室，对良繁中心培育新品种</w:t>
      </w:r>
      <w:r>
        <w:rPr>
          <w:rFonts w:hint="eastAsia" w:ascii="仿宋_GB2312" w:cs="Times New Roman"/>
          <w:szCs w:val="32"/>
        </w:rPr>
        <w:t>进行定性、定量检测。计划</w:t>
      </w:r>
      <w:r>
        <w:rPr>
          <w:rFonts w:cs="Times New Roman"/>
        </w:rPr>
        <w:t>每年引进3</w:t>
      </w:r>
      <w:r>
        <w:rPr>
          <w:rFonts w:hint="eastAsia" w:cs="Times New Roman"/>
        </w:rPr>
        <w:t>—</w:t>
      </w:r>
      <w:r>
        <w:rPr>
          <w:rFonts w:cs="Times New Roman"/>
        </w:rPr>
        <w:t>5个新品种进行驯化、选育，逐步开展柑橘自主研发、推广，将良繁中心打造成为省级种业</w:t>
      </w:r>
      <w:r>
        <w:rPr>
          <w:rFonts w:hint="eastAsia" w:cs="Times New Roman"/>
        </w:rPr>
        <w:t>新</w:t>
      </w:r>
      <w:r>
        <w:rPr>
          <w:rFonts w:cs="Times New Roman"/>
        </w:rPr>
        <w:t>高地。</w:t>
      </w:r>
    </w:p>
    <w:p>
      <w:pPr>
        <w:ind w:firstLine="643"/>
      </w:pPr>
      <w:r>
        <w:rPr>
          <w:rFonts w:hint="eastAsia"/>
          <w:b/>
          <w:bCs/>
        </w:rPr>
        <w:t>三是加快新品种示范推广。</w:t>
      </w:r>
      <w:r>
        <w:rPr>
          <w:rFonts w:cs="Times New Roman"/>
        </w:rPr>
        <w:t>在全县主推2</w:t>
      </w:r>
      <w:r>
        <w:rPr>
          <w:rFonts w:hint="eastAsia" w:cs="Times New Roman"/>
        </w:rPr>
        <w:t>—</w:t>
      </w:r>
      <w:r>
        <w:rPr>
          <w:rFonts w:cs="Times New Roman"/>
        </w:rPr>
        <w:t>3个</w:t>
      </w:r>
      <w:r>
        <w:rPr>
          <w:rFonts w:hint="eastAsia" w:cs="Times New Roman"/>
        </w:rPr>
        <w:t>柑橘</w:t>
      </w:r>
      <w:r>
        <w:rPr>
          <w:rFonts w:cs="Times New Roman"/>
        </w:rPr>
        <w:t>品种，稳定丰产柑橘总量，逐年进行品改。</w:t>
      </w:r>
      <w:r>
        <w:rPr>
          <w:rFonts w:hint="eastAsia" w:cs="Times New Roman"/>
        </w:rPr>
        <w:t>对</w:t>
      </w:r>
      <w:r>
        <w:rPr>
          <w:rFonts w:cs="Times New Roman"/>
        </w:rPr>
        <w:t>丰产期的爱媛、春见等品种以提升品质为主，</w:t>
      </w:r>
      <w:r>
        <w:rPr>
          <w:rFonts w:hint="eastAsia" w:cs="Times New Roman"/>
        </w:rPr>
        <w:t>对表现不好的品种</w:t>
      </w:r>
      <w:r>
        <w:rPr>
          <w:rFonts w:cs="Times New Roman"/>
        </w:rPr>
        <w:t>每年以20%</w:t>
      </w:r>
      <w:r>
        <w:rPr>
          <w:rFonts w:hint="eastAsia" w:cs="Times New Roman"/>
        </w:rPr>
        <w:t>—</w:t>
      </w:r>
      <w:r>
        <w:rPr>
          <w:rFonts w:cs="Times New Roman"/>
        </w:rPr>
        <w:t>30%的</w:t>
      </w:r>
      <w:r>
        <w:rPr>
          <w:rFonts w:hint="eastAsia" w:cs="Times New Roman"/>
        </w:rPr>
        <w:t>速度</w:t>
      </w:r>
      <w:r>
        <w:rPr>
          <w:rFonts w:cs="Times New Roman"/>
        </w:rPr>
        <w:t>进行</w:t>
      </w:r>
      <w:r>
        <w:rPr>
          <w:rFonts w:hint="eastAsia" w:cs="Times New Roman"/>
        </w:rPr>
        <w:t>改良</w:t>
      </w:r>
      <w:r>
        <w:rPr>
          <w:rFonts w:cs="Times New Roman"/>
        </w:rPr>
        <w:t>，既保障柑橘产量和业主收入，又逐步进行品种迭代。</w:t>
      </w:r>
    </w:p>
    <w:p>
      <w:pPr>
        <w:pStyle w:val="4"/>
        <w:numPr>
          <w:ilvl w:val="2"/>
          <w:numId w:val="4"/>
        </w:numPr>
        <w:ind w:left="-3" w:firstLine="643"/>
      </w:pPr>
      <w:bookmarkStart w:id="173" w:name="_Toc12241"/>
      <w:bookmarkStart w:id="174" w:name="_Toc114128724"/>
      <w:r>
        <w:rPr>
          <w:rFonts w:hint="eastAsia"/>
        </w:rPr>
        <w:t>夯实柑橘品质提升</w:t>
      </w:r>
      <w:bookmarkEnd w:id="173"/>
      <w:bookmarkEnd w:id="174"/>
    </w:p>
    <w:p>
      <w:pPr>
        <w:ind w:firstLine="643"/>
        <w:rPr>
          <w:rFonts w:cs="Times New Roman"/>
        </w:rPr>
      </w:pPr>
      <w:r>
        <w:rPr>
          <w:rFonts w:hint="eastAsia" w:cs="Times New Roman"/>
          <w:b/>
          <w:bCs/>
        </w:rPr>
        <w:t>一是推动标准化生产。</w:t>
      </w:r>
      <w:r>
        <w:rPr>
          <w:rFonts w:hint="eastAsia" w:cs="Times New Roman"/>
        </w:rPr>
        <w:t>制定并执行标准规程，根据国家现行柑橘标准生产技术规程，结合全县实际，探索制定《井研县柑橘投入品使用管理规范》《井研县柑橘社会化服务组织管理规范》《井研县柑橘产品质量分级标准》《井研县柑橘标准化种植管理技术规程》等团体标准，制定和完善柑橘基地建设、良种繁育、生产技术、产品品质、社会服务等方面的标准规程，引导生产经营主体严格执行，全面提升全县柑橘产业标准化程度。强化柑橘生产技术推广与高新设备应用，引导柑橘产业机械化、智能化发展，提升柑橘生产标准化水平。</w:t>
      </w:r>
    </w:p>
    <w:p>
      <w:pPr>
        <w:ind w:firstLine="643"/>
        <w:rPr>
          <w:rFonts w:cs="Times New Roman"/>
        </w:rPr>
      </w:pPr>
      <w:r>
        <w:rPr>
          <w:rFonts w:hint="eastAsia" w:cs="Times New Roman"/>
          <w:b/>
          <w:bCs/>
        </w:rPr>
        <w:t>二是强化投入品监管。</w:t>
      </w:r>
      <w:r>
        <w:rPr>
          <w:rFonts w:hint="eastAsia" w:cs="Times New Roman"/>
        </w:rPr>
        <w:t>落实投入品管理主体责任，引导企业、合作社、家庭农场设置1至2名内部质量控制员，负责</w:t>
      </w:r>
      <w:r>
        <w:rPr>
          <w:rFonts w:hint="eastAsia"/>
        </w:rPr>
        <w:t>生产过程的质量管理、</w:t>
      </w:r>
      <w:r>
        <w:rPr>
          <w:rFonts w:hint="eastAsia" w:cs="Times New Roman"/>
        </w:rPr>
        <w:t>投入品的采购、接收、贮存、检验的管理，管理人员上岗前应经过农业职业经理人培训，掌握农药、化肥使用及柑橘生产等相应技术；引导主体建立投入品采购、入库查验、贮存、使用等管理制度和档案制度。严惩滥用高毒高残留农药、违禁生长调节剂等农业化学投入品的不良现象。各级监管部门加强对农资产品的监督，对使用违禁农资的个人及组织一律严格执法，绝不姑息，实现从基地到市场的质量安全监控，确保产品品质一流、食用安全，最大限度地体现优质优价。</w:t>
      </w:r>
    </w:p>
    <w:p>
      <w:pPr>
        <w:ind w:firstLine="643"/>
        <w:rPr>
          <w:rFonts w:cs="Times New Roman"/>
        </w:rPr>
      </w:pPr>
      <w:r>
        <w:rPr>
          <w:rFonts w:hint="eastAsia" w:cs="Times New Roman"/>
          <w:b/>
          <w:bCs/>
        </w:rPr>
        <w:t>三是严格商品化处理。</w:t>
      </w:r>
      <w:r>
        <w:rPr>
          <w:rFonts w:hint="eastAsia" w:cs="Times New Roman"/>
        </w:rPr>
        <w:t>规范商品化处理流程，对果品进行分选、分级、预冷、包装等处理，</w:t>
      </w:r>
      <w:r>
        <w:rPr>
          <w:rFonts w:hint="eastAsia"/>
        </w:rPr>
        <w:t>在现有柑橘商品化处理能力的基础上，增设多功能柑橘智能分选线，融合重量、果径、品相等定量分析，无损检测内部品质，以最优的内在品质和外观形态，满足消费者需求，提升果品价值，增强市场竞争力；依托井研区域型果蔬集散中心，满足井研柑橘在分选、检测、贮藏保鲜、加工、包装、冷链等方面的功能需求，提高果品冷链运输率。</w:t>
      </w:r>
    </w:p>
    <w:p>
      <w:pPr>
        <w:pStyle w:val="4"/>
        <w:numPr>
          <w:ilvl w:val="2"/>
          <w:numId w:val="4"/>
        </w:numPr>
        <w:ind w:left="-3" w:firstLine="643"/>
      </w:pPr>
      <w:bookmarkStart w:id="175" w:name="_Toc114128725"/>
      <w:bookmarkStart w:id="176" w:name="_Toc16677"/>
      <w:r>
        <w:rPr>
          <w:rFonts w:hint="eastAsia"/>
        </w:rPr>
        <w:t>强化产业转型支撑</w:t>
      </w:r>
      <w:bookmarkEnd w:id="175"/>
      <w:bookmarkEnd w:id="176"/>
    </w:p>
    <w:p>
      <w:pPr>
        <w:ind w:firstLine="643"/>
      </w:pPr>
      <w:r>
        <w:rPr>
          <w:rFonts w:hint="eastAsia"/>
          <w:b/>
          <w:bCs/>
        </w:rPr>
        <w:t>一是加速高新技术运用。</w:t>
      </w:r>
      <w:r>
        <w:rPr>
          <w:rFonts w:hint="eastAsia"/>
        </w:rPr>
        <w:t>以建设四川省晚熟柑橘优势特色产业集群项目为契机，进一步加强与中柑所、省农科院等院校的合作，为柑橘产业育苗研发、种植管理、采后处理、就地加工等方面提供指导和高新技术支持。进一步提升机械化水平，推广建设高效节水灌溉系统、果园多功能系统、果园山地轨道运输系统、滴灌喷灌和水肥一体化设施。积极探索建园宜机化、生产数字化、管理智能化、服务在线化的智慧果园模式，建立集生产、加工、市场、服务等全产业链大数据的智慧果业系统，建设一批“智慧果业”示范基地。着手打造移动信息化采集平台，加强与国内外智慧农业相关组织和机构交流合作，形成柑橘单品大数据中心，并实现大数据中心—人工智能决策—智能农机作业“三位一体”联动智慧柑橘园生产，基本形成无人机喷洒农药，水、肥、药一体化管控。</w:t>
      </w:r>
    </w:p>
    <w:p>
      <w:pPr>
        <w:ind w:firstLine="643"/>
        <w:rPr>
          <w:highlight w:val="yellow"/>
        </w:rPr>
      </w:pPr>
      <w:r>
        <w:rPr>
          <w:rFonts w:hint="eastAsia"/>
          <w:b/>
          <w:bCs/>
        </w:rPr>
        <w:t>二是狠抓产业人才培育。</w:t>
      </w:r>
      <w:r>
        <w:rPr>
          <w:rFonts w:hint="eastAsia"/>
        </w:rPr>
        <w:t>结合高质素农民培训，围绕柑橘产业，因地制宜开展生产管理培训，提升柑橘各品种种植水平和产业发展能力。紧跟柑橘产业换</w:t>
      </w:r>
      <w:r>
        <w:rPr>
          <w:rFonts w:hint="eastAsia"/>
          <w:lang w:eastAsia="zh-CN"/>
        </w:rPr>
        <w:t>档</w:t>
      </w:r>
      <w:r>
        <w:rPr>
          <w:rFonts w:hint="eastAsia"/>
        </w:rPr>
        <w:t>提质方向，在各类柑橘专题培训中，开设柑橘产品品种改良、品质提升，农产品产地仓储保鲜实用技术和冷链物流运营管理等相关课程，强化产业上下游人才支撑。延长柑橘产业人才链，围绕柑橘产业全产业链发展，加快培育二三产业发展人才，提升职业经理人、产业发展带头人、电商带头人等专业领域人才规模。探索建立柑橘产业农民职称制度，依托各镇（街道）技术团队开展职业培训，并进行职称考核认定，年均培育柑橘产业职业农民100名。</w:t>
      </w:r>
    </w:p>
    <w:p>
      <w:pPr>
        <w:ind w:firstLine="643"/>
      </w:pPr>
      <w:r>
        <w:rPr>
          <w:rFonts w:hint="eastAsia"/>
          <w:b/>
          <w:bCs/>
        </w:rPr>
        <w:t>三是加强品牌宣传推广。</w:t>
      </w:r>
      <w:r>
        <w:rPr>
          <w:rFonts w:hint="eastAsia"/>
        </w:rPr>
        <w:t>通过新闻媒体宣传、参加产品推介会、举办丰收节（采果节）等系列活动，</w:t>
      </w:r>
      <w:r>
        <w:t>增加“井研柑橘”曝光度。在</w:t>
      </w:r>
      <w:r>
        <w:rPr>
          <w:rFonts w:hint="eastAsia"/>
        </w:rPr>
        <w:t>全县</w:t>
      </w:r>
      <w:r>
        <w:t>交通干道、城市建设、乡村风貌塑造</w:t>
      </w:r>
      <w:r>
        <w:rPr>
          <w:rFonts w:hint="eastAsia"/>
        </w:rPr>
        <w:t>等节点打造中</w:t>
      </w:r>
      <w:r>
        <w:t>增加柑橘元素</w:t>
      </w:r>
      <w:r>
        <w:rPr>
          <w:rFonts w:hint="eastAsia"/>
        </w:rPr>
        <w:t>，</w:t>
      </w:r>
      <w:r>
        <w:t>设计制作精品礼盒、文创产品等宣传用品，提升品牌形象。</w:t>
      </w:r>
      <w:r>
        <w:rPr>
          <w:rFonts w:hint="eastAsia"/>
          <w:bCs/>
          <w:szCs w:val="32"/>
        </w:rPr>
        <w:t>通过直播带货，</w:t>
      </w:r>
      <w:r>
        <w:rPr>
          <w:bCs/>
          <w:szCs w:val="32"/>
        </w:rPr>
        <w:t>拓展电商平台</w:t>
      </w:r>
      <w:r>
        <w:rPr>
          <w:rFonts w:hint="eastAsia"/>
          <w:bCs/>
          <w:szCs w:val="32"/>
        </w:rPr>
        <w:t>，</w:t>
      </w:r>
      <w:r>
        <w:t>培育一批直播达人，</w:t>
      </w:r>
      <w:r>
        <w:rPr>
          <w:rFonts w:hint="eastAsia"/>
        </w:rPr>
        <w:t>通过政策引导和支持，</w:t>
      </w:r>
      <w:r>
        <w:t>吸引部分电商来研运营</w:t>
      </w:r>
      <w:r>
        <w:rPr>
          <w:rFonts w:hint="eastAsia"/>
        </w:rPr>
        <w:t>，</w:t>
      </w:r>
      <w:r>
        <w:t>拓展井研柑橘电商销售渠道。运用推介会成果，积极打通柑橘消费大省（广东、浙江、上海等）的销售渠道，提升</w:t>
      </w:r>
      <w:r>
        <w:rPr>
          <w:rFonts w:hint="eastAsia"/>
        </w:rPr>
        <w:t>“</w:t>
      </w:r>
      <w:r>
        <w:t>井研柑橘</w:t>
      </w:r>
      <w:r>
        <w:rPr>
          <w:rFonts w:hint="eastAsia"/>
        </w:rPr>
        <w:t>”</w:t>
      </w:r>
      <w:r>
        <w:t>的知名度。</w:t>
      </w:r>
    </w:p>
    <w:p>
      <w:pPr>
        <w:pStyle w:val="4"/>
        <w:numPr>
          <w:ilvl w:val="2"/>
          <w:numId w:val="4"/>
        </w:numPr>
        <w:ind w:left="-3" w:firstLine="643"/>
      </w:pPr>
      <w:bookmarkStart w:id="177" w:name="_Toc114128726"/>
      <w:bookmarkStart w:id="178" w:name="_Toc16773"/>
      <w:r>
        <w:rPr>
          <w:rFonts w:hint="eastAsia"/>
        </w:rPr>
        <w:t>加快建设精品果园</w:t>
      </w:r>
      <w:bookmarkEnd w:id="177"/>
      <w:bookmarkEnd w:id="178"/>
    </w:p>
    <w:p>
      <w:pPr>
        <w:ind w:firstLine="640"/>
        <w:rPr>
          <w:rFonts w:ascii="仿宋_GB2312" w:hAnsi="仿宋"/>
          <w:szCs w:val="32"/>
        </w:rPr>
      </w:pPr>
      <w:r>
        <w:rPr>
          <w:rFonts w:hint="eastAsia"/>
        </w:rPr>
        <w:t>在高效、高质、生态、循环、绿色农业经济原理指导下，建设精品果园，致力于生产具有附加值高、市场竞争力大的生态清洁柑橘产品。严格落实标准化生产，围绕土肥水管理、整形修剪、花果管理、病虫害防治、采收贮藏等环节，按照“标准化生产技术规范”，在生产过程建立完整、真实的生产档案记录，建立健全产品可追溯体系。贯彻生态有机理念，通过不断改善土壤理化性质、增设绿色防控手段、推行有机肥替代化肥等方式，从达标合格农产品做起，促进绿色食品、有机农产品认证，鼓励规模业主开展GAP认证，建立生态、有机柑橘产品品牌。践行农旅深度融合，精品果园建设中，注重观赏性与体验性并重，通过举办“采果节”，推行“果树认养”，布局游步观光道、景观小品、休憩亭台等方式，强化精品果园的乡村旅游属性。不断提升精品果园建设衍生价值，实现果品价格提升、果园观光收入双提升，多维度提升精品果园建设效益。</w:t>
      </w:r>
    </w:p>
    <w:p>
      <w:pPr>
        <w:pStyle w:val="3"/>
      </w:pPr>
      <w:bookmarkStart w:id="179" w:name="_Toc28351"/>
      <w:r>
        <w:rPr>
          <w:rFonts w:hint="eastAsia"/>
        </w:rPr>
        <w:t>打造畜牧产业新高地</w:t>
      </w:r>
      <w:bookmarkEnd w:id="179"/>
    </w:p>
    <w:p>
      <w:pPr>
        <w:ind w:firstLine="640"/>
      </w:pPr>
      <w:r>
        <w:rPr>
          <w:rFonts w:hint="eastAsia"/>
        </w:rPr>
        <w:t>持续巩固“全国生猪调出大县”地位，推动畜牧产业高质量发展，不断稳定生猪生产。强化肉兔、家禽与草食牲畜等特色产业发展，全面提升特色畜牧产业综合生产能力。</w:t>
      </w:r>
    </w:p>
    <w:p>
      <w:pPr>
        <w:pStyle w:val="4"/>
        <w:numPr>
          <w:ilvl w:val="2"/>
          <w:numId w:val="4"/>
        </w:numPr>
        <w:ind w:left="-3" w:firstLine="643"/>
      </w:pPr>
      <w:bookmarkStart w:id="180" w:name="_Toc14767"/>
      <w:bookmarkStart w:id="181" w:name="_Toc114128728"/>
      <w:r>
        <w:rPr>
          <w:rFonts w:hint="eastAsia"/>
        </w:rPr>
        <w:t>开展标准化养殖场建设</w:t>
      </w:r>
      <w:bookmarkEnd w:id="180"/>
      <w:bookmarkEnd w:id="181"/>
    </w:p>
    <w:p>
      <w:pPr>
        <w:ind w:firstLine="643"/>
      </w:pPr>
      <w:r>
        <w:rPr>
          <w:rFonts w:hint="eastAsia"/>
          <w:b/>
          <w:bCs/>
        </w:rPr>
        <w:t>一是继续发展标准化养殖</w:t>
      </w:r>
      <w:r>
        <w:rPr>
          <w:rFonts w:hint="eastAsia"/>
        </w:rPr>
        <w:t>。依托国家级核心育种场和龙头企业带动，大力发展标准化养殖。支持新型经营主体和农村集体经济组织建立标准化畜禽养殖场、养殖小区，</w:t>
      </w:r>
      <w:r>
        <w:rPr>
          <w:color w:val="000000"/>
          <w:kern w:val="0"/>
          <w:szCs w:val="32"/>
        </w:rPr>
        <w:t>大力开展生猪</w:t>
      </w:r>
      <w:r>
        <w:rPr>
          <w:rFonts w:hint="eastAsia"/>
          <w:color w:val="000000"/>
          <w:kern w:val="0"/>
          <w:szCs w:val="32"/>
        </w:rPr>
        <w:t>、肉兔、蛋鸡、肉鸡、肉牛羊</w:t>
      </w:r>
      <w:r>
        <w:rPr>
          <w:color w:val="000000"/>
          <w:kern w:val="0"/>
          <w:szCs w:val="32"/>
        </w:rPr>
        <w:t>标准化建设，有效提高养殖场防疫设施设备现代化智能化水平。</w:t>
      </w:r>
      <w:r>
        <w:rPr>
          <w:rFonts w:hint="eastAsia"/>
        </w:rPr>
        <w:t>引导畜禽养殖专业户向规模化发展，促进养殖专业户适度集约化经营，实现畜禽散养密集区域的养殖废弃物统一收集、统一处理。支持龙头企业和专合组织建立养殖核心示范园，与规模养殖户共建、联建养殖小区，在畜禽生产相对集中或相对封闭的养殖区域，探索农户分户饲养。加快转变畜禽养殖生产方式，高标准创建一批生产高效、环境友好、产品安全、管理先进、防疫规范的生猪标准化示范场。</w:t>
      </w:r>
    </w:p>
    <w:p>
      <w:pPr>
        <w:ind w:firstLine="643"/>
      </w:pPr>
      <w:r>
        <w:rPr>
          <w:rFonts w:hint="eastAsia"/>
          <w:b/>
          <w:bCs/>
        </w:rPr>
        <w:t>二是支持标准化养殖场创建</w:t>
      </w:r>
      <w:r>
        <w:rPr>
          <w:rFonts w:hint="eastAsia"/>
        </w:rPr>
        <w:t>。坚持示范带动引领，充分发挥生猪部省级标准化养殖场、畜禽标准化规模养殖小区先锋带头作用，通过政策扶持、宣传培训、技术引导、示范带动等方式，鼓励符合条件的养殖户积极申报创建省、市级标准化养殖场。支持各主体对标生产高效、环境友好、产品安全、管理先进等创建要求，不断提高劳动生产率、资源转化率、畜禽生产率，以商品代畜禽规模养殖场为重点，切实推进“绿色防控、健康养殖”，努力实现质量兴牧、绿色兴牧，促进井研县畜牧业转型升级和绿色发展。</w:t>
      </w:r>
    </w:p>
    <w:p>
      <w:pPr>
        <w:ind w:firstLine="643"/>
      </w:pPr>
      <w:r>
        <w:rPr>
          <w:rFonts w:hint="eastAsia"/>
          <w:b/>
          <w:bCs/>
        </w:rPr>
        <w:t>三是探索畜牧养殖新业态</w:t>
      </w:r>
      <w:r>
        <w:rPr>
          <w:rFonts w:hint="eastAsia"/>
        </w:rPr>
        <w:t>。持续巩固生猪生产恢复良好成果，不断做特做精肉兔家禽业、做强做大草食畜牧业，围绕畜牧产业链式发展，壮大社会化专业服务组织；加强畜牧兽医信息化建设，以“智慧猪场”建设为核心，强化“养殖+物联网”多维度应用；以发展“楼房养猪”等新模式为主，探索破解养殖发展的用地和环保难题。</w:t>
      </w:r>
    </w:p>
    <w:p>
      <w:pPr>
        <w:pStyle w:val="4"/>
        <w:numPr>
          <w:ilvl w:val="2"/>
          <w:numId w:val="4"/>
        </w:numPr>
        <w:ind w:left="-3" w:firstLine="643"/>
      </w:pPr>
      <w:bookmarkStart w:id="182" w:name="_Toc114128729"/>
      <w:bookmarkStart w:id="183" w:name="_Toc2040"/>
      <w:r>
        <w:rPr>
          <w:rFonts w:hint="eastAsia"/>
        </w:rPr>
        <w:t>大力发展种养循环模式</w:t>
      </w:r>
      <w:bookmarkEnd w:id="182"/>
      <w:bookmarkEnd w:id="183"/>
    </w:p>
    <w:p>
      <w:pPr>
        <w:ind w:firstLine="643"/>
      </w:pPr>
      <w:r>
        <w:rPr>
          <w:rFonts w:hint="eastAsia"/>
          <w:b/>
          <w:bCs/>
        </w:rPr>
        <w:t>一是坚持“以种定养、以养促种”。</w:t>
      </w:r>
      <w:r>
        <w:rPr>
          <w:rFonts w:hint="eastAsia"/>
        </w:rPr>
        <w:t>对主体循环养殖场严格按照以种定养、以养促种、种养循环、就地消纳的要求，按照1亩土地承载存栏3头生猪的标准确定需要配套的消纳土地面积，强化畜禽养殖场与种植基地有效对接，实现田间管网和储液池全配套。对无法达到就地就近消纳循环，有可能造成环境污染隐患的养殖场一律关闭或强制委托第三方集中处理，实现全年常态化监督检查。</w:t>
      </w:r>
    </w:p>
    <w:p>
      <w:pPr>
        <w:ind w:firstLine="643"/>
      </w:pPr>
      <w:r>
        <w:rPr>
          <w:rFonts w:hint="eastAsia"/>
          <w:b/>
          <w:bCs/>
        </w:rPr>
        <w:t>二是发展复合型循环经济模式。</w:t>
      </w:r>
      <w:r>
        <w:rPr>
          <w:rFonts w:hint="eastAsia"/>
        </w:rPr>
        <w:t>以绿色种养循环农业试点项目建设为依托，推广“畜—沼—果</w:t>
      </w:r>
      <w:r>
        <w:rPr>
          <w:rFonts w:hint="eastAsia"/>
          <w:lang w:eastAsia="zh-CN"/>
        </w:rPr>
        <w:t>”“</w:t>
      </w:r>
      <w:r>
        <w:rPr>
          <w:rFonts w:hint="eastAsia"/>
        </w:rPr>
        <w:t>畜—沼—林</w:t>
      </w:r>
      <w:r>
        <w:rPr>
          <w:rFonts w:hint="eastAsia"/>
          <w:lang w:eastAsia="zh-CN"/>
        </w:rPr>
        <w:t>”“</w:t>
      </w:r>
      <w:r>
        <w:rPr>
          <w:rFonts w:hint="eastAsia"/>
        </w:rPr>
        <w:t>畜—沼—菜”等种养循环模式，以养殖场配套种植基地为基础，建立多渠道消纳畜禽粪污的循环发展模式。积极对接百里柑橘产业环线及百里粮油走廊园区，以柑橘、粮油、经济林木种植为主，通过构建畜禽粪污输送网络，建立养殖业与种植业有机循环的复合型循环经济模式，全力打造种养循环示范区10万亩。</w:t>
      </w:r>
    </w:p>
    <w:p>
      <w:pPr>
        <w:ind w:firstLine="643"/>
      </w:pPr>
      <w:r>
        <w:rPr>
          <w:rFonts w:hint="eastAsia"/>
          <w:b/>
          <w:bCs/>
        </w:rPr>
        <w:t>三是强化畜禽粪污资源化利用。</w:t>
      </w:r>
      <w:r>
        <w:rPr>
          <w:rFonts w:hint="eastAsia"/>
        </w:rPr>
        <w:t>以畜禽粪污资源化利用整县推进项目建设为契机，按照“种养结合、统一收集、集中处理、循环利用、绿色生态、增产增收”的资源化利用工作思路，实现3</w:t>
      </w:r>
      <w:r>
        <w:t>5</w:t>
      </w:r>
      <w:r>
        <w:rPr>
          <w:rFonts w:hint="eastAsia"/>
        </w:rPr>
        <w:t>家规模养殖场和重点流域附近养殖场粪污收集全覆盖，日粪污收集处理不低于4</w:t>
      </w:r>
      <w:r>
        <w:t>00</w:t>
      </w:r>
      <w:r>
        <w:rPr>
          <w:rFonts w:hint="eastAsia"/>
        </w:rPr>
        <w:t>吨，年发电量不少于5</w:t>
      </w:r>
      <w:r>
        <w:t>00</w:t>
      </w:r>
      <w:r>
        <w:rPr>
          <w:rFonts w:hint="eastAsia"/>
        </w:rPr>
        <w:t>万千瓦时，粪肥还田1</w:t>
      </w:r>
      <w:r>
        <w:t>0</w:t>
      </w:r>
      <w:r>
        <w:rPr>
          <w:rFonts w:hint="eastAsia"/>
        </w:rPr>
        <w:t>万亩以上。扶持一批粪肥还田利用专业化服务主体，形成养殖场户、服务组织和种植主体紧密联系的绿色循环农业发展模式，全县构建起“全域大循环、主体中循环、农户微循环”的种养循环体系，不断健全畜禽粪污资源化利用机制，推进全县全域“绿色种养循环”可持续发展，助力</w:t>
      </w:r>
      <w:r>
        <w:rPr>
          <w:rFonts w:hint="eastAsia"/>
          <w:lang w:eastAsia="zh-CN"/>
        </w:rPr>
        <w:t>2030年前碳达峰</w:t>
      </w:r>
      <w:r>
        <w:rPr>
          <w:rFonts w:hint="eastAsia"/>
        </w:rPr>
        <w:t>、</w:t>
      </w:r>
      <w:r>
        <w:rPr>
          <w:rFonts w:hint="eastAsia"/>
          <w:lang w:eastAsia="zh-CN"/>
        </w:rPr>
        <w:t>2060年前碳中和</w:t>
      </w:r>
      <w:r>
        <w:rPr>
          <w:rFonts w:hint="eastAsia"/>
        </w:rPr>
        <w:t>。</w:t>
      </w:r>
    </w:p>
    <w:p>
      <w:pPr>
        <w:pStyle w:val="4"/>
        <w:numPr>
          <w:ilvl w:val="2"/>
          <w:numId w:val="4"/>
        </w:numPr>
        <w:ind w:left="-3" w:firstLine="643"/>
      </w:pPr>
      <w:bookmarkStart w:id="184" w:name="_Toc114128730"/>
      <w:bookmarkStart w:id="185" w:name="_Toc23298"/>
      <w:r>
        <w:rPr>
          <w:rFonts w:hint="eastAsia"/>
        </w:rPr>
        <w:t>推进畜牧产业就地加工</w:t>
      </w:r>
      <w:bookmarkEnd w:id="184"/>
      <w:bookmarkEnd w:id="185"/>
    </w:p>
    <w:p>
      <w:pPr>
        <w:ind w:firstLine="643"/>
      </w:pPr>
      <w:r>
        <w:rPr>
          <w:rFonts w:hint="eastAsia"/>
          <w:b/>
          <w:bCs/>
        </w:rPr>
        <w:t>一是规范发展屠宰行业。</w:t>
      </w:r>
      <w:r>
        <w:rPr>
          <w:rFonts w:hint="eastAsia"/>
        </w:rPr>
        <w:t>按照省、市相关部署，进一步规范屠宰行业管理，提升行业整体水平，集中整治全县生猪及其他畜牧产业屠宰领域存在的“多、散、小、乱、差”等突出问题，做好现有屠宰企业摸底调查，引导不合规企业退出或转型升级，促进屠宰行业健康规范化发展。依托四川省井研县食品有限责任公司，鼓励生猪就地就近屠宰，在有能力的生猪养殖大镇建设标准化屠宰场，实现养殖屠宰匹配、产销顺畅衔接，同步加强屠宰检疫制度。</w:t>
      </w:r>
    </w:p>
    <w:p>
      <w:pPr>
        <w:ind w:firstLine="643"/>
      </w:pPr>
      <w:r>
        <w:rPr>
          <w:rFonts w:hint="eastAsia"/>
          <w:b/>
          <w:bCs/>
        </w:rPr>
        <w:t>二是加强屠宰行业质量安全监管。</w:t>
      </w:r>
      <w:r>
        <w:rPr>
          <w:rFonts w:hint="eastAsia"/>
        </w:rPr>
        <w:t>建立并落实畜禽进厂（场）屠宰登记制度、“瘦肉精”自检制度、检疫申报制度、肉品品质检验制度、病死畜禽无害化处理制度、非洲猪瘟疫情排查报告制度、屠宰生产情况信息报送制度等各项产品质量安全内控制度。落实屠宰防疫、检疫监管，严格执行屠宰检疫规程，规范屠宰检疫出证行为。严格6小时待宰制度，加强待宰圈定时巡查和突击检查，做好巡查检查记录。加强重点区域重点整治，对本辖区城乡结合部、私屠滥宰专业村（户）等区域加大监督检查力度，落实不间断巡查。会同相关镇（街道）、市场监管、公安等部门对发现并确定的可疑私屠滥宰点予以重点打击，震慑不法行为。</w:t>
      </w:r>
    </w:p>
    <w:p>
      <w:pPr>
        <w:ind w:firstLine="643"/>
      </w:pPr>
      <w:r>
        <w:rPr>
          <w:rFonts w:hint="eastAsia"/>
          <w:b/>
          <w:bCs/>
        </w:rPr>
        <w:t>三是不断壮大精深加工。</w:t>
      </w:r>
      <w:r>
        <w:rPr>
          <w:rFonts w:hint="eastAsia"/>
        </w:rPr>
        <w:t>以四川井研食品有限公司为龙头，示范引领全县畜牧产品精深加工集群发展，引导相关企业通过提升加工技艺、更新加工设备、优化生产线、开发新产品等方式，不断加强企业加工能力与精深加工业态。支持全价利用，坚持肉类精深加工和副产物综合利用，实现皮、骨、血、脏等屠宰加工副产物“吃干榨净”，支持以冷吃兔、香肠腊肉、肉罐头等产品为基础，不断开发多样化产品加工，发展“中央厨房”业态，逐步完善畜牧产业链条、扩大精深加工规模。注重招商引资，在扶持壮大本地加工企业基础上，充分发挥省级农产品加工示范园集聚效应，加大招商引资力度，吸引一批生产肉罐制品、方便食品、休闲食品的知名企业落地井研，不断壮大畜牧产品精深加工队伍，将相关产品价值链留在井研。</w:t>
      </w:r>
    </w:p>
    <w:p>
      <w:pPr>
        <w:pStyle w:val="4"/>
        <w:numPr>
          <w:ilvl w:val="2"/>
          <w:numId w:val="4"/>
        </w:numPr>
        <w:ind w:left="-3" w:firstLine="643"/>
      </w:pPr>
      <w:bookmarkStart w:id="186" w:name="_Toc1702"/>
      <w:bookmarkStart w:id="187" w:name="_Toc114128731"/>
      <w:r>
        <w:rPr>
          <w:rFonts w:hint="eastAsia"/>
        </w:rPr>
        <w:t>不断完善畜牧产业链条</w:t>
      </w:r>
      <w:bookmarkEnd w:id="186"/>
      <w:bookmarkEnd w:id="187"/>
    </w:p>
    <w:p>
      <w:pPr>
        <w:ind w:firstLine="643"/>
      </w:pPr>
      <w:r>
        <w:rPr>
          <w:rFonts w:hint="eastAsia"/>
          <w:b/>
          <w:bCs/>
        </w:rPr>
        <w:t>一是推动产加销一体化。</w:t>
      </w:r>
      <w:r>
        <w:rPr>
          <w:rFonts w:hint="eastAsia"/>
        </w:rPr>
        <w:t>加快畜牧产品全链融合一体发展，以龙头企业为牵引，带动养殖环节、促动屠宰环节、推动加工环节、拉动流通环节、驱动市场环节，实现五环联动发展。开展畜牧养殖、加工、物流等环节的技术集成与配套，延伸现代畜牧业产业链。建立畜禽屠宰、进口贸易、市场流通、餐饮消费全链条追溯平台，促进产加销一体化发展。</w:t>
      </w:r>
    </w:p>
    <w:p>
      <w:pPr>
        <w:ind w:firstLine="643"/>
      </w:pPr>
      <w:r>
        <w:rPr>
          <w:rFonts w:hint="eastAsia"/>
          <w:b/>
          <w:bCs/>
        </w:rPr>
        <w:t>二是促进饲料兽药产业提质增效。</w:t>
      </w:r>
      <w:r>
        <w:rPr>
          <w:rFonts w:hint="eastAsia"/>
        </w:rPr>
        <w:t>建立健全兽药经营追溯体系，推动全县兽药经营户安装使用经营环节追溯系统，兽药经营环节追溯率达100%，确保兽药质量安全和可追溯。规范饲料企业生产环节管理，保障饲料质量安全。建立健全举报核查制度，群众、媒体反映的有关畜禽兽药、饲料违法违规问题，第一时间组织核查处理。</w:t>
      </w:r>
    </w:p>
    <w:p>
      <w:pPr>
        <w:ind w:firstLine="643"/>
      </w:pPr>
      <w:r>
        <w:rPr>
          <w:rFonts w:hint="eastAsia"/>
          <w:b/>
          <w:bCs/>
        </w:rPr>
        <w:t>三是强化动物疫病防控。</w:t>
      </w:r>
      <w:r>
        <w:rPr>
          <w:rFonts w:hint="eastAsia"/>
        </w:rPr>
        <w:t>以严防严控“非洲猪瘟”、禽流感为首的畜牧养殖毁灭性传染病害为主，进一步完善畜牧养殖防疫制度，建立健全生物安全体系，严格管控病毒传染源，严防死守病害传播途径，提高防疫密度，确保免疫质量，推行防疫制度化，确保全县畜牧产业健康发展。</w:t>
      </w:r>
      <w:r>
        <w:rPr>
          <w:rFonts w:hint="eastAsia"/>
          <w:color w:val="000000"/>
          <w:szCs w:val="32"/>
          <w:shd w:val="clear" w:color="auto" w:fill="FFFFFF"/>
        </w:rPr>
        <w:t>督查指导养殖场（户）、城乡集贸市场经营业主履行清洗、消毒职责，结合新型冠状病毒疫情防控，全县范围开展大消毒，减少病原污染面，降低疫情感染风险。</w:t>
      </w:r>
      <w:r>
        <w:rPr>
          <w:rFonts w:hint="eastAsia"/>
        </w:rPr>
        <w:t>加大全县畜牧养殖小区和规模化养殖场的防疫设施配套建设，以防疫、消毒、疫病诊断、病猪隔离和无害化处理设施为主，保障人畜等生物安全。</w:t>
      </w:r>
    </w:p>
    <w:p>
      <w:pPr>
        <w:pStyle w:val="3"/>
      </w:pPr>
      <w:bookmarkStart w:id="188" w:name="_Toc14884"/>
      <w:r>
        <w:rPr>
          <w:rFonts w:hint="eastAsia"/>
        </w:rPr>
        <w:t>打造水产产业新高地</w:t>
      </w:r>
      <w:bookmarkEnd w:id="188"/>
    </w:p>
    <w:p>
      <w:pPr>
        <w:ind w:firstLine="640"/>
      </w:pPr>
      <w:bookmarkStart w:id="189" w:name="_Hlk112857015"/>
      <w:r>
        <w:rPr>
          <w:rFonts w:hint="eastAsia"/>
        </w:rPr>
        <w:t>大力推广健康生态水产养殖模式，促进渔业现代化转型，打造特色渔业品牌，不断丰富水产衍生业态，持续巩固全省水产大县地位，聚力建设西南最大集中成片现代循环节水型商品鱼生产基地。</w:t>
      </w:r>
    </w:p>
    <w:p>
      <w:pPr>
        <w:pStyle w:val="4"/>
        <w:numPr>
          <w:ilvl w:val="2"/>
          <w:numId w:val="4"/>
        </w:numPr>
        <w:ind w:left="-3" w:firstLine="643"/>
      </w:pPr>
      <w:bookmarkStart w:id="190" w:name="_Toc114128733"/>
      <w:bookmarkStart w:id="191" w:name="_Toc20057"/>
      <w:r>
        <w:rPr>
          <w:rFonts w:hint="eastAsia"/>
        </w:rPr>
        <w:t>推广健康生态水产养殖</w:t>
      </w:r>
      <w:bookmarkEnd w:id="190"/>
      <w:bookmarkEnd w:id="191"/>
    </w:p>
    <w:p>
      <w:pPr>
        <w:ind w:firstLine="643"/>
      </w:pPr>
      <w:r>
        <w:rPr>
          <w:rFonts w:hint="eastAsia"/>
          <w:b/>
          <w:bCs/>
        </w:rPr>
        <w:t>一是强化水产基地建设。</w:t>
      </w:r>
      <w:r>
        <w:rPr>
          <w:rFonts w:hint="eastAsia"/>
        </w:rPr>
        <w:t>坚持“优化存量、控制增量、防止变量”的思路，主攻生态健康水产养殖，围绕绿色标准化养殖基地、名特优养殖示范推广基地、标准化套养示范基地、池塘内循环基地建设，大力开展池塘工程化内循环流水养殖、高低位池流水养殖、陆基集装箱推水养殖等生态健康养殖模式的试点示范。实施旧塘标准化改造及尾水治理项目，实现养殖池塘尾水治理面积2万亩。打造井研县国家数字渔业创新应用基地，建设数字渔业基础支撑平台、县域综合服务平台、水产品品质提升中心等，引领全县水产绿色健康发展。推进井研渔业供给侧结构性改革，进一步提高水产产业占全县农业结构中的比重，显著提升农业产业化、规模化和科技化水平。到2</w:t>
      </w:r>
      <w:r>
        <w:t>025</w:t>
      </w:r>
      <w:r>
        <w:rPr>
          <w:rFonts w:hint="eastAsia"/>
        </w:rPr>
        <w:t>年，确保全县水产综合生产能力达到5.</w:t>
      </w:r>
      <w:r>
        <w:t>5</w:t>
      </w:r>
      <w:r>
        <w:rPr>
          <w:rFonts w:hint="eastAsia"/>
        </w:rPr>
        <w:t>万吨，水产养殖面积不高于1</w:t>
      </w:r>
      <w:r>
        <w:t>1</w:t>
      </w:r>
      <w:r>
        <w:rPr>
          <w:rFonts w:hint="eastAsia"/>
        </w:rPr>
        <w:t>万亩。</w:t>
      </w:r>
    </w:p>
    <w:p>
      <w:pPr>
        <w:ind w:firstLine="643"/>
      </w:pPr>
      <w:r>
        <w:rPr>
          <w:rFonts w:hint="eastAsia"/>
          <w:b/>
          <w:bCs/>
        </w:rPr>
        <w:t>二是落实绿色健康养殖。</w:t>
      </w:r>
      <w:r>
        <w:rPr>
          <w:rFonts w:hint="eastAsia"/>
        </w:rPr>
        <w:t>以“建基地、推技术”为根本，通过广泛开展绿色健康养殖“五大行动”，大力推广生态健康养殖模式。以茫溪河流域为主稳步推动水产养殖尾水治理，加大渔政执法监管力度，持续促进水产养殖用药减量、水产种业质量提升。因地制宜试验推广水产新品种，示范推广一批符合水产绿色健康养殖发展要求的技术模式，建立各类示范推广主体，达到加快转变水产养殖方式、持续改善养殖生态环境、提升产业发展质量、全力推进水产养殖业绿色发展的主要工作目标。</w:t>
      </w:r>
    </w:p>
    <w:p>
      <w:pPr>
        <w:ind w:firstLine="643"/>
      </w:pPr>
      <w:r>
        <w:rPr>
          <w:rFonts w:hint="eastAsia"/>
          <w:b/>
          <w:bCs/>
        </w:rPr>
        <w:t>三是推行水产集群清洁生产。</w:t>
      </w:r>
      <w:r>
        <w:rPr>
          <w:rFonts w:hint="eastAsia"/>
        </w:rPr>
        <w:t>引导传统高密度水产养殖企业转型升级，因地制宜采用适宜的绿色健康养殖模式，极大程度减少水产养殖对生态环境的影响，促进全县水产养殖业向中高端迈进，探索出一条水产养殖转型的“井研路径”。不断满足群众对优质水产品和优美水域生态环境的需求，河流水质达到Ⅲ类标准。孵化一批清洁生产水平达到国内领先的水产养殖产业集群，并将井研县水产养殖业集群化清洁生产试点经验进行推广。</w:t>
      </w:r>
    </w:p>
    <w:p>
      <w:pPr>
        <w:pStyle w:val="4"/>
        <w:numPr>
          <w:ilvl w:val="2"/>
          <w:numId w:val="4"/>
        </w:numPr>
        <w:ind w:left="-3" w:firstLine="643"/>
      </w:pPr>
      <w:bookmarkStart w:id="192" w:name="_Toc114128734"/>
      <w:bookmarkStart w:id="193" w:name="_Toc20451"/>
      <w:r>
        <w:rPr>
          <w:rFonts w:hint="eastAsia"/>
        </w:rPr>
        <w:t>促进现代化养殖转型</w:t>
      </w:r>
      <w:bookmarkEnd w:id="192"/>
      <w:bookmarkEnd w:id="193"/>
    </w:p>
    <w:p>
      <w:pPr>
        <w:ind w:firstLine="643"/>
      </w:pPr>
      <w:r>
        <w:rPr>
          <w:rFonts w:hint="eastAsia"/>
          <w:b/>
          <w:bCs/>
        </w:rPr>
        <w:t>一是促进水产良繁体系建设。</w:t>
      </w:r>
      <w:r>
        <w:rPr>
          <w:rFonts w:hint="eastAsia"/>
        </w:rPr>
        <w:t>进一步完善原良种繁育基地建设，抓好名特水产亲鱼引进繁育攻关，加快特种水产良种繁育体系建设，建立“引种—繁育—试验—示范—推广”新模式，建立“繁育推一体化”的新型水产良种生产供应和技术推广示范体系，到2025年，全县水产良种覆盖率达80%以上。</w:t>
      </w:r>
    </w:p>
    <w:p>
      <w:pPr>
        <w:ind w:firstLine="643"/>
      </w:pPr>
      <w:r>
        <w:rPr>
          <w:rFonts w:hint="eastAsia"/>
          <w:b/>
          <w:bCs/>
        </w:rPr>
        <w:t>二是加快养殖设备升级。</w:t>
      </w:r>
      <w:r>
        <w:rPr>
          <w:rFonts w:hint="eastAsia"/>
        </w:rPr>
        <w:t>大力推进生产性基础设施建设，引进推广微孔曝气增氧机、叶轮式和水车式增氧机等现代化增氧设施设备，充分借助多种不同的增氧设备对水产养殖区域进行混合增氧。在水处理、消毒系统、智能控制、管线设计等方面建立完善的进排水系统，增设保温、水循环、物联网和水质检测等新装备。聚焦池塘养殖机械化技术提升，促进农机化、信息化、智能化有机融合，推动农机化全程、全面、高质、高效，切实提高水产养殖农机装备水平、作业水平、服务水平、科技水平、安全水平和投入水平。升级改造水产养殖和养殖尾水处理设施设备，首批改造4000亩标准化池塘养殖示范区。</w:t>
      </w:r>
    </w:p>
    <w:p>
      <w:pPr>
        <w:pStyle w:val="4"/>
        <w:numPr>
          <w:ilvl w:val="2"/>
          <w:numId w:val="4"/>
        </w:numPr>
        <w:ind w:left="-3" w:firstLine="643"/>
      </w:pPr>
      <w:bookmarkStart w:id="194" w:name="_Toc29238"/>
      <w:bookmarkStart w:id="195" w:name="_Toc114128735"/>
      <w:r>
        <w:rPr>
          <w:rFonts w:hint="eastAsia"/>
        </w:rPr>
        <w:t>打造井研渔业特色品牌</w:t>
      </w:r>
      <w:bookmarkEnd w:id="194"/>
      <w:bookmarkEnd w:id="195"/>
    </w:p>
    <w:p>
      <w:pPr>
        <w:ind w:firstLine="643"/>
      </w:pPr>
      <w:r>
        <w:rPr>
          <w:rFonts w:hint="eastAsia"/>
          <w:b/>
          <w:bCs/>
        </w:rPr>
        <w:t>一是发展特种水产养殖。</w:t>
      </w:r>
      <w:r>
        <w:rPr>
          <w:rFonts w:hint="eastAsia"/>
        </w:rPr>
        <w:t>在提高大宗水产品供给能力的同时，发展白乌鱼、长吻</w:t>
      </w:r>
      <w:r>
        <w:rPr>
          <w:rFonts w:hint="eastAsia" w:ascii="仿宋" w:eastAsia="仿宋" w:cs="微软雅黑"/>
        </w:rPr>
        <w:t>鮠</w:t>
      </w:r>
      <w:r>
        <w:rPr>
          <w:rFonts w:hint="eastAsia" w:hAnsi="仿宋_GB2312" w:cs="仿宋_GB2312"/>
        </w:rPr>
        <w:t>、湘云鲫等</w:t>
      </w:r>
      <w:r>
        <w:rPr>
          <w:rFonts w:hint="eastAsia"/>
        </w:rPr>
        <w:t>特种水产养殖。加大与省内外水产主产区的交流，引进适应当地生态环境条件和消费者需求的养殖种类，促进淡水特种水产养殖业的发展。推广适宜本地养殖条件和特色的新技术、新模式，拓宽综合生产经营模式，提高水产养殖综合效益。加大对优质品种的选育力度，进一步优化地方品种，培育地方名特优水产品，探讨杂交育种、单性化育苗、工厂化育苗等技术，保障种质和种苗供应，多维度发展高附加值特种鱼类，扩大名特优新品种覆盖率。</w:t>
      </w:r>
    </w:p>
    <w:p>
      <w:pPr>
        <w:ind w:firstLine="643"/>
        <w:rPr>
          <w:highlight w:val="yellow"/>
        </w:rPr>
      </w:pPr>
      <w:r>
        <w:rPr>
          <w:rFonts w:hint="eastAsia"/>
          <w:b/>
          <w:bCs/>
        </w:rPr>
        <w:t>二是实行“双品牌”战略。</w:t>
      </w:r>
      <w:r>
        <w:rPr>
          <w:rFonts w:hint="eastAsia"/>
        </w:rPr>
        <w:t>实施农业“川字号</w:t>
      </w:r>
      <w:r>
        <w:rPr>
          <w:rFonts w:hint="eastAsia"/>
          <w:lang w:eastAsia="zh-CN"/>
        </w:rPr>
        <w:t>”“</w:t>
      </w:r>
      <w:r>
        <w:rPr>
          <w:rFonts w:hint="eastAsia"/>
        </w:rPr>
        <w:t>川鱼”品牌提升行动，以“通威鱼</w:t>
      </w:r>
      <w:r>
        <w:rPr>
          <w:rFonts w:hint="eastAsia"/>
          <w:lang w:eastAsia="zh-CN"/>
        </w:rPr>
        <w:t>”“</w:t>
      </w:r>
      <w:r>
        <w:rPr>
          <w:rFonts w:hint="eastAsia"/>
        </w:rPr>
        <w:t>大佛鱼”等品牌为主，推动“公用品牌+企业品牌”双品牌战略。鼓励井研丰润水产、达宾水产等经营主体开展绿色、有机产品认证，争创中国驰名商标。加强农产品标识、产地、质量、包装、品牌创意设计，深度挖掘全县水产品牌文化内涵，构建农产品品牌宣传、展示、交流、交易平台和品牌农产品宣传网络。到2</w:t>
      </w:r>
      <w:r>
        <w:t>025</w:t>
      </w:r>
      <w:r>
        <w:rPr>
          <w:rFonts w:hint="eastAsia"/>
        </w:rPr>
        <w:t>年，力争创建2个特色企业品牌。</w:t>
      </w:r>
    </w:p>
    <w:p>
      <w:pPr>
        <w:pStyle w:val="4"/>
        <w:numPr>
          <w:ilvl w:val="2"/>
          <w:numId w:val="4"/>
        </w:numPr>
        <w:ind w:left="-3" w:firstLine="643"/>
      </w:pPr>
      <w:bookmarkStart w:id="196" w:name="_Toc12821"/>
      <w:bookmarkStart w:id="197" w:name="_Toc114128736"/>
      <w:r>
        <w:rPr>
          <w:rFonts w:hint="eastAsia"/>
        </w:rPr>
        <w:t>丰富水产产业新业态</w:t>
      </w:r>
      <w:bookmarkEnd w:id="196"/>
      <w:bookmarkEnd w:id="197"/>
    </w:p>
    <w:p>
      <w:pPr>
        <w:ind w:firstLine="643"/>
      </w:pPr>
      <w:r>
        <w:rPr>
          <w:rFonts w:hint="eastAsia"/>
          <w:b/>
          <w:bCs/>
        </w:rPr>
        <w:t>一是探索水产养殖新模式。</w:t>
      </w:r>
      <w:r>
        <w:rPr>
          <w:rFonts w:hint="eastAsia"/>
        </w:rPr>
        <w:t>大力推广生态健康养殖模式，稳步推动水产养殖尾水治理，促进水产养殖用药减量，因地制宜试验推广水产新品种，示范推广一批符合水产绿色健康养殖发展要求的技术模式。建立各类示范推广主体，加快转变水产养殖方式、持续改善养殖生态环境、提升产业发展质量、全力推进水产养殖业绿色发展。探索鱼菜（稻）共生生态种养技术模式。在养殖池塘水面进行蔬菜（稻）无土栽培，利用鱼类与植物的营养生理、环境、理化等生态共生原理，使鱼类与蔬菜（水稻）共生互补，实现池塘鱼菜（稻）生态系统内物质循环，达到养鱼不换水、种菜（稻）不施肥、资源可循环利用的目标。</w:t>
      </w:r>
    </w:p>
    <w:p>
      <w:pPr>
        <w:ind w:firstLine="643"/>
      </w:pPr>
      <w:r>
        <w:rPr>
          <w:rFonts w:hint="eastAsia"/>
          <w:b/>
          <w:bCs/>
        </w:rPr>
        <w:t>二是大力发展休闲渔业。</w:t>
      </w:r>
      <w:r>
        <w:rPr>
          <w:rFonts w:hint="eastAsia"/>
        </w:rPr>
        <w:t>大力发展“渔旅融合</w:t>
      </w:r>
      <w:r>
        <w:rPr>
          <w:rFonts w:hint="eastAsia"/>
          <w:lang w:eastAsia="zh-CN"/>
        </w:rPr>
        <w:t>”“</w:t>
      </w:r>
      <w:r>
        <w:rPr>
          <w:rFonts w:hint="eastAsia"/>
        </w:rPr>
        <w:t>康养渔业</w:t>
      </w:r>
      <w:r>
        <w:rPr>
          <w:rFonts w:hint="eastAsia"/>
          <w:lang w:eastAsia="zh-CN"/>
        </w:rPr>
        <w:t>”“</w:t>
      </w:r>
      <w:r>
        <w:rPr>
          <w:rFonts w:hint="eastAsia"/>
        </w:rPr>
        <w:t>渔体结合”等休闲渔业新业态，通过渔村度假、养鱼体验、垂钓娱乐、溪河捉鱼、康养休闲、水上运动等多种多样的方式举办特色活动，宣传推介当地水产养殖特色，提高知名度。以水产品为主题，举办打渔节、钓鱼节等各种节庆活动，进一步打响井研休闲渔业知名度，展示农业农村发展新成果，支撑乡村旅游高质量发展。到2</w:t>
      </w:r>
      <w:r>
        <w:t>025</w:t>
      </w:r>
      <w:r>
        <w:rPr>
          <w:rFonts w:hint="eastAsia"/>
        </w:rPr>
        <w:t>年，力争打造具有全省影响力的休闲渔业基地1个。</w:t>
      </w:r>
    </w:p>
    <w:p>
      <w:pPr>
        <w:ind w:firstLine="643"/>
      </w:pPr>
      <w:r>
        <w:rPr>
          <w:rFonts w:hint="eastAsia"/>
          <w:b/>
          <w:bCs/>
        </w:rPr>
        <w:t>三是推广智慧渔业建设。</w:t>
      </w:r>
      <w:r>
        <w:rPr>
          <w:rFonts w:hint="eastAsia"/>
        </w:rPr>
        <w:t>围绕信息化服务渔业发展主题，构建智慧渔业信息化体系，探索建设智慧鱼塘。有机融合水产品、水环境、饲料、兽药等数据，借助互联网、云计算、大数据技术，对海量的渔业数据进行采集和存储，利用大数据技术、模型、算法，从数量巨大和种类繁多的数据中快速筛选出有价值的信息，化“数”为“据”、分析规律，为渔业领域各种决策与预测提供强有力的数据支撑，实现业务协同、智慧服务，促进渔业产业的高效可持续发展，促使渔业向信息化、智能化、现代化转型升级。</w:t>
      </w:r>
      <w:bookmarkEnd w:id="189"/>
    </w:p>
    <w:p>
      <w:pPr>
        <w:widowControl/>
        <w:adjustRightInd/>
        <w:snapToGrid/>
        <w:spacing w:line="240" w:lineRule="auto"/>
        <w:ind w:firstLine="0" w:firstLineChars="0"/>
        <w:jc w:val="left"/>
      </w:pPr>
      <w:r>
        <w:br w:type="page"/>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shd w:val="clear" w:color="auto" w:fill="D8D8D8" w:themeFill="background1" w:themeFillShade="D9"/>
          </w:tcPr>
          <w:p>
            <w:pPr>
              <w:pStyle w:val="74"/>
            </w:pPr>
            <w:r>
              <w:t>专栏2：</w:t>
            </w:r>
            <w:r>
              <w:rPr>
                <w:rFonts w:hint="eastAsia"/>
              </w:rPr>
              <w:t>四大产业新高地建设重点项目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tcPr>
          <w:p>
            <w:pPr>
              <w:pStyle w:val="72"/>
              <w:ind w:firstLine="482"/>
              <w:rPr>
                <w:bCs w:val="0"/>
              </w:rPr>
            </w:pPr>
            <w:r>
              <w:rPr>
                <w:b/>
              </w:rPr>
              <w:t>1.</w:t>
            </w:r>
            <w:r>
              <w:rPr>
                <w:rFonts w:hint="eastAsia"/>
                <w:b/>
              </w:rPr>
              <w:t>百里粮油走廊园区建设项目：</w:t>
            </w:r>
            <w:r>
              <w:rPr>
                <w:rFonts w:hint="eastAsia"/>
                <w:bCs w:val="0"/>
              </w:rPr>
              <w:t>围绕“一廊、一核、七片、三心”规划思路，建成高标粮油基地15万亩，健康“稻鱼”水产2.5万亩；配套产业道路175公里，完善水、电、讯等基础设施，配套农商互联、农事服务、农业固废回收处置、专家大院等科技、加工、服务、示范现代农业产业链条基地。</w:t>
            </w:r>
          </w:p>
          <w:p>
            <w:pPr>
              <w:pStyle w:val="72"/>
              <w:ind w:firstLine="482"/>
              <w:rPr>
                <w:bCs w:val="0"/>
              </w:rPr>
            </w:pPr>
            <w:r>
              <w:rPr>
                <w:rFonts w:hint="eastAsia"/>
                <w:b/>
              </w:rPr>
              <w:t>2</w:t>
            </w:r>
            <w:r>
              <w:rPr>
                <w:b/>
              </w:rPr>
              <w:t xml:space="preserve">. </w:t>
            </w:r>
            <w:r>
              <w:rPr>
                <w:rFonts w:hint="eastAsia"/>
                <w:b/>
              </w:rPr>
              <w:t>柑橘产业提升项目</w:t>
            </w:r>
            <w:r>
              <w:rPr>
                <w:rFonts w:hint="eastAsia"/>
                <w:bCs w:val="0"/>
              </w:rPr>
              <w:t>：开展柑橘生产基地绿色防控5万亩，建设水肥一体化系统，覆盖面积5万亩，配套基地物联网等建设。</w:t>
            </w:r>
          </w:p>
          <w:p>
            <w:pPr>
              <w:pStyle w:val="72"/>
              <w:ind w:firstLine="482"/>
              <w:rPr>
                <w:bCs w:val="0"/>
              </w:rPr>
            </w:pPr>
            <w:r>
              <w:rPr>
                <w:rFonts w:hint="eastAsia"/>
                <w:b/>
              </w:rPr>
              <w:t>3</w:t>
            </w:r>
            <w:r>
              <w:rPr>
                <w:b/>
              </w:rPr>
              <w:t>.</w:t>
            </w:r>
            <w:r>
              <w:rPr>
                <w:rFonts w:hint="eastAsia"/>
                <w:b/>
              </w:rPr>
              <w:t>生猪产业提档升级项目</w:t>
            </w:r>
            <w:r>
              <w:rPr>
                <w:rFonts w:hint="eastAsia"/>
                <w:bCs w:val="0"/>
              </w:rPr>
              <w:t>：新改（扩）建标准化养殖场30个，建设自动化投料系统、饮水系统、温控系统、消毒系统，新建沉淀池、储液池、刮粪设施，通过养殖废弃物资源化综合利用，采用节水改造及粪便发酵再利用技术，达到区域农业废物零排放、全消纳的目标。</w:t>
            </w:r>
          </w:p>
          <w:p>
            <w:pPr>
              <w:pStyle w:val="72"/>
              <w:ind w:firstLine="482"/>
            </w:pPr>
            <w:r>
              <w:rPr>
                <w:b/>
                <w:bCs w:val="0"/>
              </w:rPr>
              <w:t xml:space="preserve">4. </w:t>
            </w:r>
            <w:r>
              <w:rPr>
                <w:rFonts w:hint="eastAsia"/>
                <w:b/>
                <w:bCs w:val="0"/>
              </w:rPr>
              <w:t>区域性水产品品质提升中心建设项目</w:t>
            </w:r>
            <w:r>
              <w:rPr>
                <w:rFonts w:hint="eastAsia"/>
              </w:rPr>
              <w:t>：建设井研县水产品品质提升中心1个，占地80亩，建筑面积6000</w:t>
            </w:r>
            <w:r>
              <w:rPr>
                <w:rFonts w:hint="eastAsia"/>
                <w:lang w:eastAsia="zh-CN"/>
              </w:rPr>
              <w:t>平方米</w:t>
            </w:r>
            <w:r>
              <w:rPr>
                <w:rFonts w:hint="eastAsia"/>
              </w:rPr>
              <w:t>。建设一套时产40吨电化水杀菌系统，一个水产品药残快检实验室，4000</w:t>
            </w:r>
            <w:r>
              <w:rPr>
                <w:rFonts w:hint="eastAsia"/>
                <w:lang w:eastAsia="zh-CN"/>
              </w:rPr>
              <w:t>平方米</w:t>
            </w:r>
            <w:r>
              <w:rPr>
                <w:rFonts w:hint="eastAsia"/>
              </w:rPr>
              <w:t>水产品分拣中心及配套设施。</w:t>
            </w:r>
          </w:p>
          <w:p>
            <w:pPr>
              <w:pStyle w:val="72"/>
              <w:ind w:firstLine="0" w:firstLineChars="0"/>
            </w:pPr>
          </w:p>
        </w:tc>
      </w:tr>
    </w:tbl>
    <w:p>
      <w:pPr>
        <w:pStyle w:val="2"/>
        <w:spacing w:before="217" w:after="217"/>
        <w:ind w:firstLine="708" w:firstLineChars="196"/>
      </w:pPr>
      <w:bookmarkStart w:id="198" w:name="_Toc27364"/>
      <w:r>
        <w:rPr>
          <w:rFonts w:hint="eastAsia"/>
        </w:rPr>
        <w:t>加快补齐现代农业体系支撑性短板，推进农业全产业链融合发展</w:t>
      </w:r>
      <w:bookmarkEnd w:id="198"/>
    </w:p>
    <w:p>
      <w:pPr>
        <w:ind w:firstLine="640"/>
      </w:pPr>
      <w:r>
        <w:rPr>
          <w:rFonts w:hint="eastAsia"/>
        </w:rPr>
        <w:t>做强现代种业、现代农业装备、现代农业烘干冷链物流三大先导性支撑产业，强化农业科技支撑，培育壮大农产品精深加工企业，不断推进农村商贸物流发展，加快推动农村</w:t>
      </w:r>
      <w:r>
        <w:rPr>
          <w:rFonts w:hint="eastAsia"/>
          <w:lang w:eastAsia="zh-CN"/>
        </w:rPr>
        <w:t>一、二、三产业</w:t>
      </w:r>
      <w:r>
        <w:rPr>
          <w:rFonts w:hint="eastAsia"/>
        </w:rPr>
        <w:t>融合发展，构建产出高效、产品安全、资源节约、环境友好的现代农业产业体系。</w:t>
      </w:r>
    </w:p>
    <w:p>
      <w:pPr>
        <w:pStyle w:val="3"/>
      </w:pPr>
      <w:bookmarkStart w:id="199" w:name="_Toc20578"/>
      <w:r>
        <w:rPr>
          <w:rFonts w:hint="eastAsia"/>
        </w:rPr>
        <w:t>加快推进现代种业发展</w:t>
      </w:r>
      <w:bookmarkEnd w:id="199"/>
    </w:p>
    <w:p>
      <w:pPr>
        <w:ind w:firstLine="640"/>
      </w:pPr>
      <w:r>
        <w:rPr>
          <w:rFonts w:hint="eastAsia"/>
        </w:rPr>
        <w:t>夯实农业种业先导性产业支撑，把育种、育苗作为农业生产的重中之重，牢牢抓住种业这一“农业芯片”，不断夯实四大产业链式发展基础。</w:t>
      </w:r>
    </w:p>
    <w:p>
      <w:pPr>
        <w:pStyle w:val="4"/>
        <w:ind w:left="-3" w:firstLine="643"/>
      </w:pPr>
      <w:bookmarkStart w:id="200" w:name="_Toc17561"/>
      <w:bookmarkStart w:id="201" w:name="_Toc112145656"/>
      <w:bookmarkStart w:id="202" w:name="_Toc114128739"/>
      <w:bookmarkStart w:id="203" w:name="_Toc111818575"/>
      <w:bookmarkStart w:id="204" w:name="_Toc111650345"/>
      <w:r>
        <w:rPr>
          <w:rFonts w:hint="eastAsia"/>
        </w:rPr>
        <w:t>加强农业种质资源保护与开发</w:t>
      </w:r>
      <w:bookmarkEnd w:id="200"/>
      <w:bookmarkEnd w:id="201"/>
      <w:bookmarkEnd w:id="202"/>
      <w:bookmarkEnd w:id="203"/>
      <w:bookmarkEnd w:id="204"/>
    </w:p>
    <w:p>
      <w:pPr>
        <w:ind w:firstLine="640"/>
      </w:pPr>
      <w:r>
        <w:rPr>
          <w:rFonts w:hint="eastAsia"/>
        </w:rPr>
        <w:t>瞄准</w:t>
      </w:r>
      <w:r>
        <w:rPr>
          <w:rFonts w:hint="eastAsia" w:ascii="仿宋_GB2312"/>
        </w:rPr>
        <w:t>“</w:t>
      </w:r>
      <w:r>
        <w:rPr>
          <w:rFonts w:hint="eastAsia"/>
        </w:rPr>
        <w:t>打好种业翻身仗</w:t>
      </w:r>
      <w:r>
        <w:rPr>
          <w:rFonts w:hint="eastAsia" w:ascii="仿宋_GB2312"/>
        </w:rPr>
        <w:t>”</w:t>
      </w:r>
      <w:r>
        <w:rPr>
          <w:rFonts w:hint="eastAsia"/>
        </w:rPr>
        <w:t>，开展农作物、畜禽、水产等种质资源全面普查、系统调查与抢救性收集，加快查清农业种质资源家底，确保资源不丧失。加强种质资源安全管理、种质资源活力与遗传完整性监测，及时繁殖与更新复壮。强化新技术应用，推进经济作物、畜牧等地方种质资源的发掘与利用，逐步建立、保护一批农业种质资源圃，做到应收尽收、应保尽保、有序开发。积极对接全国统一的农业种质资源大数据平台，推进种质资源数字化动态监测、信息化监督管理。</w:t>
      </w:r>
    </w:p>
    <w:p>
      <w:pPr>
        <w:pStyle w:val="4"/>
        <w:ind w:left="-3" w:firstLine="643"/>
      </w:pPr>
      <w:bookmarkStart w:id="205" w:name="_Toc15504"/>
      <w:bookmarkStart w:id="206" w:name="_Toc111818576"/>
      <w:bookmarkStart w:id="207" w:name="_Toc112145657"/>
      <w:bookmarkStart w:id="208" w:name="_Toc114128740"/>
      <w:bookmarkStart w:id="209" w:name="_Toc111650346"/>
      <w:r>
        <w:rPr>
          <w:rFonts w:hint="eastAsia"/>
        </w:rPr>
        <w:t>加强种业基地建设</w:t>
      </w:r>
      <w:bookmarkEnd w:id="205"/>
      <w:bookmarkEnd w:id="206"/>
      <w:bookmarkEnd w:id="207"/>
      <w:bookmarkEnd w:id="208"/>
    </w:p>
    <w:p>
      <w:pPr>
        <w:ind w:firstLine="640"/>
      </w:pPr>
      <w:r>
        <w:rPr>
          <w:rFonts w:hint="eastAsia"/>
        </w:rPr>
        <w:t>充分发挥全省唯一区域性良种繁育中心作用，推动种业建设提升，借力“三园三圃”</w:t>
      </w:r>
      <w:r>
        <w:rPr>
          <w:rStyle w:val="42"/>
        </w:rPr>
        <w:footnoteReference w:id="10"/>
      </w:r>
      <w:r>
        <w:rPr>
          <w:rFonts w:hint="eastAsia"/>
        </w:rPr>
        <w:t>建设，在做好柑橘育苗育种的前提下，统筹利用现有仪器设备、技术专家、体制机制，进一步扩大良繁中心在其他农作物种业提升上的运用，助推形成“育、繁、推”一体化，“产、加、销”一条龙种业生产体系，将良繁中心打造成为种业高地。</w:t>
      </w:r>
    </w:p>
    <w:bookmarkEnd w:id="209"/>
    <w:p>
      <w:pPr>
        <w:pStyle w:val="3"/>
      </w:pPr>
      <w:bookmarkStart w:id="210" w:name="_Toc20165"/>
      <w:r>
        <w:rPr>
          <w:rFonts w:hint="eastAsia"/>
        </w:rPr>
        <w:t>强化现代农业装备推广应用</w:t>
      </w:r>
      <w:bookmarkEnd w:id="210"/>
    </w:p>
    <w:p>
      <w:pPr>
        <w:ind w:firstLine="640"/>
      </w:pPr>
      <w:r>
        <w:rPr>
          <w:rFonts w:hint="eastAsia"/>
        </w:rPr>
        <w:t>实施现代农业装备提升行动，开展主要农作物“五良”融合全程机械化示范区创建行动，力争将井研县建成全程全面机械化推广示范区。</w:t>
      </w:r>
    </w:p>
    <w:p>
      <w:pPr>
        <w:pStyle w:val="4"/>
        <w:ind w:left="-3" w:firstLine="643"/>
      </w:pPr>
      <w:bookmarkStart w:id="211" w:name="_Toc523"/>
      <w:bookmarkStart w:id="212" w:name="_Toc114128742"/>
      <w:bookmarkStart w:id="213" w:name="_Toc112145659"/>
      <w:bookmarkStart w:id="214" w:name="_Toc111818578"/>
      <w:bookmarkStart w:id="215" w:name="_Toc111650349"/>
      <w:r>
        <w:rPr>
          <w:rFonts w:hint="eastAsia"/>
        </w:rPr>
        <w:t>提升农业生产机械化作业能力</w:t>
      </w:r>
      <w:bookmarkEnd w:id="211"/>
      <w:bookmarkEnd w:id="212"/>
      <w:bookmarkEnd w:id="213"/>
      <w:bookmarkEnd w:id="214"/>
      <w:bookmarkEnd w:id="215"/>
    </w:p>
    <w:p>
      <w:pPr>
        <w:ind w:firstLine="640"/>
      </w:pPr>
      <w:r>
        <w:rPr>
          <w:rFonts w:hint="eastAsia"/>
        </w:rPr>
        <w:t>针对丘陵山区特殊的地形地貌结构，结合高标准农田新（改）建，提升农田机械化作业道路覆盖面，改善丘区农田机械化作业条件。针对田块面积小、落差大、坡度陡的结构特点，大力发挥井研小农机生产基地优势，支持相关主体落户井研开展丘区农机装备研发运用示范基地建设，引进适应丘陵地区的小巧、轻便、适用的</w:t>
      </w:r>
      <w:r>
        <w:rPr>
          <w:rFonts w:hint="eastAsia" w:ascii="仿宋_GB2312"/>
        </w:rPr>
        <w:t>“</w:t>
      </w:r>
      <w:r>
        <w:rPr>
          <w:rFonts w:hint="eastAsia"/>
        </w:rPr>
        <w:t>耕、种、收</w:t>
      </w:r>
      <w:r>
        <w:rPr>
          <w:rFonts w:hint="eastAsia" w:ascii="仿宋_GB2312"/>
        </w:rPr>
        <w:t>”</w:t>
      </w:r>
      <w:r>
        <w:rPr>
          <w:rFonts w:hint="eastAsia"/>
        </w:rPr>
        <w:t>小型农机，加快农业生产由</w:t>
      </w:r>
      <w:r>
        <w:rPr>
          <w:rFonts w:hint="eastAsia" w:ascii="仿宋_GB2312"/>
        </w:rPr>
        <w:t>“</w:t>
      </w:r>
      <w:r>
        <w:rPr>
          <w:rFonts w:hint="eastAsia"/>
        </w:rPr>
        <w:t>半自动化</w:t>
      </w:r>
      <w:r>
        <w:rPr>
          <w:rFonts w:hint="eastAsia" w:ascii="仿宋_GB2312"/>
        </w:rPr>
        <w:t>”</w:t>
      </w:r>
      <w:r>
        <w:rPr>
          <w:rFonts w:hint="eastAsia"/>
        </w:rPr>
        <w:t>向</w:t>
      </w:r>
      <w:r>
        <w:rPr>
          <w:rFonts w:hint="eastAsia" w:ascii="仿宋_GB2312"/>
        </w:rPr>
        <w:t>“</w:t>
      </w:r>
      <w:r>
        <w:rPr>
          <w:rFonts w:hint="eastAsia"/>
        </w:rPr>
        <w:t>智能化</w:t>
      </w:r>
      <w:r>
        <w:rPr>
          <w:rFonts w:hint="eastAsia" w:ascii="仿宋_GB2312"/>
        </w:rPr>
        <w:t>”</w:t>
      </w:r>
      <w:r>
        <w:rPr>
          <w:rFonts w:hint="eastAsia"/>
        </w:rPr>
        <w:t>转变，推动丘区小型农机快速发展。</w:t>
      </w:r>
    </w:p>
    <w:p>
      <w:pPr>
        <w:pStyle w:val="4"/>
        <w:ind w:left="-3" w:firstLine="643"/>
      </w:pPr>
      <w:bookmarkStart w:id="216" w:name="_Toc111650350"/>
      <w:bookmarkStart w:id="217" w:name="_Toc114128743"/>
      <w:bookmarkStart w:id="218" w:name="_Toc111818579"/>
      <w:bookmarkStart w:id="219" w:name="_Toc112145660"/>
      <w:bookmarkStart w:id="220" w:name="_Toc25076"/>
      <w:r>
        <w:rPr>
          <w:rFonts w:hint="eastAsia"/>
        </w:rPr>
        <w:t>促进农机与农艺深度融合</w:t>
      </w:r>
      <w:bookmarkEnd w:id="216"/>
      <w:bookmarkEnd w:id="217"/>
      <w:bookmarkEnd w:id="218"/>
      <w:bookmarkEnd w:id="219"/>
      <w:bookmarkEnd w:id="220"/>
    </w:p>
    <w:p>
      <w:pPr>
        <w:ind w:firstLine="640"/>
      </w:pPr>
      <w:r>
        <w:rPr>
          <w:rFonts w:hint="eastAsia"/>
        </w:rPr>
        <w:t>开展全程机械化技术集成行动，加强农机化与农田建设、种植、养殖、科技应用等各方面的协作配合，加快构建推进农机与农艺融合、农田农机配合的生产机制，主推“五良”融合基地建设、果园多功能管理系统、柑橘链式运输机、生猪养殖自动化与水产投饵自动化等特色农机，推动种植养殖业各环节</w:t>
      </w:r>
      <w:r>
        <w:rPr>
          <w:rFonts w:hint="eastAsia" w:ascii="仿宋_GB2312"/>
        </w:rPr>
        <w:t>“</w:t>
      </w:r>
      <w:r>
        <w:rPr>
          <w:rFonts w:hint="eastAsia"/>
        </w:rPr>
        <w:t>宜机化</w:t>
      </w:r>
      <w:r>
        <w:rPr>
          <w:rFonts w:hint="eastAsia" w:ascii="仿宋_GB2312"/>
        </w:rPr>
        <w:t>”</w:t>
      </w:r>
      <w:r>
        <w:rPr>
          <w:rFonts w:hint="eastAsia"/>
        </w:rPr>
        <w:t>发展，提高农机作业效率，降低作业成本，增加农机户收入，促进丘区农业机械化发展。</w:t>
      </w:r>
    </w:p>
    <w:p>
      <w:pPr>
        <w:pStyle w:val="4"/>
        <w:ind w:left="-3" w:firstLine="643"/>
      </w:pPr>
      <w:bookmarkStart w:id="221" w:name="_Toc28346"/>
      <w:bookmarkStart w:id="222" w:name="_Toc111818580"/>
      <w:bookmarkStart w:id="223" w:name="_Toc114128744"/>
      <w:bookmarkStart w:id="224" w:name="_Toc111650351"/>
      <w:bookmarkStart w:id="225" w:name="_Toc112145661"/>
      <w:r>
        <w:rPr>
          <w:rFonts w:hint="eastAsia"/>
        </w:rPr>
        <w:t>壮大农机推广服务组织</w:t>
      </w:r>
      <w:bookmarkEnd w:id="221"/>
      <w:bookmarkEnd w:id="222"/>
      <w:bookmarkEnd w:id="223"/>
      <w:bookmarkEnd w:id="224"/>
      <w:bookmarkEnd w:id="225"/>
    </w:p>
    <w:p>
      <w:pPr>
        <w:ind w:firstLine="640"/>
      </w:pPr>
      <w:r>
        <w:rPr>
          <w:rFonts w:hint="eastAsia"/>
        </w:rPr>
        <w:t>以建设</w:t>
      </w:r>
      <w:r>
        <w:rPr>
          <w:rFonts w:hint="eastAsia" w:ascii="仿宋_GB2312"/>
        </w:rPr>
        <w:t>“</w:t>
      </w:r>
      <w:r>
        <w:rPr>
          <w:rFonts w:hint="eastAsia"/>
        </w:rPr>
        <w:t>全程机械化+综合农事</w:t>
      </w:r>
      <w:r>
        <w:rPr>
          <w:rFonts w:hint="eastAsia" w:ascii="仿宋_GB2312"/>
        </w:rPr>
        <w:t>”</w:t>
      </w:r>
      <w:r>
        <w:rPr>
          <w:rFonts w:hint="eastAsia"/>
        </w:rPr>
        <w:t>服务中心为契机，提升农机社会化服务作业能力，支持县域内农机合作社等农机服务组织购置新农机、组建专业团队，严格作业标准，切实提升农机社会化服务覆盖面。加强农机推广队伍建设，提高农机推广技术服务水平，吸引年轻的、文化程度较高的农机专业技术人员从事丘区农机推广工作。实施新一轮农机购置补贴政策，利用农机购置补贴资金开展农机化发展综合奖补试点。到2</w:t>
      </w:r>
      <w:r>
        <w:t>025</w:t>
      </w:r>
      <w:r>
        <w:rPr>
          <w:rFonts w:hint="eastAsia"/>
        </w:rPr>
        <w:t>年，主要农作物耕种收综合机械化率达70%左右。</w:t>
      </w:r>
    </w:p>
    <w:p>
      <w:pPr>
        <w:pStyle w:val="3"/>
      </w:pPr>
      <w:bookmarkStart w:id="226" w:name="_Toc13785"/>
      <w:r>
        <w:rPr>
          <w:rFonts w:hint="eastAsia"/>
        </w:rPr>
        <w:t>推进烘干冷链物流体系现代化</w:t>
      </w:r>
      <w:bookmarkEnd w:id="226"/>
    </w:p>
    <w:p>
      <w:pPr>
        <w:ind w:firstLine="640"/>
      </w:pPr>
      <w:r>
        <w:rPr>
          <w:rFonts w:hint="eastAsia"/>
        </w:rPr>
        <w:t>实施现代农业烘干冷链物流体系建设提升行动，推进“全温控”自动化立体冷库、移动式冷链加工厂、移动烘干机等新型烘干冷链物流基础设施建设。支持龙头企业及运营主体购置移动式烘干设备，组建移动烘干冷藏冷冻保鲜社会化服务专业队伍。鼓励新型经营主体建设节能型通风贮藏库、节能型机械冷库、节能型气调贮藏库等仓储保鲜冷链设施。选择一批重点镇（街道）建设田间地头市场，配备农产品预冷、清选分级、分拣包装、保鲜、冷藏冷冻及冷链运输等设施设备，从源头解决冷链物流“最先一公里”问题及城市配送“最后一公里”问题。到2025 年，基本建成功能完善、上下游衔接、设施先进、布局合理、高效运行的农产品烘干冷链物流体系。</w:t>
      </w:r>
    </w:p>
    <w:p>
      <w:pPr>
        <w:pStyle w:val="3"/>
      </w:pPr>
      <w:bookmarkStart w:id="227" w:name="_Toc32603"/>
      <w:r>
        <w:rPr>
          <w:rFonts w:hint="eastAsia"/>
        </w:rPr>
        <w:t>强化现代农业科技支撑</w:t>
      </w:r>
      <w:bookmarkEnd w:id="227"/>
    </w:p>
    <w:p>
      <w:pPr>
        <w:ind w:firstLine="640"/>
      </w:pPr>
      <w:r>
        <w:rPr>
          <w:rFonts w:hint="eastAsia"/>
        </w:rPr>
        <w:t>推进农业科技创新体系建设，提升农业科技创新能力，强化农业科技支撑服务，以科技创新突破农业发展瓶颈，引领农业转型升级和提质增效。</w:t>
      </w:r>
    </w:p>
    <w:p>
      <w:pPr>
        <w:pStyle w:val="4"/>
        <w:ind w:left="-3" w:firstLine="643"/>
      </w:pPr>
      <w:bookmarkStart w:id="228" w:name="_Toc111818583"/>
      <w:bookmarkStart w:id="229" w:name="_Toc112145664"/>
      <w:bookmarkStart w:id="230" w:name="_Toc20644"/>
      <w:bookmarkStart w:id="231" w:name="_Toc114128747"/>
      <w:bookmarkStart w:id="232" w:name="_Toc111650358"/>
      <w:r>
        <w:rPr>
          <w:rFonts w:hint="eastAsia"/>
        </w:rPr>
        <w:t>加快农业科技成果转化应用</w:t>
      </w:r>
      <w:bookmarkEnd w:id="228"/>
      <w:bookmarkEnd w:id="229"/>
      <w:bookmarkEnd w:id="230"/>
      <w:bookmarkEnd w:id="231"/>
      <w:bookmarkEnd w:id="232"/>
    </w:p>
    <w:p>
      <w:pPr>
        <w:pStyle w:val="16"/>
        <w:ind w:firstLine="640"/>
      </w:pPr>
      <w:r>
        <w:rPr>
          <w:rFonts w:hint="eastAsia"/>
        </w:rPr>
        <w:t>建立农业科技成果转化网络服务体系，强化科技人才队伍建设，加速农业高新技术引进应用，支持建设农业技术在线交易市场，增强农业自主创新能力。加强与省、市高等院校及科研机构的合作，打造新型“政产学研用”联合体，推动产学研深度融合。用好四川省农业科技成果数据库，积极对接并落实重大科技成果转化清单。建立全域覆盖、运转高效的新型农村科技服务体系和基层农技推广体系，加快构建县、镇、村三级协同的科技成果推广运用网络。</w:t>
      </w:r>
    </w:p>
    <w:p>
      <w:pPr>
        <w:pStyle w:val="4"/>
        <w:ind w:left="-3" w:firstLine="643"/>
      </w:pPr>
      <w:bookmarkStart w:id="233" w:name="_Toc105446940"/>
      <w:bookmarkStart w:id="234" w:name="_Toc114128748"/>
      <w:bookmarkStart w:id="235" w:name="_Toc112145665"/>
      <w:bookmarkStart w:id="236" w:name="_Toc106200057"/>
      <w:bookmarkStart w:id="237" w:name="_Toc95909097"/>
      <w:bookmarkStart w:id="238" w:name="_Toc29704"/>
      <w:bookmarkStart w:id="239" w:name="_Toc109303063"/>
      <w:bookmarkStart w:id="240" w:name="_Toc111650359"/>
      <w:bookmarkStart w:id="241" w:name="_Toc111818584"/>
      <w:bookmarkStart w:id="242" w:name="_Toc94443872"/>
      <w:r>
        <w:rPr>
          <w:rFonts w:hint="eastAsia"/>
        </w:rPr>
        <w:t>加强农业科研成果示范</w:t>
      </w:r>
      <w:bookmarkEnd w:id="233"/>
      <w:bookmarkEnd w:id="234"/>
      <w:bookmarkEnd w:id="235"/>
      <w:bookmarkEnd w:id="236"/>
      <w:bookmarkEnd w:id="237"/>
      <w:bookmarkEnd w:id="238"/>
      <w:bookmarkEnd w:id="239"/>
      <w:bookmarkEnd w:id="240"/>
      <w:bookmarkEnd w:id="241"/>
      <w:bookmarkEnd w:id="242"/>
    </w:p>
    <w:p>
      <w:pPr>
        <w:ind w:firstLine="640"/>
      </w:pPr>
      <w:r>
        <w:rPr>
          <w:rFonts w:hint="eastAsia"/>
        </w:rPr>
        <w:t>以农业科技成果转化应用为基础，不断强化农业科研成果示范推广，加快建设集</w:t>
      </w:r>
      <w:r>
        <w:t>农业科技服务集聚、农业科技成果示范的</w:t>
      </w:r>
      <w:r>
        <w:rPr>
          <w:rFonts w:hint="eastAsia"/>
        </w:rPr>
        <w:t>标杆项目</w:t>
      </w:r>
      <w:r>
        <w:t>，促进</w:t>
      </w:r>
      <w:r>
        <w:rPr>
          <w:rFonts w:hint="eastAsia"/>
        </w:rPr>
        <w:t>农业产业</w:t>
      </w:r>
      <w:r>
        <w:t>高效发展和品质提升，打造</w:t>
      </w:r>
      <w:r>
        <w:rPr>
          <w:rFonts w:hint="eastAsia"/>
        </w:rPr>
        <w:t>井研县</w:t>
      </w:r>
      <w:r>
        <w:t>现代农业新名片。</w:t>
      </w:r>
      <w:r>
        <w:rPr>
          <w:rFonts w:hint="eastAsia"/>
        </w:rPr>
        <w:t>强化示范带动，建立健全龙头带动效益，不断促进全县农业品种改良、技术革新、示范应用。到</w:t>
      </w:r>
      <w:r>
        <w:t>2025</w:t>
      </w:r>
      <w:r>
        <w:rPr>
          <w:rFonts w:hint="eastAsia"/>
        </w:rPr>
        <w:t>年，农业科技进步贡献率达到</w:t>
      </w:r>
      <w:r>
        <w:t>66</w:t>
      </w:r>
      <w:r>
        <w:rPr>
          <w:rFonts w:hint="eastAsia"/>
        </w:rPr>
        <w:t>%以上。</w:t>
      </w:r>
    </w:p>
    <w:p>
      <w:pPr>
        <w:pStyle w:val="4"/>
        <w:ind w:left="-3" w:firstLine="643"/>
      </w:pPr>
      <w:bookmarkStart w:id="243" w:name="_Toc8720"/>
      <w:bookmarkStart w:id="244" w:name="_Toc112145666"/>
      <w:bookmarkStart w:id="245" w:name="_Toc114128749"/>
      <w:bookmarkStart w:id="246" w:name="_Toc111818585"/>
      <w:r>
        <w:rPr>
          <w:rFonts w:hint="eastAsia"/>
        </w:rPr>
        <w:t>加快农业生产过程数字化转型</w:t>
      </w:r>
      <w:bookmarkEnd w:id="243"/>
      <w:bookmarkEnd w:id="244"/>
      <w:bookmarkEnd w:id="245"/>
      <w:bookmarkEnd w:id="246"/>
    </w:p>
    <w:p>
      <w:pPr>
        <w:ind w:firstLine="640"/>
      </w:pPr>
      <w:r>
        <w:rPr>
          <w:rFonts w:hint="eastAsia"/>
        </w:rPr>
        <w:t>加强“智慧农业”建设，推动物联网、人工智能、5G、智慧气象等现代信息技术在农业领域的普及应用。推动新一代信息技术与种植业、畜牧业、渔业生产、农机作业、农产品加工等深度融合，推动环境调控、动植物本体感知、畜禽定量饲喂、水肥一体化喷滴灌等技术产品在设施农业和大田种植中广泛应用。加强数字农业技术装备应用，推广应用农业物联网管理服务平台，强化数据采集监测、数据挖掘分析和智能决策调控。</w:t>
      </w:r>
    </w:p>
    <w:p>
      <w:pPr>
        <w:pStyle w:val="3"/>
      </w:pPr>
      <w:bookmarkStart w:id="247" w:name="_Toc30093"/>
      <w:r>
        <w:rPr>
          <w:rFonts w:hint="eastAsia"/>
        </w:rPr>
        <w:t>推进农产品加工业提质增效</w:t>
      </w:r>
      <w:bookmarkEnd w:id="247"/>
    </w:p>
    <w:p>
      <w:pPr>
        <w:ind w:firstLine="640"/>
      </w:pPr>
      <w:r>
        <w:rPr>
          <w:rFonts w:hint="eastAsia"/>
        </w:rPr>
        <w:t>以</w:t>
      </w:r>
      <w:r>
        <w:rPr>
          <w:rFonts w:hint="eastAsia" w:ascii="仿宋_GB2312"/>
        </w:rPr>
        <w:t>“</w:t>
      </w:r>
      <w:r>
        <w:rPr>
          <w:rFonts w:hint="eastAsia"/>
        </w:rPr>
        <w:t>粮头食尾、农头工尾</w:t>
      </w:r>
      <w:r>
        <w:rPr>
          <w:rFonts w:hint="eastAsia" w:ascii="仿宋_GB2312"/>
        </w:rPr>
        <w:t>”</w:t>
      </w:r>
      <w:r>
        <w:rPr>
          <w:rFonts w:hint="eastAsia"/>
        </w:rPr>
        <w:t>为抓手，培育创新链、拓展产业链、提升价值链，建设农产品初始加工、中段加工、终端加工产业链，形成完整的农产品加工体系和终端产品的多元化。</w:t>
      </w:r>
    </w:p>
    <w:p>
      <w:pPr>
        <w:pStyle w:val="4"/>
        <w:ind w:left="-3" w:firstLine="643"/>
      </w:pPr>
      <w:bookmarkStart w:id="248" w:name="_Toc111650361"/>
      <w:bookmarkStart w:id="249" w:name="_Toc98702540"/>
      <w:bookmarkStart w:id="250" w:name="_Toc112145668"/>
      <w:bookmarkStart w:id="251" w:name="_Toc111192774"/>
      <w:bookmarkStart w:id="252" w:name="_Toc111818587"/>
      <w:bookmarkStart w:id="253" w:name="_Toc12232"/>
      <w:bookmarkStart w:id="254" w:name="_Toc114128751"/>
      <w:r>
        <w:rPr>
          <w:rFonts w:hint="eastAsia"/>
        </w:rPr>
        <w:t>强化省级农产品加工示范园区建设</w:t>
      </w:r>
      <w:bookmarkEnd w:id="248"/>
      <w:bookmarkEnd w:id="249"/>
      <w:bookmarkEnd w:id="250"/>
      <w:bookmarkEnd w:id="251"/>
      <w:bookmarkEnd w:id="252"/>
      <w:bookmarkEnd w:id="253"/>
      <w:bookmarkEnd w:id="254"/>
    </w:p>
    <w:p>
      <w:pPr>
        <w:ind w:firstLine="640"/>
      </w:pPr>
      <w:r>
        <w:rPr>
          <w:rFonts w:hint="eastAsia"/>
        </w:rPr>
        <w:t>构建省级农产品加工示范园区发展体系。争取一批农产品加工研究机构和生产企业落户井研，鼓励地方农产品加工企业实现技术更新和产品转型，优化产能布局，提升加工深度。引导龙头企业建设农产品加工技术集成基地和精深加工示范基地，增加精深加工产品种类，推动加工企业由小变大、加工程度由初变深、加工产品由粗变精。培育行业龙头企业、税源企业，支持本地企业做大做强、打造行业标杆，建强省级农产品加工示范园区，建成多业融合的区域性农商互联集配中心，培育食品饮料、果肉果脯、兔干肉脯等农产品加工产业。实施创新驱动发展战略，支持食品加工企业建设重点实验室、省市创新中心和创新平台，推进农副食品向高附加值精深加工发展，积极融入井研县</w:t>
      </w:r>
      <w:r>
        <w:rPr>
          <w:rFonts w:hint="eastAsia" w:ascii="仿宋_GB2312"/>
        </w:rPr>
        <w:t>“</w:t>
      </w:r>
      <w:r>
        <w:rPr>
          <w:rFonts w:hint="eastAsia"/>
        </w:rPr>
        <w:t>双百亿</w:t>
      </w:r>
      <w:r>
        <w:rPr>
          <w:rFonts w:hint="eastAsia" w:ascii="仿宋_GB2312"/>
        </w:rPr>
        <w:t>”</w:t>
      </w:r>
      <w:r>
        <w:rPr>
          <w:rFonts w:hint="eastAsia"/>
        </w:rPr>
        <w:t>工业产业集群建设。</w:t>
      </w:r>
    </w:p>
    <w:p>
      <w:pPr>
        <w:pStyle w:val="4"/>
        <w:ind w:left="-3" w:firstLine="643"/>
      </w:pPr>
      <w:bookmarkStart w:id="255" w:name="_Toc112145669"/>
      <w:bookmarkStart w:id="256" w:name="_Toc111650362"/>
      <w:bookmarkStart w:id="257" w:name="_Toc98702541"/>
      <w:bookmarkStart w:id="258" w:name="_Toc15026"/>
      <w:bookmarkStart w:id="259" w:name="_Toc111192775"/>
      <w:bookmarkStart w:id="260" w:name="_Toc114128752"/>
      <w:bookmarkStart w:id="261" w:name="_Toc111818588"/>
      <w:r>
        <w:rPr>
          <w:rFonts w:hint="eastAsia"/>
        </w:rPr>
        <w:t>健全农产品加工产业体系</w:t>
      </w:r>
      <w:bookmarkEnd w:id="255"/>
      <w:bookmarkEnd w:id="256"/>
      <w:bookmarkEnd w:id="257"/>
      <w:bookmarkEnd w:id="258"/>
      <w:bookmarkEnd w:id="259"/>
      <w:bookmarkEnd w:id="260"/>
      <w:bookmarkEnd w:id="261"/>
    </w:p>
    <w:p>
      <w:pPr>
        <w:ind w:firstLine="640"/>
      </w:pPr>
      <w:bookmarkStart w:id="262" w:name="_Toc72231456"/>
      <w:r>
        <w:rPr>
          <w:rFonts w:hint="eastAsia"/>
        </w:rPr>
        <w:t>促进农产品就近就地初加工</w:t>
      </w:r>
      <w:bookmarkEnd w:id="262"/>
      <w:r>
        <w:rPr>
          <w:rFonts w:hint="eastAsia"/>
        </w:rPr>
        <w:t>。把就业岗位更多留在乡村，把产业链增值收益更多留给农民。重点支持农民合作社、家庭农场和村集体经济组织建设一批产地初加工设施，改善保鲜、储藏、分级、包装等设施条件，鼓励设施设备共建共享，促进农产品顺利进入终端市场和后续加工环节。依托井研县食品有限责任公司、何郎粮油有限公司等农产品加工企业，借力“互联网+</w:t>
      </w:r>
      <w:r>
        <w:rPr>
          <w:rFonts w:hint="eastAsia"/>
          <w:lang w:eastAsia="zh-CN"/>
        </w:rPr>
        <w:t>”“</w:t>
      </w:r>
      <w:r>
        <w:rPr>
          <w:rFonts w:hint="eastAsia"/>
        </w:rPr>
        <w:t>大数据”等前沿技术，打造一批技术水平高、深加工能力强的农产品加工企业，重点发展</w:t>
      </w:r>
      <w:bookmarkStart w:id="263" w:name="_Hlk111730643"/>
      <w:r>
        <w:rPr>
          <w:rFonts w:hint="eastAsia"/>
        </w:rPr>
        <w:t>粮变粉</w:t>
      </w:r>
      <w:bookmarkEnd w:id="263"/>
      <w:r>
        <w:rPr>
          <w:rFonts w:hint="eastAsia"/>
        </w:rPr>
        <w:t>、豆变芽、肉变肠、菜变肴、果变汁等产品加工，提高附加值。鼓励和引导工商资本和农业重点龙头企业入驻，扩大标准化原料基地，打造</w:t>
      </w:r>
      <w:r>
        <w:rPr>
          <w:rFonts w:hint="eastAsia" w:ascii="仿宋_GB2312" w:hAnsi="仿宋"/>
        </w:rPr>
        <w:t>“</w:t>
      </w:r>
      <w:r>
        <w:rPr>
          <w:rFonts w:hint="eastAsia"/>
        </w:rPr>
        <w:t>第一车间</w:t>
      </w:r>
      <w:r>
        <w:rPr>
          <w:rFonts w:hint="eastAsia"/>
          <w:lang w:eastAsia="zh-CN"/>
        </w:rPr>
        <w:t>”“</w:t>
      </w:r>
      <w:r>
        <w:rPr>
          <w:rFonts w:hint="eastAsia"/>
        </w:rPr>
        <w:t>原料车间</w:t>
      </w:r>
      <w:r>
        <w:rPr>
          <w:rFonts w:hint="eastAsia" w:ascii="仿宋_GB2312" w:hAnsi="仿宋"/>
        </w:rPr>
        <w:t>”</w:t>
      </w:r>
      <w:r>
        <w:rPr>
          <w:rFonts w:hint="eastAsia"/>
        </w:rPr>
        <w:t>和</w:t>
      </w:r>
      <w:r>
        <w:rPr>
          <w:rFonts w:hint="eastAsia" w:ascii="仿宋_GB2312" w:hAnsi="仿宋"/>
        </w:rPr>
        <w:t>“</w:t>
      </w:r>
      <w:r>
        <w:rPr>
          <w:rFonts w:hint="eastAsia"/>
        </w:rPr>
        <w:t>粮食车间</w:t>
      </w:r>
      <w:r>
        <w:rPr>
          <w:rFonts w:hint="eastAsia" w:ascii="仿宋_GB2312" w:hAnsi="仿宋"/>
        </w:rPr>
        <w:t>”</w:t>
      </w:r>
      <w:r>
        <w:rPr>
          <w:rFonts w:hint="eastAsia"/>
        </w:rPr>
        <w:t>，优化加工产能。</w:t>
      </w:r>
    </w:p>
    <w:p>
      <w:pPr>
        <w:pStyle w:val="4"/>
        <w:ind w:left="-3" w:firstLine="643"/>
      </w:pPr>
      <w:bookmarkStart w:id="264" w:name="_Toc111192776"/>
      <w:bookmarkStart w:id="265" w:name="_Toc98702542"/>
      <w:bookmarkStart w:id="266" w:name="_Toc112145670"/>
      <w:bookmarkStart w:id="267" w:name="_Toc111650363"/>
      <w:bookmarkStart w:id="268" w:name="_Toc114128753"/>
      <w:bookmarkStart w:id="269" w:name="_Toc9750"/>
      <w:bookmarkStart w:id="270" w:name="_Toc111818589"/>
      <w:r>
        <w:rPr>
          <w:rFonts w:hint="eastAsia"/>
        </w:rPr>
        <w:t>聚力构建</w:t>
      </w:r>
      <w:bookmarkEnd w:id="264"/>
      <w:bookmarkEnd w:id="265"/>
      <w:r>
        <w:rPr>
          <w:rFonts w:hint="eastAsia"/>
        </w:rPr>
        <w:t>加工产业链</w:t>
      </w:r>
      <w:bookmarkEnd w:id="266"/>
      <w:bookmarkEnd w:id="267"/>
      <w:bookmarkEnd w:id="268"/>
      <w:bookmarkEnd w:id="269"/>
      <w:bookmarkEnd w:id="270"/>
    </w:p>
    <w:p>
      <w:pPr>
        <w:ind w:firstLine="640"/>
      </w:pPr>
      <w:r>
        <w:rPr>
          <w:rFonts w:hint="eastAsia"/>
        </w:rPr>
        <w:t>推广</w:t>
      </w:r>
      <w:r>
        <w:rPr>
          <w:rFonts w:hint="eastAsia" w:ascii="仿宋_GB2312"/>
        </w:rPr>
        <w:t>“</w:t>
      </w:r>
      <w:r>
        <w:rPr>
          <w:rFonts w:hint="eastAsia"/>
        </w:rPr>
        <w:t>生产基地+中央厨房+餐饮门店</w:t>
      </w:r>
      <w:r>
        <w:rPr>
          <w:rFonts w:hint="eastAsia"/>
          <w:lang w:eastAsia="zh-CN"/>
        </w:rPr>
        <w:t>”“</w:t>
      </w:r>
      <w:r>
        <w:rPr>
          <w:rFonts w:hint="eastAsia"/>
        </w:rPr>
        <w:t>生产基地+加工企业+商超销售</w:t>
      </w:r>
      <w:r>
        <w:rPr>
          <w:rFonts w:hint="eastAsia" w:ascii="仿宋_GB2312"/>
        </w:rPr>
        <w:t>”</w:t>
      </w:r>
      <w:r>
        <w:rPr>
          <w:rFonts w:hint="eastAsia"/>
        </w:rPr>
        <w:t>等产销模式，推进新型非热加工、真空冷加工、新型杀菌、高效分离、清洁生产、智能控制、形态识别、自动分选等技术升级。支持农业企业向上下游延伸发展，延伸产业链，提升价值链，引导龙头企业与科研院校共建研发中心、工程技术中心，鼓励企业利用专用原料，配套专用设备，研制专用配方，开发类别多样、营养健康、方便快捷的系列产品。</w:t>
      </w:r>
    </w:p>
    <w:p>
      <w:pPr>
        <w:pStyle w:val="3"/>
      </w:pPr>
      <w:bookmarkStart w:id="271" w:name="_Toc21681"/>
      <w:r>
        <w:rPr>
          <w:rFonts w:hint="eastAsia"/>
        </w:rPr>
        <w:t>加快农村商贸物流发展</w:t>
      </w:r>
      <w:bookmarkEnd w:id="271"/>
    </w:p>
    <w:p>
      <w:pPr>
        <w:ind w:firstLine="640"/>
      </w:pPr>
      <w:r>
        <w:rPr>
          <w:rFonts w:hint="eastAsia"/>
        </w:rPr>
        <w:t>加快发展乡村现代物流业，推进县镇村三级物流配送体系建设，深入开展电子商务进农村综合示范，多维度夯实农村商贸物流体系建设，全面促进农产品销售。</w:t>
      </w:r>
    </w:p>
    <w:p>
      <w:pPr>
        <w:pStyle w:val="4"/>
        <w:ind w:left="-3" w:firstLine="643"/>
      </w:pPr>
      <w:bookmarkStart w:id="272" w:name="_Toc112145672"/>
      <w:bookmarkStart w:id="273" w:name="_Toc114128755"/>
      <w:bookmarkStart w:id="274" w:name="_Toc111650365"/>
      <w:bookmarkStart w:id="275" w:name="_Toc30463"/>
      <w:bookmarkStart w:id="276" w:name="_Toc111818591"/>
      <w:r>
        <w:rPr>
          <w:rFonts w:hint="eastAsia"/>
        </w:rPr>
        <w:t>实施</w:t>
      </w:r>
      <w:r>
        <w:rPr>
          <w:rFonts w:hint="eastAsia" w:ascii="仿宋_GB2312"/>
        </w:rPr>
        <w:t>“</w:t>
      </w:r>
      <w:r>
        <w:rPr>
          <w:rFonts w:hint="eastAsia"/>
        </w:rPr>
        <w:t>互联网+</w:t>
      </w:r>
      <w:r>
        <w:rPr>
          <w:rFonts w:hint="eastAsia" w:ascii="仿宋_GB2312"/>
        </w:rPr>
        <w:t>”</w:t>
      </w:r>
      <w:r>
        <w:rPr>
          <w:rFonts w:hint="eastAsia"/>
        </w:rPr>
        <w:t>农产品出村进城工程</w:t>
      </w:r>
      <w:bookmarkEnd w:id="272"/>
      <w:bookmarkEnd w:id="273"/>
      <w:bookmarkEnd w:id="274"/>
      <w:bookmarkEnd w:id="275"/>
      <w:bookmarkEnd w:id="276"/>
    </w:p>
    <w:p>
      <w:pPr>
        <w:ind w:firstLine="640"/>
      </w:pPr>
      <w:r>
        <w:rPr>
          <w:rFonts w:hint="eastAsia"/>
        </w:rPr>
        <w:t>推进农村传统商贸流通企业、连锁商超、零售网点的信息化、数字化转型升级，促进业务流程和组织结构的优化重组，实现线上线下融合发展，打造信息化、本地化、连锁化的营销服务网络，搭建与产业发展配套、适应农业产业发展需求的现代流通服务体系。打造区域农产品品牌，开设网上销售渠道，持续开展特色农副产品线上交易。</w:t>
      </w:r>
    </w:p>
    <w:p>
      <w:pPr>
        <w:pStyle w:val="4"/>
        <w:ind w:left="-3" w:firstLine="643"/>
      </w:pPr>
      <w:bookmarkStart w:id="277" w:name="_Toc114128756"/>
      <w:bookmarkStart w:id="278" w:name="_Toc111650366"/>
      <w:bookmarkStart w:id="279" w:name="_Toc17509"/>
      <w:bookmarkStart w:id="280" w:name="_Toc112145673"/>
      <w:bookmarkStart w:id="281" w:name="_Toc111818592"/>
      <w:r>
        <w:rPr>
          <w:rFonts w:hint="eastAsia"/>
        </w:rPr>
        <w:t>推进现代化乡村物流配送体系建设</w:t>
      </w:r>
      <w:bookmarkEnd w:id="277"/>
      <w:bookmarkEnd w:id="278"/>
      <w:bookmarkEnd w:id="279"/>
      <w:bookmarkEnd w:id="280"/>
      <w:bookmarkEnd w:id="281"/>
    </w:p>
    <w:p>
      <w:pPr>
        <w:ind w:firstLine="640"/>
      </w:pPr>
      <w:r>
        <w:rPr>
          <w:rFonts w:hint="eastAsia"/>
        </w:rPr>
        <w:t>持续改造提升农产品市场，发展农产品从产地到销地的直销和配送，完善农产品产地市场体系。推进公益性农产品市场和农产品流通骨干网络建设，升级改造镇级农村物流服务站和村级物流服务点，在产业村、中心村建设一批服务优质、安全有序的“快递驿站</w:t>
      </w:r>
      <w:r>
        <w:rPr>
          <w:rFonts w:hint="eastAsia"/>
          <w:lang w:eastAsia="zh-CN"/>
        </w:rPr>
        <w:t>”“</w:t>
      </w:r>
      <w:r>
        <w:rPr>
          <w:rFonts w:hint="eastAsia"/>
        </w:rPr>
        <w:t>快递超市”示范点。</w:t>
      </w:r>
    </w:p>
    <w:p>
      <w:pPr>
        <w:pStyle w:val="4"/>
        <w:ind w:left="-3" w:firstLine="643"/>
      </w:pPr>
      <w:bookmarkStart w:id="282" w:name="_Toc17202"/>
      <w:bookmarkStart w:id="283" w:name="_Toc111650367"/>
      <w:bookmarkStart w:id="284" w:name="_Toc111818593"/>
      <w:bookmarkStart w:id="285" w:name="_Toc112145674"/>
      <w:bookmarkStart w:id="286" w:name="_Toc114128757"/>
      <w:r>
        <w:rPr>
          <w:rFonts w:hint="eastAsia"/>
        </w:rPr>
        <w:t>促进农村电商与寄递物流融合发展</w:t>
      </w:r>
      <w:bookmarkEnd w:id="282"/>
      <w:bookmarkEnd w:id="283"/>
      <w:bookmarkEnd w:id="284"/>
      <w:bookmarkEnd w:id="285"/>
      <w:bookmarkEnd w:id="286"/>
    </w:p>
    <w:p>
      <w:pPr>
        <w:ind w:firstLine="640"/>
      </w:pPr>
      <w:r>
        <w:rPr>
          <w:rFonts w:hint="eastAsia"/>
        </w:rPr>
        <w:t>发展“特色产业+农村电商+寄递+农户（合作社）”合作模式，整合镇村电商资源，探索社区团购、预售制等多种形式的线上销售模式，建立</w:t>
      </w:r>
      <w:r>
        <w:rPr>
          <w:rFonts w:hint="eastAsia" w:ascii="仿宋_GB2312"/>
        </w:rPr>
        <w:t>“</w:t>
      </w:r>
      <w:r>
        <w:rPr>
          <w:rFonts w:hint="eastAsia"/>
        </w:rPr>
        <w:t>提前预订、准点送达</w:t>
      </w:r>
      <w:r>
        <w:rPr>
          <w:rFonts w:hint="eastAsia" w:ascii="仿宋_GB2312"/>
        </w:rPr>
        <w:t>”</w:t>
      </w:r>
      <w:r>
        <w:rPr>
          <w:rFonts w:hint="eastAsia"/>
        </w:rPr>
        <w:t>的农产品电商销售与寄递体系。支持电子商务企业开拓农村市场，深入开展电子商务进农村综合示范，引导特色农产品主产区在第三方电子商务平台开设地方特色馆。全面促进农村消费，支持建设立足乡村、贴近农民的生活消费服务综合体，满足农村居民消费升级需要，加强农村市场秩序整顿，吸引城市居民下乡消费。</w:t>
      </w:r>
    </w:p>
    <w:p>
      <w:pPr>
        <w:pStyle w:val="3"/>
      </w:pPr>
      <w:bookmarkStart w:id="287" w:name="_Toc17918"/>
      <w:r>
        <w:t>实施</w:t>
      </w:r>
      <w:r>
        <w:rPr>
          <w:rFonts w:hint="eastAsia"/>
        </w:rPr>
        <w:t>“井字号”农产品品牌培育工程</w:t>
      </w:r>
      <w:bookmarkEnd w:id="287"/>
    </w:p>
    <w:p>
      <w:pPr>
        <w:widowControl/>
        <w:ind w:firstLine="640"/>
        <w:jc w:val="left"/>
        <w:rPr>
          <w:rFonts w:ascii="仿宋_GB2312"/>
          <w:szCs w:val="32"/>
        </w:rPr>
      </w:pPr>
      <w:r>
        <w:rPr>
          <w:rFonts w:hint="eastAsia" w:ascii="仿宋_GB2312" w:hAnsi="宋体" w:cs="仿宋_GB2312"/>
          <w:kern w:val="0"/>
          <w:szCs w:val="32"/>
          <w:lang w:bidi="ar"/>
        </w:rPr>
        <w:t>深入实施品牌建设“孵化、提升、创新、整合、信息”五大工程，开展农业生产“品种、品质、品控、品牌”四品提升行动，</w:t>
      </w:r>
      <w:r>
        <w:rPr>
          <w:rFonts w:hint="eastAsia" w:ascii="仿宋_GB2312"/>
          <w:szCs w:val="32"/>
        </w:rPr>
        <w:t>培育发展具有井研特色的</w:t>
      </w:r>
      <w:r>
        <w:rPr>
          <w:rFonts w:hint="eastAsia" w:ascii="仿宋_GB2312" w:hAnsi="仿宋"/>
          <w:szCs w:val="32"/>
        </w:rPr>
        <w:t>“</w:t>
      </w:r>
      <w:r>
        <w:rPr>
          <w:rFonts w:hint="eastAsia" w:ascii="仿宋_GB2312"/>
          <w:szCs w:val="32"/>
        </w:rPr>
        <w:t>川字号</w:t>
      </w:r>
      <w:r>
        <w:rPr>
          <w:rFonts w:hint="eastAsia" w:ascii="仿宋_GB2312" w:hAnsi="仿宋"/>
          <w:szCs w:val="32"/>
        </w:rPr>
        <w:t>”</w:t>
      </w:r>
      <w:r>
        <w:rPr>
          <w:rFonts w:hint="eastAsia" w:ascii="仿宋_GB2312"/>
          <w:szCs w:val="32"/>
        </w:rPr>
        <w:t>农产品区域公用品牌及企业产品品牌。</w:t>
      </w:r>
    </w:p>
    <w:p>
      <w:pPr>
        <w:pStyle w:val="4"/>
        <w:ind w:left="-3" w:firstLine="643"/>
      </w:pPr>
      <w:bookmarkStart w:id="288" w:name="_Toc111818595"/>
      <w:bookmarkStart w:id="289" w:name="_Toc112145676"/>
      <w:bookmarkStart w:id="290" w:name="_Toc114128759"/>
      <w:bookmarkStart w:id="291" w:name="_Toc25459"/>
      <w:bookmarkStart w:id="292" w:name="_Toc111192807"/>
      <w:bookmarkStart w:id="293" w:name="_Toc98702574"/>
      <w:bookmarkStart w:id="294" w:name="_Toc111650373"/>
      <w:r>
        <w:rPr>
          <w:rFonts w:hint="eastAsia"/>
        </w:rPr>
        <w:t>大力发展</w:t>
      </w:r>
      <w:r>
        <w:rPr>
          <w:rFonts w:hint="eastAsia" w:ascii="仿宋_GB2312"/>
        </w:rPr>
        <w:t>“</w:t>
      </w:r>
      <w:r>
        <w:rPr>
          <w:rFonts w:hint="eastAsia"/>
        </w:rPr>
        <w:t>三品一标</w:t>
      </w:r>
      <w:r>
        <w:rPr>
          <w:rFonts w:hint="eastAsia" w:ascii="仿宋_GB2312"/>
        </w:rPr>
        <w:t>”</w:t>
      </w:r>
      <w:r>
        <w:rPr>
          <w:rStyle w:val="42"/>
          <w:rFonts w:ascii="仿宋_GB2312"/>
        </w:rPr>
        <w:footnoteReference w:id="11"/>
      </w:r>
      <w:r>
        <w:rPr>
          <w:rFonts w:hint="eastAsia"/>
        </w:rPr>
        <w:t>农产品</w:t>
      </w:r>
      <w:bookmarkEnd w:id="288"/>
      <w:bookmarkEnd w:id="289"/>
      <w:bookmarkEnd w:id="290"/>
      <w:bookmarkEnd w:id="291"/>
      <w:bookmarkEnd w:id="292"/>
      <w:bookmarkEnd w:id="293"/>
      <w:bookmarkEnd w:id="294"/>
    </w:p>
    <w:p>
      <w:pPr>
        <w:ind w:firstLine="640"/>
      </w:pPr>
      <w:r>
        <w:rPr>
          <w:rFonts w:hint="eastAsia"/>
        </w:rPr>
        <w:t>建立长效监管机制，加强农产品质量安全管理，巩固四川省农产品质量安全监管示范县创建成果，健全农产品质量安全监管、检测、追溯、执法四大体系，确保产出质量有优势、安全有保障、品牌有市场的农产品。围绕柑橘、粮油、畜牧、水产等特色优势产业，引导新型经营主体以生产有机、绿色农产品为发展方向，推进生产标准化，创建绿色、有机品牌。同时强化基地建设、主体培育、品牌打造、宣传培训，促进农业由数量增长型向质量效益型转变，确保绿色农产品产得出、叫得响、卖得好。对在创建</w:t>
      </w:r>
      <w:r>
        <w:rPr>
          <w:rFonts w:hint="eastAsia" w:ascii="仿宋_GB2312"/>
        </w:rPr>
        <w:t>“</w:t>
      </w:r>
      <w:r>
        <w:rPr>
          <w:rFonts w:hint="eastAsia"/>
        </w:rPr>
        <w:t>三品一标</w:t>
      </w:r>
      <w:r>
        <w:rPr>
          <w:rFonts w:hint="eastAsia" w:ascii="仿宋_GB2312"/>
        </w:rPr>
        <w:t>”</w:t>
      </w:r>
      <w:r>
        <w:rPr>
          <w:rFonts w:hint="eastAsia"/>
        </w:rPr>
        <w:t>过程中取得良好成效、影响深远的主体给予一定奖补。“十四五”时期，确保全县</w:t>
      </w:r>
      <w:r>
        <w:rPr>
          <w:rFonts w:hint="eastAsia" w:ascii="仿宋_GB2312"/>
        </w:rPr>
        <w:t>有效期内绿色食品、有机农产品认证数量15个以上</w:t>
      </w:r>
      <w:r>
        <w:rPr>
          <w:rFonts w:hint="eastAsia"/>
        </w:rPr>
        <w:t>。</w:t>
      </w:r>
    </w:p>
    <w:p>
      <w:pPr>
        <w:pStyle w:val="4"/>
        <w:ind w:left="-3" w:firstLine="643"/>
      </w:pPr>
      <w:bookmarkStart w:id="295" w:name="_Toc114128760"/>
      <w:bookmarkStart w:id="296" w:name="_Toc111650374"/>
      <w:bookmarkStart w:id="297" w:name="_Toc112145677"/>
      <w:bookmarkStart w:id="298" w:name="_Toc98702575"/>
      <w:bookmarkStart w:id="299" w:name="_Toc28473"/>
      <w:bookmarkStart w:id="300" w:name="_Toc111192808"/>
      <w:bookmarkStart w:id="301" w:name="_Toc111818596"/>
      <w:r>
        <w:rPr>
          <w:rFonts w:hint="eastAsia"/>
        </w:rPr>
        <w:t>实施</w:t>
      </w:r>
      <w:r>
        <w:rPr>
          <w:rFonts w:hint="eastAsia" w:ascii="仿宋_GB2312"/>
        </w:rPr>
        <w:t>“</w:t>
      </w:r>
      <w:r>
        <w:rPr>
          <w:rFonts w:hint="eastAsia"/>
        </w:rPr>
        <w:t>区域＋企业</w:t>
      </w:r>
      <w:r>
        <w:rPr>
          <w:rFonts w:hint="eastAsia" w:ascii="仿宋_GB2312"/>
        </w:rPr>
        <w:t>”</w:t>
      </w:r>
      <w:r>
        <w:rPr>
          <w:rFonts w:hint="eastAsia"/>
        </w:rPr>
        <w:t>双品牌战略</w:t>
      </w:r>
      <w:bookmarkEnd w:id="295"/>
      <w:bookmarkEnd w:id="296"/>
      <w:bookmarkEnd w:id="297"/>
      <w:bookmarkEnd w:id="298"/>
      <w:bookmarkEnd w:id="299"/>
      <w:bookmarkEnd w:id="300"/>
      <w:bookmarkEnd w:id="301"/>
    </w:p>
    <w:p>
      <w:pPr>
        <w:widowControl/>
        <w:ind w:firstLine="640"/>
        <w:jc w:val="left"/>
        <w:rPr>
          <w:rFonts w:ascii="仿宋_GB2312"/>
          <w:szCs w:val="32"/>
        </w:rPr>
      </w:pPr>
      <w:r>
        <w:rPr>
          <w:rFonts w:hint="eastAsia" w:ascii="仿宋_GB2312"/>
          <w:szCs w:val="32"/>
        </w:rPr>
        <w:t>以</w:t>
      </w:r>
      <w:r>
        <w:rPr>
          <w:rFonts w:hint="eastAsia" w:ascii="仿宋_GB2312" w:hAnsi="仿宋"/>
          <w:szCs w:val="32"/>
        </w:rPr>
        <w:t>“</w:t>
      </w:r>
      <w:r>
        <w:rPr>
          <w:rFonts w:hint="eastAsia" w:ascii="仿宋_GB2312"/>
          <w:szCs w:val="32"/>
        </w:rPr>
        <w:t>井研柑橘</w:t>
      </w:r>
      <w:r>
        <w:rPr>
          <w:rFonts w:hint="eastAsia" w:ascii="仿宋_GB2312" w:hAnsi="仿宋"/>
          <w:szCs w:val="32"/>
        </w:rPr>
        <w:t>”</w:t>
      </w:r>
      <w:r>
        <w:rPr>
          <w:rFonts w:hint="eastAsia" w:ascii="仿宋_GB2312"/>
          <w:szCs w:val="32"/>
        </w:rPr>
        <w:t>区域公用品牌为龙头，大力推进粮油、畜禽、水产品、果蔬等开展绿色食品、有机农产品、农产品地理标志认证。鼓励龙头企业、新型经营主体培育注册自己的企业品牌和商标，通过商标注册、质量管理、品牌培育、“三品”认证和科技创新，构建以“三品”认证为基础、企业产品品牌为主体的农产品品牌体系。</w:t>
      </w:r>
      <w:r>
        <w:rPr>
          <w:rFonts w:hint="eastAsia" w:ascii="仿宋_GB2312" w:hAnsi="宋体" w:cs="仿宋_GB2312"/>
          <w:color w:val="000000"/>
          <w:kern w:val="0"/>
          <w:szCs w:val="32"/>
          <w:lang w:bidi="ar"/>
        </w:rPr>
        <w:t>通过西博会、农博会、农交会等会展平台，加大优质品牌农产品宣传力度，</w:t>
      </w:r>
      <w:r>
        <w:rPr>
          <w:rFonts w:hint="eastAsia" w:ascii="仿宋_GB2312"/>
          <w:szCs w:val="32"/>
        </w:rPr>
        <w:t>提升“井字号”农产品的知名度和美誉度。</w:t>
      </w:r>
      <w:r>
        <w:rPr>
          <w:rFonts w:hint="eastAsia" w:ascii="仿宋_GB2312" w:hAnsi="宋体" w:cs="仿宋_GB2312"/>
          <w:color w:val="000000"/>
          <w:kern w:val="0"/>
          <w:szCs w:val="32"/>
          <w:lang w:bidi="ar"/>
        </w:rPr>
        <w:t>加强农产品商标及地理标志的注册和保护，构建农产品品牌保护体系。</w:t>
      </w:r>
      <w:r>
        <w:rPr>
          <w:rFonts w:hint="eastAsia" w:ascii="仿宋_GB2312"/>
          <w:szCs w:val="32"/>
        </w:rPr>
        <w:t>“十四五”期间，力争新创建区域公用品牌1个，打造中国驰名商标、优质品牌农产品5个。</w:t>
      </w:r>
    </w:p>
    <w:p>
      <w:pPr>
        <w:pStyle w:val="3"/>
      </w:pPr>
      <w:bookmarkStart w:id="302" w:name="_Toc24174"/>
      <w:r>
        <w:rPr>
          <w:rFonts w:hint="eastAsia"/>
        </w:rPr>
        <w:t>推进农村</w:t>
      </w:r>
      <w:r>
        <w:rPr>
          <w:rFonts w:hint="eastAsia"/>
          <w:lang w:eastAsia="zh-CN"/>
        </w:rPr>
        <w:t>一、二、三产业</w:t>
      </w:r>
      <w:r>
        <w:rPr>
          <w:rFonts w:hint="eastAsia"/>
        </w:rPr>
        <w:t>融合发展</w:t>
      </w:r>
      <w:bookmarkEnd w:id="302"/>
    </w:p>
    <w:p>
      <w:pPr>
        <w:ind w:firstLine="640"/>
      </w:pPr>
      <w:r>
        <w:rPr>
          <w:rFonts w:hint="eastAsia"/>
        </w:rPr>
        <w:t>不断延伸农业产业链、拓展农业功能、挖掘乡村价值、发展农业新业态，</w:t>
      </w:r>
      <w:r>
        <w:rPr>
          <w:lang w:bidi="ar"/>
        </w:rPr>
        <w:t>打造特色优势产业集群，推进全产业链开发、全价值链</w:t>
      </w:r>
      <w:r>
        <w:rPr>
          <w:rFonts w:hint="eastAsia"/>
          <w:lang w:bidi="ar"/>
        </w:rPr>
        <w:t>提升，形成集群化发展格局和市场竞争新优势。</w:t>
      </w:r>
    </w:p>
    <w:p>
      <w:pPr>
        <w:pStyle w:val="4"/>
        <w:numPr>
          <w:ilvl w:val="2"/>
          <w:numId w:val="5"/>
        </w:numPr>
        <w:spacing w:before="0"/>
        <w:ind w:left="-6" w:firstLine="643"/>
      </w:pPr>
      <w:bookmarkStart w:id="303" w:name="_Toc23657"/>
      <w:bookmarkStart w:id="304" w:name="_Toc114128762"/>
      <w:r>
        <w:rPr>
          <w:rFonts w:hint="eastAsia"/>
        </w:rPr>
        <w:t>持续推动一二产业融合</w:t>
      </w:r>
      <w:bookmarkEnd w:id="303"/>
      <w:bookmarkEnd w:id="304"/>
    </w:p>
    <w:p>
      <w:pPr>
        <w:ind w:firstLine="640"/>
      </w:pPr>
      <w:r>
        <w:rPr>
          <w:rFonts w:hint="eastAsia"/>
        </w:rPr>
        <w:t>坚持“以工促农”，不断推动工业化积累反哺农业落到实处。支持传统农业与工业工程技术革新、设施设备改造相结合，推动传统农业向机械化、自动化、智能化等高效农业发展方式转变，重点发展以生态农业、精准农业、智慧农业、植物工厂等形式的一二产融合业态。围绕市场需求与生产实际，不断引进推广适宜产品加工的农作物新品种，改进与产品加工相配套的新工艺、新机械，加速农业生产与产品加工相衔接。</w:t>
      </w:r>
    </w:p>
    <w:p>
      <w:pPr>
        <w:pStyle w:val="4"/>
        <w:numPr>
          <w:ilvl w:val="2"/>
          <w:numId w:val="0"/>
        </w:numPr>
        <w:ind w:left="640"/>
      </w:pPr>
      <w:bookmarkStart w:id="305" w:name="_Toc13846"/>
      <w:bookmarkStart w:id="306" w:name="_Toc111650376"/>
      <w:bookmarkStart w:id="307" w:name="_Toc114128763"/>
      <w:bookmarkStart w:id="308" w:name="_Toc111818598"/>
      <w:bookmarkStart w:id="309" w:name="_Toc112145679"/>
      <w:r>
        <w:rPr>
          <w:rFonts w:hint="eastAsia"/>
        </w:rPr>
        <w:t>二、深度开发乡村融合业态</w:t>
      </w:r>
      <w:bookmarkEnd w:id="305"/>
      <w:bookmarkEnd w:id="306"/>
      <w:bookmarkEnd w:id="307"/>
      <w:bookmarkEnd w:id="308"/>
      <w:bookmarkEnd w:id="309"/>
    </w:p>
    <w:p>
      <w:pPr>
        <w:ind w:firstLine="640"/>
      </w:pPr>
      <w:r>
        <w:rPr>
          <w:rFonts w:hint="eastAsia"/>
        </w:rPr>
        <w:t>瞄准</w:t>
      </w:r>
      <w:r>
        <w:rPr>
          <w:rFonts w:hint="eastAsia" w:ascii="仿宋_GB2312"/>
        </w:rPr>
        <w:t>“</w:t>
      </w:r>
      <w:r>
        <w:rPr>
          <w:rFonts w:hint="eastAsia"/>
        </w:rPr>
        <w:t>绿色生态宜居城、全域旅游增长极</w:t>
      </w:r>
      <w:r>
        <w:rPr>
          <w:rFonts w:hint="eastAsia" w:ascii="仿宋_GB2312"/>
        </w:rPr>
        <w:t>”</w:t>
      </w:r>
      <w:r>
        <w:rPr>
          <w:rFonts w:hint="eastAsia"/>
        </w:rPr>
        <w:t>的目标，推进乡村实现功能拓展的</w:t>
      </w:r>
      <w:r>
        <w:rPr>
          <w:rFonts w:hint="eastAsia" w:hAnsi="仿宋" w:cs="仿宋"/>
        </w:rPr>
        <w:t>横</w:t>
      </w:r>
      <w:r>
        <w:rPr>
          <w:rFonts w:hint="eastAsia"/>
        </w:rPr>
        <w:t>向融合，推动农业与文化、教育、旅游、康养等产业重组，催生乡村休闲旅游业。以农促旅，以旅强农，以</w:t>
      </w:r>
      <w:r>
        <w:rPr>
          <w:rFonts w:hint="eastAsia" w:hAnsi="仿宋"/>
        </w:rPr>
        <w:t>创建国家乡村振兴示范县</w:t>
      </w:r>
      <w:r>
        <w:rPr>
          <w:rFonts w:hint="eastAsia"/>
        </w:rPr>
        <w:t>为引领，打造休闲农业景观带，提升改造美丽乡村景观，发展农业观光旅游产业，逐步建立起</w:t>
      </w:r>
      <w:r>
        <w:rPr>
          <w:rFonts w:hint="eastAsia" w:ascii="仿宋_GB2312" w:hAnsi="仿宋"/>
        </w:rPr>
        <w:t>“</w:t>
      </w:r>
      <w:r>
        <w:rPr>
          <w:rFonts w:hint="eastAsia"/>
        </w:rPr>
        <w:t>吃农家饭菜、住农家院落、购乡土特产、游生态乡村、赏田园风光、采绿色水果、体农事乐趣</w:t>
      </w:r>
      <w:r>
        <w:rPr>
          <w:rFonts w:hint="eastAsia" w:ascii="仿宋_GB2312" w:hAnsi="仿宋"/>
        </w:rPr>
        <w:t>”</w:t>
      </w:r>
      <w:r>
        <w:rPr>
          <w:rFonts w:hint="eastAsia"/>
        </w:rPr>
        <w:t>的乡村全域休闲体系。</w:t>
      </w:r>
    </w:p>
    <w:p>
      <w:pPr>
        <w:pStyle w:val="4"/>
        <w:numPr>
          <w:ilvl w:val="2"/>
          <w:numId w:val="0"/>
        </w:numPr>
        <w:ind w:left="640"/>
      </w:pPr>
      <w:bookmarkStart w:id="310" w:name="_Toc19170"/>
      <w:bookmarkStart w:id="311" w:name="_Toc114128764"/>
      <w:bookmarkStart w:id="312" w:name="_Toc111818599"/>
      <w:bookmarkStart w:id="313" w:name="_Toc112145680"/>
      <w:bookmarkStart w:id="314" w:name="_Toc111650377"/>
      <w:r>
        <w:rPr>
          <w:rFonts w:hint="eastAsia"/>
        </w:rPr>
        <w:t>三、聚力打造“后备箱经济”</w:t>
      </w:r>
      <w:bookmarkEnd w:id="310"/>
      <w:bookmarkEnd w:id="311"/>
      <w:bookmarkEnd w:id="312"/>
      <w:bookmarkEnd w:id="313"/>
      <w:bookmarkEnd w:id="314"/>
    </w:p>
    <w:p>
      <w:pPr>
        <w:ind w:firstLine="640"/>
        <w:rPr>
          <w:b/>
          <w:bCs/>
        </w:rPr>
      </w:pPr>
      <w:r>
        <w:rPr>
          <w:rFonts w:hint="eastAsia"/>
        </w:rPr>
        <w:t>围绕乡村旅游发展，支持外出自驾旅游返程带上地方特色农产品，开发“后备箱经济”。推动乡村旅游高质量发展，实施“后备箱”富民行动，推动乡村农副产品向旅游产品转化，带动农民就业增收。支持农户拓展销售途径、开发新产品，不断开展以此为基础的文创、特色产品销售；探索在道路节点、景区入口、农家乐民宿内设置农产品销售点位等方式，帮助农户销售农副产品，拓展农产品销售渠道。</w:t>
      </w:r>
    </w:p>
    <w:p>
      <w:pPr>
        <w:pStyle w:val="4"/>
        <w:numPr>
          <w:ilvl w:val="2"/>
          <w:numId w:val="0"/>
        </w:numPr>
        <w:ind w:left="640"/>
      </w:pPr>
      <w:bookmarkStart w:id="315" w:name="_Toc111650378"/>
      <w:bookmarkStart w:id="316" w:name="_Toc111818600"/>
      <w:bookmarkStart w:id="317" w:name="_Toc112145681"/>
      <w:bookmarkStart w:id="318" w:name="_Toc114128765"/>
      <w:bookmarkStart w:id="319" w:name="_Toc4344"/>
      <w:r>
        <w:rPr>
          <w:rFonts w:hint="eastAsia"/>
        </w:rPr>
        <w:t>四、建设休闲旅游精品</w:t>
      </w:r>
      <w:bookmarkEnd w:id="315"/>
      <w:r>
        <w:rPr>
          <w:rFonts w:hint="eastAsia"/>
        </w:rPr>
        <w:t>路线</w:t>
      </w:r>
      <w:bookmarkEnd w:id="316"/>
      <w:bookmarkEnd w:id="317"/>
      <w:bookmarkEnd w:id="318"/>
      <w:bookmarkEnd w:id="319"/>
    </w:p>
    <w:p>
      <w:pPr>
        <w:ind w:firstLine="640"/>
      </w:pPr>
      <w:r>
        <w:rPr>
          <w:rFonts w:hint="eastAsia"/>
        </w:rPr>
        <w:t>充分发挥井研县独有的三江宋塔、雷畅故居、熊克武故居、竹园烈士纪念园等文旅资源，打造一条集红色旅游、地方民俗等为主的乡村休闲旅游精品路线，串点成线，聚力打造农商文旅融合发展示范带，做到产品主题化、风格特色化、园区品质化，高标准建设融合业态，提升各关键节点品质和档次。立足特色旅游村发展，整合全县具有特色的民居民宿、农事体验等多种旅游资源，丰富乡村旅游内涵。</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shd w:val="clear" w:color="auto" w:fill="D8D8D8" w:themeFill="background1" w:themeFillShade="D9"/>
          </w:tcPr>
          <w:p>
            <w:pPr>
              <w:pStyle w:val="74"/>
              <w:ind w:firstLine="400"/>
            </w:pPr>
            <w:r>
              <w:t>专栏</w:t>
            </w:r>
            <w:r>
              <w:rPr>
                <w:rFonts w:hint="eastAsia"/>
              </w:rPr>
              <w:t>3</w:t>
            </w:r>
            <w:r>
              <w:t>：</w:t>
            </w:r>
            <w:r>
              <w:rPr>
                <w:rFonts w:hint="eastAsia"/>
              </w:rPr>
              <w:t>现代农业产业链融合发展重点项目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trPr>
        <w:tc>
          <w:tcPr>
            <w:tcW w:w="8607" w:type="dxa"/>
          </w:tcPr>
          <w:p>
            <w:pPr>
              <w:pStyle w:val="72"/>
              <w:ind w:firstLine="482"/>
            </w:pPr>
            <w:r>
              <w:rPr>
                <w:rFonts w:hint="eastAsia"/>
                <w:b/>
                <w:bCs w:val="0"/>
              </w:rPr>
              <w:t>1</w:t>
            </w:r>
            <w:r>
              <w:rPr>
                <w:b/>
                <w:bCs w:val="0"/>
              </w:rPr>
              <w:t xml:space="preserve">. </w:t>
            </w:r>
            <w:r>
              <w:rPr>
                <w:rFonts w:hint="eastAsia"/>
                <w:b/>
                <w:bCs w:val="0"/>
              </w:rPr>
              <w:t>大米精深加工基地建设项目</w:t>
            </w:r>
            <w:r>
              <w:rPr>
                <w:rFonts w:hint="eastAsia"/>
              </w:rPr>
              <w:t>：建设占地50亩的大米精深加工基地，配套抛光、精选、包装以及制作米酒、雪饼、爆米花等所需设施设备。</w:t>
            </w:r>
          </w:p>
          <w:p>
            <w:pPr>
              <w:pStyle w:val="72"/>
              <w:ind w:firstLine="482"/>
            </w:pPr>
            <w:r>
              <w:rPr>
                <w:rFonts w:hint="eastAsia"/>
                <w:b/>
              </w:rPr>
              <w:t>2</w:t>
            </w:r>
            <w:r>
              <w:rPr>
                <w:b/>
              </w:rPr>
              <w:t xml:space="preserve">. </w:t>
            </w:r>
            <w:r>
              <w:rPr>
                <w:rFonts w:hint="eastAsia"/>
                <w:b/>
              </w:rPr>
              <w:t>柑橘精深加工基地建设项目：</w:t>
            </w:r>
            <w:r>
              <w:rPr>
                <w:rFonts w:hint="eastAsia"/>
              </w:rPr>
              <w:t>建设占地10000m²柑橘精深加工厂1个，配套柑橘生物发酵厂房，建设各类柑橘精深加工生产线4条。</w:t>
            </w:r>
          </w:p>
          <w:p>
            <w:pPr>
              <w:pStyle w:val="72"/>
              <w:ind w:firstLine="482"/>
            </w:pPr>
            <w:r>
              <w:rPr>
                <w:b/>
              </w:rPr>
              <w:t xml:space="preserve">3. </w:t>
            </w:r>
            <w:r>
              <w:rPr>
                <w:rFonts w:hint="eastAsia"/>
                <w:b/>
              </w:rPr>
              <w:t>速食营养肉制品加工生产线：</w:t>
            </w:r>
            <w:r>
              <w:rPr>
                <w:rFonts w:hint="eastAsia"/>
              </w:rPr>
              <w:t>新建真空包装生产线一条，熟食生产线4条，形成年产4000吨畜禽产品（猪、牛、羊、鸡）加工生产能力。</w:t>
            </w:r>
          </w:p>
          <w:p>
            <w:pPr>
              <w:pStyle w:val="72"/>
              <w:ind w:firstLine="482"/>
              <w:jc w:val="both"/>
            </w:pPr>
            <w:r>
              <w:rPr>
                <w:b/>
              </w:rPr>
              <w:t xml:space="preserve">4. </w:t>
            </w:r>
            <w:r>
              <w:rPr>
                <w:rFonts w:hint="eastAsia"/>
                <w:b/>
              </w:rPr>
              <w:t>井研县农商互联集配中心（一期）项目：</w:t>
            </w:r>
            <w:r>
              <w:rPr>
                <w:rFonts w:hint="eastAsia"/>
              </w:rPr>
              <w:t>建设占地68.8亩的农产品加工物流园区，含仓储加工中心、冷链物流中心、农产品展销中心、农村电商中心、农业服务中心、批发交易中心，配套相关设施设备。</w:t>
            </w:r>
          </w:p>
          <w:p>
            <w:pPr>
              <w:pStyle w:val="72"/>
              <w:ind w:firstLine="482"/>
            </w:pPr>
            <w:r>
              <w:rPr>
                <w:b/>
                <w:bCs w:val="0"/>
              </w:rPr>
              <w:t>5.</w:t>
            </w:r>
            <w:r>
              <w:rPr>
                <w:rFonts w:hint="eastAsia"/>
                <w:b/>
                <w:bCs w:val="0"/>
              </w:rPr>
              <w:t>烘干冷链物流省级试点县项目</w:t>
            </w:r>
            <w:r>
              <w:rPr>
                <w:rFonts w:hint="eastAsia"/>
              </w:rPr>
              <w:t>：围绕全县农业生产所需冷链物流业态，新建烘干冷链设施设备，构建全县冷链物流体系。</w:t>
            </w:r>
          </w:p>
          <w:p>
            <w:pPr>
              <w:pStyle w:val="72"/>
              <w:ind w:firstLine="482"/>
            </w:pPr>
            <w:r>
              <w:rPr>
                <w:b/>
              </w:rPr>
              <w:t xml:space="preserve">6. </w:t>
            </w:r>
            <w:r>
              <w:rPr>
                <w:rFonts w:hint="eastAsia" w:ascii="仿宋_GB2312" w:hAnsi="仿宋" w:eastAsia="仿宋_GB2312"/>
                <w:b/>
              </w:rPr>
              <w:t>“</w:t>
            </w:r>
            <w:r>
              <w:rPr>
                <w:rFonts w:hint="eastAsia"/>
                <w:b/>
              </w:rPr>
              <w:t>全程机械化+综合农事服务</w:t>
            </w:r>
            <w:r>
              <w:rPr>
                <w:rFonts w:hint="eastAsia" w:ascii="仿宋_GB2312" w:hAnsi="仿宋" w:eastAsia="仿宋_GB2312"/>
                <w:b/>
              </w:rPr>
              <w:t>”</w:t>
            </w:r>
            <w:r>
              <w:rPr>
                <w:rFonts w:hint="eastAsia"/>
                <w:b/>
              </w:rPr>
              <w:t>中心：</w:t>
            </w:r>
            <w:r>
              <w:rPr>
                <w:rFonts w:hint="eastAsia"/>
              </w:rPr>
              <w:t>在宝五镇、集益镇分别新建粮油、柑橘“全程机械化+综合农事服务”中心，配套能满足当地主导产业全程机械化生产需要的农业装备，农机停放库棚、维修间、培训教室等设施设备。</w:t>
            </w:r>
          </w:p>
          <w:p>
            <w:pPr>
              <w:pStyle w:val="72"/>
              <w:ind w:firstLine="482"/>
            </w:pPr>
            <w:r>
              <w:rPr>
                <w:b/>
              </w:rPr>
              <w:t>7.</w:t>
            </w:r>
            <w:r>
              <w:rPr>
                <w:rFonts w:hint="eastAsia"/>
                <w:b/>
              </w:rPr>
              <w:t>专家工作站建设项目：</w:t>
            </w:r>
            <w:r>
              <w:rPr>
                <w:rFonts w:hint="eastAsia"/>
              </w:rPr>
              <w:t>针对柑橘、粮油、畜牧、水产四大产业，建设专家工作站，与省内外行业内专家签订长期战略合作协议，配置相关试验、教育设备，推动主导产业科技成果转化。</w:t>
            </w:r>
          </w:p>
          <w:p>
            <w:pPr>
              <w:pStyle w:val="72"/>
              <w:ind w:firstLine="482"/>
            </w:pPr>
            <w:r>
              <w:rPr>
                <w:b/>
                <w:bCs w:val="0"/>
              </w:rPr>
              <w:t>8</w:t>
            </w:r>
            <w:r>
              <w:rPr>
                <w:rFonts w:hint="eastAsia"/>
                <w:b/>
                <w:bCs w:val="0"/>
              </w:rPr>
              <w:t>.</w:t>
            </w:r>
            <w:r>
              <w:rPr>
                <w:b/>
                <w:bCs w:val="0"/>
              </w:rPr>
              <w:t xml:space="preserve"> </w:t>
            </w:r>
            <w:r>
              <w:rPr>
                <w:rFonts w:hint="eastAsia"/>
                <w:b/>
                <w:bCs w:val="0"/>
              </w:rPr>
              <w:t>千佛田园综合体项目：</w:t>
            </w:r>
            <w:r>
              <w:rPr>
                <w:rFonts w:hint="eastAsia"/>
              </w:rPr>
              <w:t>按照3A级景区标准，实施绿化、美化、亮化工程，打造绿化景观、修复历史遗迹，继续打造梅家湾台柚区—雷畅故居—千佛古街—千佛寺乡村文化休闲旅游环线，进一步延伸到乡村旅游、田园休闲、科教研学等文旅产业，带动周边区域一、二、三产业融合发展。</w:t>
            </w:r>
          </w:p>
        </w:tc>
      </w:tr>
    </w:tbl>
    <w:p>
      <w:pPr>
        <w:pStyle w:val="2"/>
        <w:spacing w:before="217" w:after="217"/>
        <w:ind w:firstLine="567" w:firstLineChars="157"/>
      </w:pPr>
      <w:bookmarkStart w:id="320" w:name="_Toc13175"/>
      <w:r>
        <w:rPr>
          <w:rFonts w:hint="eastAsia"/>
        </w:rPr>
        <w:t>以现代农业园区建设为抓手，推进农业现代化示范区建设</w:t>
      </w:r>
      <w:bookmarkEnd w:id="320"/>
    </w:p>
    <w:p>
      <w:pPr>
        <w:ind w:firstLine="640"/>
      </w:pPr>
      <w:r>
        <w:rPr>
          <w:rFonts w:hint="eastAsia"/>
        </w:rPr>
        <w:t>积极转变农业发展方式，以现代农业园区建设为抓手，围绕提高农业产业体系、生产体系、经营体系现代化水平，稳步推进农业现代化示范区创建，积极融入成渝现代高效特色农业带建设，加速农业农村现代化进程。</w:t>
      </w:r>
    </w:p>
    <w:p>
      <w:pPr>
        <w:pStyle w:val="3"/>
      </w:pPr>
      <w:bookmarkStart w:id="321" w:name="_Toc10027"/>
      <w:r>
        <w:rPr>
          <w:rFonts w:hint="eastAsia"/>
        </w:rPr>
        <w:t>全面提升现代农业园区建设水平</w:t>
      </w:r>
      <w:bookmarkEnd w:id="321"/>
    </w:p>
    <w:p>
      <w:pPr>
        <w:ind w:firstLine="640"/>
      </w:pPr>
      <w:r>
        <w:rPr>
          <w:rFonts w:hint="eastAsia"/>
        </w:rPr>
        <w:t>以《井研县现代农业园区建设总体规划》为引领，围绕</w:t>
      </w:r>
      <w:r>
        <w:t>“高效粮油示范区、畜禽循环养殖示范区、生态水产示范区、晚熟柑橘示范区”四区功能布局，按照</w:t>
      </w:r>
      <w:r>
        <w:rPr>
          <w:rFonts w:hint="eastAsia"/>
        </w:rPr>
        <w:t>“</w:t>
      </w:r>
      <w:r>
        <w:t>创建一个、带动一批、推动整体</w:t>
      </w:r>
      <w:r>
        <w:rPr>
          <w:rFonts w:hint="eastAsia"/>
        </w:rPr>
        <w:t>”</w:t>
      </w:r>
      <w:r>
        <w:t>的现代农业园区建设思路，全力推进</w:t>
      </w:r>
      <w:r>
        <w:rPr>
          <w:rFonts w:hint="eastAsia" w:ascii="仿宋_GB2312"/>
        </w:rPr>
        <w:t>“一环线四基地”</w:t>
      </w:r>
      <w:r>
        <w:rPr>
          <w:rStyle w:val="42"/>
          <w:rFonts w:ascii="仿宋_GB2312"/>
        </w:rPr>
        <w:footnoteReference w:id="12"/>
      </w:r>
      <w:r>
        <w:t>提档升级，</w:t>
      </w:r>
      <w:r>
        <w:rPr>
          <w:rFonts w:hint="eastAsia"/>
        </w:rPr>
        <w:t>梯次开展省、市、县现代农业园区建设，全面推进现代农业产业集群化发展。以省级园区为龙头、市级园区为支撑、县级园区为带动，因地制宜发展特色主导产业，加快形成“一园区一主业一特色”的发展新格局。把“党建引领、规划发展、产业布局、科技创新、就业增收、成链加工、三农服务、绩效考核评估”作为现代农业园区建设的重中之重。</w:t>
      </w:r>
      <w:r>
        <w:rPr>
          <w:rFonts w:hint="eastAsia" w:ascii="仿宋_GB2312" w:cs="仿宋_GB2312" w:hAnsiTheme="minorHAnsi"/>
          <w:kern w:val="0"/>
        </w:rPr>
        <w:t>联合相关部门，整合水、电、路、气、讯等民用公共基础设施项目向现代农业园区倾斜。率先在现代农业园区实施基地建设、农产品加工、融合发展、主体培育、科技服务五大提升工程。</w:t>
      </w:r>
      <w:r>
        <w:rPr>
          <w:rFonts w:hint="eastAsia" w:ascii="仿宋_GB2312" w:hAnsi="宋体" w:cs="仿宋_GB2312"/>
          <w:color w:val="000000"/>
          <w:kern w:val="0"/>
          <w:lang w:bidi="ar"/>
        </w:rPr>
        <w:t>将循环利用工程、农产品仓储保鲜冷链物流设施建设、农业农村信息化工程、品牌培育等项目，优先安排在现代农业园区实施。</w:t>
      </w:r>
      <w:r>
        <w:rPr>
          <w:rFonts w:hint="eastAsia" w:ascii="仿宋_GB2312" w:cs="仿宋_GB2312" w:hAnsiTheme="minorHAnsi"/>
          <w:kern w:val="0"/>
        </w:rPr>
        <w:t>吸引各类企业和人才入园投资兴业，形成龙头企业、农民合作社、家庭农场、社会化服务组织、小农户等主体相互依托、集群发展的态势。</w:t>
      </w:r>
      <w:r>
        <w:rPr>
          <w:rFonts w:hint="eastAsia" w:ascii="仿宋_GB2312" w:hAnsi="仿宋_GB2312" w:cs="仿宋_GB2312"/>
        </w:rPr>
        <w:t>着力打造一批产业特色鲜明、要素集聚、装备先进、效益显著、示范带动能力强劲的全产业链现代农业产业园区，提升现代农业园区建设水平。</w:t>
      </w:r>
    </w:p>
    <w:p>
      <w:pPr>
        <w:pStyle w:val="3"/>
      </w:pPr>
      <w:bookmarkStart w:id="322" w:name="_Toc20010"/>
      <w:r>
        <w:rPr>
          <w:rFonts w:hint="eastAsia"/>
        </w:rPr>
        <w:t>推进农业现代化示范区建设</w:t>
      </w:r>
      <w:bookmarkEnd w:id="322"/>
    </w:p>
    <w:p>
      <w:pPr>
        <w:ind w:firstLine="640"/>
      </w:pPr>
      <w:r>
        <w:rPr>
          <w:rFonts w:hint="eastAsia"/>
        </w:rPr>
        <w:t>井研县</w:t>
      </w:r>
      <w:r>
        <w:rPr>
          <w:rFonts w:hint="eastAsia" w:cs="仿宋_GB2312"/>
          <w:szCs w:val="32"/>
        </w:rPr>
        <w:t>以创建国家农业现代化示范区为目标，</w:t>
      </w:r>
      <w:r>
        <w:rPr>
          <w:rFonts w:hint="eastAsia"/>
        </w:rPr>
        <w:t>坚持农业设施化、园区化、融合化、绿色化、数字化发展，突出良种良法配套、农机农艺融合、产地设施完备、产业链条拓展、服务体系健全，打造生产轻简智能高效、产业体系健全发达、经营主体集中活跃、产品绿色安全高质的标杆。依托柑橘、粮油、畜牧、水产四大产业新高地建设，推动全县积极围绕生产基础较好、装备水平较高、产业链基本健全、经营体系较为完备、农业环境较为友好、政策支撑保障有力六个方面做好工作；同时在用地保障、金融服务、科技创新应用、人才支撑、县域城乡融合等方面制定创新性强、实用管用的政策措施，支持农业现代化示范区建设，积极申报和创建以特色产业为主导的农业现代化示范区，力争把井研县建成国家农业现代化示范区。</w:t>
      </w:r>
    </w:p>
    <w:p>
      <w:pPr>
        <w:pStyle w:val="3"/>
      </w:pPr>
      <w:bookmarkStart w:id="323" w:name="_Toc22472"/>
      <w:r>
        <w:rPr>
          <w:rFonts w:hint="eastAsia"/>
        </w:rPr>
        <w:t>强化农业产业强镇和“一村一品”示范村镇建设</w:t>
      </w:r>
      <w:bookmarkEnd w:id="323"/>
    </w:p>
    <w:p>
      <w:pPr>
        <w:ind w:firstLine="640"/>
      </w:pPr>
      <w:r>
        <w:t>立足井研资源特色和产业优势，以村镇为平台，以</w:t>
      </w:r>
      <w:r>
        <w:rPr>
          <w:rFonts w:hint="eastAsia"/>
        </w:rPr>
        <w:t>主导产业</w:t>
      </w:r>
      <w:r>
        <w:t>为基础，鼓励主要涉农镇（街道）积极申报和创建国家农业产业强镇。支持全县行政村或行政镇（街道）申报和创建全国</w:t>
      </w:r>
      <w:r>
        <w:rPr>
          <w:rFonts w:hint="eastAsia"/>
        </w:rPr>
        <w:t>“</w:t>
      </w:r>
      <w:r>
        <w:t>一村一品</w:t>
      </w:r>
      <w:r>
        <w:rPr>
          <w:rFonts w:hint="eastAsia"/>
        </w:rPr>
        <w:t>”</w:t>
      </w:r>
      <w:r>
        <w:t>示范村镇。围绕特色</w:t>
      </w:r>
      <w:r>
        <w:rPr>
          <w:rFonts w:hint="eastAsia"/>
        </w:rPr>
        <w:t>种植养殖</w:t>
      </w:r>
      <w:r>
        <w:t>、生态绿色循环、高质量特色食品、特色文化</w:t>
      </w:r>
      <w:r>
        <w:rPr>
          <w:rFonts w:hint="eastAsia"/>
        </w:rPr>
        <w:t>（</w:t>
      </w:r>
      <w:r>
        <w:t>传统文化、红色文化</w:t>
      </w:r>
      <w:r>
        <w:rPr>
          <w:rFonts w:hint="eastAsia"/>
        </w:rPr>
        <w:t>、民俗文化）</w:t>
      </w:r>
      <w:r>
        <w:t>和新业态</w:t>
      </w:r>
      <w:r>
        <w:rPr>
          <w:rFonts w:hint="eastAsia"/>
        </w:rPr>
        <w:t>（休闲旅游、电子商务等）</w:t>
      </w:r>
      <w:r>
        <w:t>等具体品类，有机衔接生产、加工、流通、销售、服务等关键环节，实现链条化、一体化发展。到2025年，力争创建主导产业优势特色鲜明、乡土气息浓厚、</w:t>
      </w:r>
      <w:r>
        <w:rPr>
          <w:rFonts w:hint="eastAsia"/>
        </w:rPr>
        <w:t>地方</w:t>
      </w:r>
      <w:r>
        <w:t>文化丰富、产村产镇深度融合、助农增收效果显著</w:t>
      </w:r>
      <w:r>
        <w:rPr>
          <w:rFonts w:hint="eastAsia"/>
        </w:rPr>
        <w:t>、</w:t>
      </w:r>
      <w:r>
        <w:t>有较强辐射带动作用和示范引领作用的全国</w:t>
      </w:r>
      <w:r>
        <w:rPr>
          <w:rFonts w:hint="eastAsia"/>
        </w:rPr>
        <w:t>农业产业强镇和“</w:t>
      </w:r>
      <w:r>
        <w:t>一村一品</w:t>
      </w:r>
      <w:r>
        <w:rPr>
          <w:rFonts w:hint="eastAsia"/>
        </w:rPr>
        <w:t>”</w:t>
      </w:r>
      <w:r>
        <w:t>示范村镇</w:t>
      </w:r>
      <w:r>
        <w:rPr>
          <w:rFonts w:hint="eastAsia"/>
        </w:rPr>
        <w:t>各</w:t>
      </w:r>
      <w:r>
        <w:t>1个以上。</w:t>
      </w:r>
    </w:p>
    <w:p>
      <w:pPr>
        <w:pStyle w:val="3"/>
      </w:pPr>
      <w:bookmarkStart w:id="324" w:name="_Toc28751"/>
      <w:r>
        <w:rPr>
          <w:rFonts w:hint="eastAsia"/>
        </w:rPr>
        <w:t>融入成渝现代高效特色农业带建设</w:t>
      </w:r>
      <w:bookmarkEnd w:id="324"/>
    </w:p>
    <w:p>
      <w:pPr>
        <w:ind w:firstLine="640"/>
        <w:rPr>
          <w:rFonts w:ascii="仿宋_GB2312" w:hAnsi="仿宋_GB2312" w:cs="仿宋_GB2312"/>
          <w:szCs w:val="32"/>
        </w:rPr>
      </w:pPr>
      <w:r>
        <w:rPr>
          <w:rFonts w:hint="eastAsia"/>
        </w:rPr>
        <w:t>紧紧把握</w:t>
      </w:r>
      <w:r>
        <w:rPr>
          <w:rFonts w:hint="eastAsia" w:ascii="仿宋_GB2312" w:hAnsi="仿宋_GB2312" w:cs="仿宋_GB2312"/>
        </w:rPr>
        <w:t>成渝地区双城经济圈建设</w:t>
      </w:r>
      <w:r>
        <w:rPr>
          <w:rFonts w:hint="eastAsia"/>
        </w:rPr>
        <w:t>重大机遇，坚定贯彻市委赋予井研“乐山一级副中心城市”的</w:t>
      </w:r>
      <w:r>
        <w:t>战略</w:t>
      </w:r>
      <w:r>
        <w:rPr>
          <w:rFonts w:hint="eastAsia"/>
        </w:rPr>
        <w:t>定位，</w:t>
      </w:r>
      <w:r>
        <w:t>坚持同城发展、错位发展、美丽发展，充分发挥比较优势，</w:t>
      </w:r>
      <w:r>
        <w:rPr>
          <w:rFonts w:hint="eastAsia"/>
        </w:rPr>
        <w:t>主动谋求分工协作，确立</w:t>
      </w:r>
      <w:r>
        <w:t>打造</w:t>
      </w:r>
      <w:r>
        <w:rPr>
          <w:rFonts w:hint="eastAsia"/>
        </w:rPr>
        <w:t>“</w:t>
      </w:r>
      <w:r>
        <w:t>乐山融入双城桥头堡、</w:t>
      </w:r>
      <w:r>
        <w:rPr>
          <w:rFonts w:hint="eastAsia"/>
        </w:rPr>
        <w:t>成乐产业</w:t>
      </w:r>
      <w:r>
        <w:t>配套承接区、</w:t>
      </w:r>
      <w:r>
        <w:rPr>
          <w:rFonts w:hint="eastAsia"/>
        </w:rPr>
        <w:t>乐山全域旅游增长极”的战略目标</w:t>
      </w:r>
      <w:r>
        <w:t>。</w:t>
      </w:r>
      <w:r>
        <w:rPr>
          <w:rFonts w:hint="eastAsia" w:ascii="仿宋_GB2312" w:hAnsi="仿宋_GB2312" w:cs="仿宋_GB2312"/>
          <w:szCs w:val="32"/>
        </w:rPr>
        <w:t>按照“绿色生态、种养循环、农旅互动”的思路，加快建设百里产业环线，围绕柑橘、畜牧、粮油等重点产业，</w:t>
      </w:r>
      <w:r>
        <w:rPr>
          <w:rFonts w:cs="Times New Roman"/>
          <w:kern w:val="0"/>
          <w:szCs w:val="32"/>
        </w:rPr>
        <w:t>以现代农业产业园区为载体，</w:t>
      </w:r>
      <w:r>
        <w:rPr>
          <w:rFonts w:hint="eastAsia" w:cs="Times New Roman"/>
          <w:kern w:val="0"/>
          <w:szCs w:val="32"/>
        </w:rPr>
        <w:t>加快提升园区特色化、规模化、标准化水平，加速井研柑橘、优质大米、放心肉类、绿色水产等优质农产品“走出井研、走向成渝”，逐步提升井研农产品在成渝双城经济圈各大城市的影响力与市场占有率，</w:t>
      </w:r>
      <w:r>
        <w:rPr>
          <w:rFonts w:hint="eastAsia" w:ascii="仿宋_GB2312" w:hAnsi="仿宋_GB2312" w:cs="仿宋_GB2312"/>
          <w:szCs w:val="32"/>
        </w:rPr>
        <w:t>全力争创全省“农产品主产区先进县”。</w:t>
      </w:r>
    </w:p>
    <w:p>
      <w:pPr>
        <w:pStyle w:val="16"/>
        <w:ind w:firstLine="640"/>
      </w:pPr>
      <w:r>
        <w:br w:type="page"/>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shd w:val="clear" w:color="auto" w:fill="D8D8D8" w:themeFill="background1" w:themeFillShade="D9"/>
          </w:tcPr>
          <w:p>
            <w:pPr>
              <w:pStyle w:val="74"/>
              <w:ind w:firstLine="21"/>
            </w:pPr>
            <w:r>
              <w:t>专栏</w:t>
            </w:r>
            <w:r>
              <w:rPr>
                <w:rFonts w:hint="eastAsia"/>
              </w:rPr>
              <w:t>4</w:t>
            </w:r>
            <w:r>
              <w:t>：</w:t>
            </w:r>
            <w:r>
              <w:rPr>
                <w:rFonts w:hint="eastAsia"/>
              </w:rPr>
              <w:t>现代农业园区建设重点项目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2" w:hRule="atLeast"/>
        </w:trPr>
        <w:tc>
          <w:tcPr>
            <w:tcW w:w="8607" w:type="dxa"/>
          </w:tcPr>
          <w:p>
            <w:pPr>
              <w:pStyle w:val="72"/>
              <w:ind w:firstLine="482"/>
              <w:jc w:val="both"/>
            </w:pPr>
            <w:r>
              <w:rPr>
                <w:b/>
              </w:rPr>
              <w:t xml:space="preserve">1. </w:t>
            </w:r>
            <w:r>
              <w:rPr>
                <w:rFonts w:hint="eastAsia"/>
                <w:b/>
              </w:rPr>
              <w:t>柑橘现代农业园区提档升级项目：</w:t>
            </w:r>
            <w:r>
              <w:rPr>
                <w:rFonts w:hint="eastAsia"/>
              </w:rPr>
              <w:t>以优质杂交晚熟柑橘产业为基础，围绕百里产业环线，打造绿色种养循环，在现有省三星级园区的基础上补齐短板，创建省五星级农业产业园区。</w:t>
            </w:r>
          </w:p>
          <w:p>
            <w:pPr>
              <w:pStyle w:val="72"/>
              <w:ind w:firstLine="482"/>
              <w:jc w:val="both"/>
              <w:rPr>
                <w:b/>
              </w:rPr>
            </w:pPr>
            <w:r>
              <w:rPr>
                <w:rFonts w:hint="eastAsia"/>
                <w:b/>
              </w:rPr>
              <w:t>2</w:t>
            </w:r>
            <w:r>
              <w:rPr>
                <w:b/>
              </w:rPr>
              <w:t>.</w:t>
            </w:r>
            <w:r>
              <w:rPr>
                <w:rFonts w:hint="eastAsia"/>
                <w:b/>
              </w:rPr>
              <w:t>粮油现代农业园区提升改造项目：</w:t>
            </w:r>
            <w:r>
              <w:rPr>
                <w:rFonts w:hint="eastAsia"/>
              </w:rPr>
              <w:t>建成核心区5</w:t>
            </w:r>
            <w:r>
              <w:t>8</w:t>
            </w:r>
            <w:r>
              <w:rPr>
                <w:rFonts w:hint="eastAsia"/>
              </w:rPr>
              <w:t>00亩，辐射区15000亩的现代农业粮油园区。包括基础设施、产业种养融合发展、农业绿色发展、农产品初加工基地建设，以及农业信息平台、农产品质量追溯平台及体系建设。</w:t>
            </w:r>
          </w:p>
          <w:p>
            <w:pPr>
              <w:pStyle w:val="72"/>
              <w:ind w:firstLine="482"/>
              <w:jc w:val="both"/>
            </w:pPr>
            <w:r>
              <w:rPr>
                <w:rFonts w:hint="eastAsia"/>
                <w:b/>
              </w:rPr>
              <w:t>3.</w:t>
            </w:r>
            <w:r>
              <w:rPr>
                <w:rFonts w:hint="eastAsia"/>
                <w:b/>
                <w:bCs w:val="0"/>
              </w:rPr>
              <w:t>数字农业科技孵化园建设项目</w:t>
            </w:r>
            <w:r>
              <w:rPr>
                <w:rFonts w:hint="eastAsia"/>
              </w:rPr>
              <w:t>：建设以智慧农业、科技基地、质量检测、病虫害防治为一体的数字农业科技孵化园。</w:t>
            </w:r>
          </w:p>
          <w:p>
            <w:pPr>
              <w:pStyle w:val="72"/>
              <w:ind w:firstLine="482"/>
            </w:pPr>
            <w:r>
              <w:rPr>
                <w:rFonts w:hint="eastAsia"/>
                <w:b/>
                <w:bCs w:val="0"/>
                <w:lang w:bidi="ar"/>
              </w:rPr>
              <w:t>4</w:t>
            </w:r>
            <w:r>
              <w:rPr>
                <w:b/>
                <w:bCs w:val="0"/>
                <w:lang w:bidi="ar"/>
              </w:rPr>
              <w:t>. “一村一品”示范村镇建设</w:t>
            </w:r>
            <w:r>
              <w:rPr>
                <w:lang w:bidi="ar"/>
              </w:rPr>
              <w:t>：</w:t>
            </w:r>
            <w:r>
              <w:rPr>
                <w:rFonts w:hint="eastAsia"/>
                <w:lang w:bidi="ar"/>
              </w:rPr>
              <w:t>以特色种植、特色养殖、特色食品、特色文化和新业态等为主导产业，打造以行政村、行政镇、涉农社区或街道为主体的“一村一品”示范村镇。</w:t>
            </w:r>
          </w:p>
        </w:tc>
      </w:tr>
    </w:tbl>
    <w:p>
      <w:pPr>
        <w:pStyle w:val="2"/>
        <w:spacing w:before="217" w:after="217"/>
        <w:ind w:firstLine="567" w:firstLineChars="157"/>
        <w:rPr>
          <w:rFonts w:ascii="黑体" w:hAnsi="黑体"/>
          <w:szCs w:val="36"/>
        </w:rPr>
      </w:pPr>
      <w:bookmarkStart w:id="325" w:name="_Toc13065"/>
      <w:r>
        <w:rPr>
          <w:rFonts w:hint="eastAsia"/>
        </w:rPr>
        <w:t>实施和美乡村建设行动，</w:t>
      </w:r>
      <w:r>
        <w:rPr>
          <w:rFonts w:hint="eastAsia" w:ascii="黑体" w:hAnsi="黑体"/>
          <w:szCs w:val="36"/>
        </w:rPr>
        <w:t>加快改善农村生产生活条件</w:t>
      </w:r>
      <w:bookmarkEnd w:id="325"/>
    </w:p>
    <w:p>
      <w:pPr>
        <w:ind w:firstLine="640"/>
        <w:rPr>
          <w:rFonts w:eastAsia="仿宋"/>
          <w:highlight w:val="yellow"/>
        </w:rPr>
      </w:pPr>
      <w:r>
        <w:rPr>
          <w:rFonts w:hint="eastAsia"/>
        </w:rPr>
        <w:t>学习借鉴浙江“千万工程”，科学划分片区，编制村镇片区规划，不断完善乡村基础设施，倾力打造宜居宜业和美乡村示范，着力完善乡村基础设施、改善农村人居环境、提升公共服务水平。</w:t>
      </w:r>
    </w:p>
    <w:p>
      <w:pPr>
        <w:pStyle w:val="3"/>
      </w:pPr>
      <w:bookmarkStart w:id="326" w:name="_Toc159"/>
      <w:r>
        <w:rPr>
          <w:rFonts w:hint="eastAsia"/>
        </w:rPr>
        <w:t>科学划分片区编制产业发展规划</w:t>
      </w:r>
      <w:bookmarkEnd w:id="326"/>
    </w:p>
    <w:p>
      <w:pPr>
        <w:ind w:firstLine="640"/>
      </w:pPr>
      <w:r>
        <w:t>结合</w:t>
      </w:r>
      <w:r>
        <w:rPr>
          <w:rFonts w:hint="eastAsia"/>
        </w:rPr>
        <w:t>井研县的区位条件和空</w:t>
      </w:r>
      <w:r>
        <w:t>间</w:t>
      </w:r>
      <w:r>
        <w:rPr>
          <w:rFonts w:hint="eastAsia"/>
        </w:rPr>
        <w:t>布局</w:t>
      </w:r>
      <w:r>
        <w:t>，</w:t>
      </w:r>
      <w:r>
        <w:rPr>
          <w:rFonts w:hint="eastAsia" w:hAnsi="仿宋_GB2312"/>
          <w:color w:val="000000"/>
          <w:kern w:val="0"/>
          <w:lang w:bidi="ar"/>
        </w:rPr>
        <w:t>坚持“一片区一主业一特色”，</w:t>
      </w:r>
      <w:r>
        <w:rPr>
          <w:rFonts w:hint="eastAsia"/>
        </w:rPr>
        <w:t>确立“做精农业、做强工业、突破文旅”的产业发展方向，科学编制乡村国土空间规划。划分以周坡镇为中心，辐射带动镇阳镇、集益镇、纯复镇3个镇，以升级晚熟柑橘百里产业环线为依托，柑橘、畜牧、水产为主导产业的周坡绿色种养片区；以研城街道为中心，辐射带动研经镇、宝五镇、东林镇、高凤镇、千佛镇5个镇，</w:t>
      </w:r>
      <w:r>
        <w:rPr>
          <w:rFonts w:hint="eastAsia"/>
          <w:color w:val="000000"/>
          <w:spacing w:val="-2"/>
        </w:rPr>
        <w:t>围绕研溪湿地、雷氏民居、蒲亭新村和卡卡文化旅游项目以及柑橘、粮油等主导产业，打造集文化创意、度假休闲等于一体的研城农耕文旅片区；以马踏镇为中心，辐射带动王村镇、三江镇、竹园镇、门坎镇4个镇，依托南部百里粮油走廊园区和马踏工业园区，发展农产品加工、现代纺织、红色旅游为主的马踏产业加工片区。</w:t>
      </w:r>
      <w:r>
        <w:rPr>
          <w:rFonts w:hint="eastAsia"/>
        </w:rPr>
        <w:t>形成“一环一带一走廊”县域乡村产业布局。</w:t>
      </w:r>
    </w:p>
    <w:p>
      <w:pPr>
        <w:pStyle w:val="3"/>
      </w:pPr>
      <w:bookmarkStart w:id="327" w:name="_Toc26243"/>
      <w:r>
        <w:rPr>
          <w:rFonts w:hint="eastAsia"/>
        </w:rPr>
        <w:t>实施农村人居环境整治提升行动</w:t>
      </w:r>
      <w:bookmarkEnd w:id="327"/>
    </w:p>
    <w:p>
      <w:pPr>
        <w:ind w:firstLine="640"/>
      </w:pPr>
      <w:r>
        <w:rPr>
          <w:rFonts w:hint="eastAsia"/>
        </w:rPr>
        <w:t>持续推进农村厕所革命、垃圾治理、污水治理等农村人居环境整治工作，</w:t>
      </w:r>
      <w:r>
        <w:rPr>
          <w:rFonts w:hint="eastAsia"/>
          <w:shd w:val="clear" w:color="auto" w:fill="FFFFFF"/>
        </w:rPr>
        <w:t>继续实施农村人居环境整治项目和农村</w:t>
      </w:r>
      <w:r>
        <w:rPr>
          <w:rFonts w:hint="eastAsia" w:ascii="仿宋_GB2312"/>
          <w:shd w:val="clear" w:color="auto" w:fill="FFFFFF"/>
        </w:rPr>
        <w:t>“</w:t>
      </w:r>
      <w:r>
        <w:rPr>
          <w:rFonts w:hint="eastAsia"/>
          <w:shd w:val="clear" w:color="auto" w:fill="FFFFFF"/>
        </w:rPr>
        <w:t>厕所革命</w:t>
      </w:r>
      <w:r>
        <w:rPr>
          <w:rFonts w:hint="eastAsia" w:ascii="仿宋_GB2312"/>
          <w:shd w:val="clear" w:color="auto" w:fill="FFFFFF"/>
        </w:rPr>
        <w:t>”</w:t>
      </w:r>
      <w:r>
        <w:rPr>
          <w:rFonts w:hint="eastAsia"/>
          <w:shd w:val="clear" w:color="auto" w:fill="FFFFFF"/>
        </w:rPr>
        <w:t>整村推进示范村项目建设，</w:t>
      </w:r>
      <w:r>
        <w:rPr>
          <w:rFonts w:hint="eastAsia"/>
        </w:rPr>
        <w:t>持续开展村庄清洁行动，加快形成环境美、村庄美、住房美、乡风美、生活美的美丽宜居乡村建设新格局。</w:t>
      </w:r>
    </w:p>
    <w:p>
      <w:pPr>
        <w:pStyle w:val="4"/>
        <w:ind w:left="-3" w:firstLine="643"/>
      </w:pPr>
      <w:bookmarkStart w:id="328" w:name="_Toc111818609"/>
      <w:bookmarkStart w:id="329" w:name="_Toc112145690"/>
      <w:bookmarkStart w:id="330" w:name="_Toc22803"/>
      <w:bookmarkStart w:id="331" w:name="_Toc114128774"/>
      <w:r>
        <w:rPr>
          <w:rFonts w:hint="eastAsia"/>
        </w:rPr>
        <w:t>扎实推进农村“厕所革命”</w:t>
      </w:r>
      <w:bookmarkEnd w:id="328"/>
      <w:bookmarkEnd w:id="329"/>
      <w:bookmarkEnd w:id="330"/>
      <w:bookmarkEnd w:id="331"/>
    </w:p>
    <w:p>
      <w:pPr>
        <w:ind w:firstLine="643"/>
      </w:pPr>
      <w:r>
        <w:rPr>
          <w:rFonts w:hint="eastAsia"/>
          <w:b/>
          <w:bCs/>
        </w:rPr>
        <w:t>一是补齐农村户厕短板。</w:t>
      </w:r>
      <w:r>
        <w:rPr>
          <w:rFonts w:hint="eastAsia"/>
        </w:rPr>
        <w:t>建立全县数据台账，明确“一村一策，一户一档”方案，优先安排20个已部分实施农村“厕所革命”的涉改村实施整村推进改厕补短板项目，重点实施无害化卫生厕所新（改）建，推动厕所粪污无害化处理或资源化利用，逐步推动就地就近消纳、综合利用，到2023年底全面补齐涉改村户厕建设短板。围绕还未实施改厕项目的涉改村，突出重点村、特色村、中心村，从2022年起，每年优先安排实施农村“厕所革命”整村推进示范村项目到省（市）级乡村振兴示范村的行政村，集中补短板、强弱项、出效果，力争到2025年全县基本完成农村厕所新（改）建，无害化卫生厕所普及率明显提高。</w:t>
      </w:r>
    </w:p>
    <w:p>
      <w:pPr>
        <w:ind w:firstLine="643"/>
      </w:pPr>
      <w:r>
        <w:rPr>
          <w:rFonts w:hint="eastAsia"/>
          <w:b/>
          <w:bCs/>
        </w:rPr>
        <w:t>二是整合资源新改建乡村公厕。</w:t>
      </w:r>
      <w:r>
        <w:rPr>
          <w:rFonts w:hint="eastAsia"/>
        </w:rPr>
        <w:t>结合幸福美丽新村基础设施建设，以及脱贫攻坚、乡村旅游发展需要，根据村庄地理位置、聚集程度、人口多少、人员流动等情况，因地制宜、合理布局确定农村公厕建设数量及地点，统筹整合有关项目资金，实施农村公厕建设。力争到2025年底，率先解决已部分实施改厕项目的合并村中无独立农村公厕问题，完成50座以上乡村公厕的新（改）建任务。</w:t>
      </w:r>
    </w:p>
    <w:p>
      <w:pPr>
        <w:ind w:firstLine="643"/>
      </w:pPr>
      <w:r>
        <w:rPr>
          <w:rFonts w:hint="eastAsia"/>
          <w:b/>
          <w:bCs/>
        </w:rPr>
        <w:t>三是加快乡村旅游厕所配套。</w:t>
      </w:r>
      <w:r>
        <w:rPr>
          <w:rFonts w:hint="eastAsia"/>
        </w:rPr>
        <w:t>按照井研县乡村旅游特色度假区建设标准，注重乡村旅游厕所与自然环境及周边建筑相协调，达到“数量充足、干净无味、实用免费、管理有效、卫生文明”的建设管理标准，推动乡村旅游厕所的建设改造工作。到2025年，全县完成10座以上乡村旅游厕所建设改造任务。</w:t>
      </w:r>
    </w:p>
    <w:p>
      <w:pPr>
        <w:pStyle w:val="4"/>
        <w:ind w:left="-3" w:firstLine="643"/>
      </w:pPr>
      <w:bookmarkStart w:id="332" w:name="_Toc114128775"/>
      <w:bookmarkStart w:id="333" w:name="_Toc112145691"/>
      <w:bookmarkStart w:id="334" w:name="_Toc9243"/>
      <w:bookmarkStart w:id="335" w:name="_Toc111818610"/>
      <w:r>
        <w:rPr>
          <w:rFonts w:hint="eastAsia"/>
        </w:rPr>
        <w:t>提升农村生活垃圾治理</w:t>
      </w:r>
      <w:bookmarkEnd w:id="332"/>
      <w:bookmarkEnd w:id="333"/>
      <w:bookmarkEnd w:id="334"/>
      <w:bookmarkEnd w:id="335"/>
    </w:p>
    <w:p>
      <w:pPr>
        <w:ind w:firstLine="643"/>
      </w:pPr>
      <w:r>
        <w:rPr>
          <w:rFonts w:hint="eastAsia"/>
          <w:b/>
          <w:bCs/>
        </w:rPr>
        <w:t>一是健全农村生活垃圾收转运处置体系。</w:t>
      </w:r>
      <w:r>
        <w:rPr>
          <w:rFonts w:hint="eastAsia"/>
        </w:rPr>
        <w:t>启动实施新一轮城乡生活垃圾处理设施建设，以提升农村有机生活垃圾、厕所粪污资源化利用水平为重点，采取阳光堆肥房、覆膜发酵或厌氧发酵、反应器式堆肥等方式建设集中式农村有机废弃物资源化利用设施。统筹相关设施建设，加强与畜禽粪污资源化利用工作结合，协同推进资源化利用。确保生活垃圾收转运处置体系覆盖率达100%，所有行政村垃圾收转运线路优化调整到位，探索实施城乡环卫一体化运营模式，提高设施设备、人员利用效率。</w:t>
      </w:r>
    </w:p>
    <w:p>
      <w:pPr>
        <w:ind w:firstLine="643"/>
      </w:pPr>
      <w:r>
        <w:rPr>
          <w:rFonts w:hint="eastAsia"/>
          <w:b/>
          <w:bCs/>
        </w:rPr>
        <w:t>二是完善农村生活垃圾设施。</w:t>
      </w:r>
      <w:r>
        <w:rPr>
          <w:rFonts w:hint="eastAsia"/>
        </w:rPr>
        <w:t>到2025年，实现行政村生活垃圾收集设施全覆盖、每个镇（街道）具备农村生活垃圾转运能力。各镇（街道）结合“两项改革”，科学设置农村生活垃圾中转点、压缩式垃圾转运站，配备各类垃圾转运车辆、村庄垃圾收集点。强化对环卫外包公司管理情况考核，完善垃圾收集、转运、处理体系，确保垃圾定点收集、日产日清。在已实行垃圾处理制度的农村地区，综合考虑当地经济发展水平、农户承受能力、垃圾处理成本等因素，合理确定收费标准，促进乡村环境改善。</w:t>
      </w:r>
    </w:p>
    <w:p>
      <w:pPr>
        <w:ind w:firstLine="643"/>
      </w:pPr>
      <w:r>
        <w:rPr>
          <w:rFonts w:hint="eastAsia"/>
          <w:b/>
          <w:bCs/>
        </w:rPr>
        <w:t>三是完善村庄保洁员机制。</w:t>
      </w:r>
      <w:r>
        <w:rPr>
          <w:rFonts w:hint="eastAsia"/>
        </w:rPr>
        <w:t>按照“两项改革”后的行政村布局，科学合理确定村组保洁员配备数量，注重提升村组保洁员的保洁能力。鼓励有条件的行政村配置专职保洁员或实施市场化购买保洁服务。加大探索“政府出一点、集体补一点、村民筹一点”的保洁员薪酬保障制度，加大农村保洁员公益性岗位开发。</w:t>
      </w:r>
    </w:p>
    <w:p>
      <w:pPr>
        <w:pStyle w:val="4"/>
        <w:ind w:left="-3" w:firstLine="643"/>
      </w:pPr>
      <w:bookmarkStart w:id="336" w:name="_Toc112145692"/>
      <w:bookmarkStart w:id="337" w:name="_Toc114128776"/>
      <w:bookmarkStart w:id="338" w:name="_Toc111818611"/>
      <w:bookmarkStart w:id="339" w:name="_Toc27784"/>
      <w:r>
        <w:rPr>
          <w:rFonts w:hint="eastAsia"/>
        </w:rPr>
        <w:t>统筹推进农村污水治理</w:t>
      </w:r>
      <w:bookmarkEnd w:id="336"/>
      <w:bookmarkEnd w:id="337"/>
      <w:bookmarkEnd w:id="338"/>
      <w:bookmarkEnd w:id="339"/>
    </w:p>
    <w:p>
      <w:pPr>
        <w:ind w:firstLine="643"/>
      </w:pPr>
      <w:r>
        <w:rPr>
          <w:rFonts w:hint="eastAsia"/>
          <w:b/>
          <w:bCs/>
        </w:rPr>
        <w:t>一是分类推进农村生活污水治理。</w:t>
      </w:r>
      <w:r>
        <w:rPr>
          <w:rFonts w:hint="eastAsia"/>
        </w:rPr>
        <w:t>继续开展散户“厕污共治”工程，推进农村散户生活污水治理。对15户或50人以上的农村居民聚居点，继续推广“三格化粪池+隔油池+人工湿地（收集池）”的五格池处理模式，做好粪污的就地资源化利用和达标排放；对居住较为分散的区域，就地就近采用无动力处理技术进行分散处理；对靠近集镇的村庄，将管网纳入城镇污水处理系统。</w:t>
      </w:r>
    </w:p>
    <w:p>
      <w:pPr>
        <w:ind w:firstLine="643"/>
        <w:rPr>
          <w:highlight w:val="green"/>
        </w:rPr>
      </w:pPr>
      <w:r>
        <w:rPr>
          <w:rFonts w:hint="eastAsia"/>
          <w:b/>
          <w:bCs/>
        </w:rPr>
        <w:t>二是开展水产尾水治理。</w:t>
      </w:r>
      <w:r>
        <w:rPr>
          <w:rFonts w:hint="eastAsia"/>
        </w:rPr>
        <w:t>严格按照《井研县规范水产养殖工作方案》要求，加快推进水产养殖节水减排，对集中连片池塘养殖和工厂化养殖区域在条件成熟的情况下开展养殖尾水集中整治。加快老旧池塘改造，引导养殖场建设进水沉淀池和养殖尾水生态净化池，促进水产养殖基础设施、生产设施装备全面升级。</w:t>
      </w:r>
    </w:p>
    <w:p>
      <w:pPr>
        <w:ind w:firstLine="643"/>
      </w:pPr>
      <w:r>
        <w:rPr>
          <w:rFonts w:hint="eastAsia"/>
          <w:b/>
          <w:bCs/>
        </w:rPr>
        <w:t>三是加强农村水环境治理。</w:t>
      </w:r>
      <w:r>
        <w:rPr>
          <w:rFonts w:hint="eastAsia"/>
        </w:rPr>
        <w:t>县境内的10条主要河流、2座中型水库、11座小（一）型水库的水环境治理全面纳入河（湖）长制管理，明确监管责任。重点推进磨池河、泥溪河、茫溪河沿岸200米范围及毛坝水库300米范围内农户生活污水治理。</w:t>
      </w:r>
    </w:p>
    <w:p>
      <w:pPr>
        <w:pStyle w:val="4"/>
        <w:ind w:left="-3" w:firstLine="643"/>
      </w:pPr>
      <w:bookmarkStart w:id="340" w:name="_Toc112145693"/>
      <w:bookmarkStart w:id="341" w:name="_Toc111818612"/>
      <w:bookmarkStart w:id="342" w:name="_Toc114128777"/>
      <w:bookmarkStart w:id="343" w:name="_Toc8607"/>
      <w:r>
        <w:rPr>
          <w:rFonts w:hint="eastAsia"/>
        </w:rPr>
        <w:t>推动村容村貌整体提升</w:t>
      </w:r>
      <w:bookmarkEnd w:id="340"/>
      <w:bookmarkEnd w:id="341"/>
      <w:bookmarkEnd w:id="342"/>
      <w:bookmarkEnd w:id="343"/>
    </w:p>
    <w:p>
      <w:pPr>
        <w:ind w:firstLine="643"/>
      </w:pPr>
      <w:r>
        <w:rPr>
          <w:rFonts w:hint="eastAsia"/>
          <w:b/>
          <w:bCs/>
        </w:rPr>
        <w:t>一是改善村庄公共环境。</w:t>
      </w:r>
      <w:r>
        <w:rPr>
          <w:rFonts w:hint="eastAsia"/>
        </w:rPr>
        <w:t>实施乡村绿化美化行动，深入推进“绿秀井研”行动，见缝插绿，大面积绿化、美化房前屋后、田边土坎、沟渠溪边、村组道路，通过农村“四旁”</w:t>
      </w:r>
      <w:r>
        <w:footnoteReference w:id="13"/>
      </w:r>
      <w:r>
        <w:rPr>
          <w:rFonts w:hint="eastAsia"/>
        </w:rPr>
        <w:t>植树推进村落绿化。全面清理私搭乱建、乱堆乱放，整治残垣断壁，通过集约利用村庄内部闲置土地等方式扩大村庄公共空间。积极组织开展院落整理，广泛动员引导农户对院落和公共场地进行优化布局、清理整治，适度开展围墙整修、大门砌护、院子铺装、庭院绿化等工作，推进生产区和生活区分离，做到庭院布局合理、干净整洁、富有特色。</w:t>
      </w:r>
    </w:p>
    <w:p>
      <w:pPr>
        <w:ind w:firstLine="643"/>
      </w:pPr>
      <w:r>
        <w:rPr>
          <w:rFonts w:hint="eastAsia"/>
          <w:b/>
          <w:bCs/>
        </w:rPr>
        <w:t>二是加强乡村风貌引导。</w:t>
      </w:r>
      <w:r>
        <w:rPr>
          <w:rFonts w:hint="eastAsia"/>
        </w:rPr>
        <w:t>加强农村宅基地审批和农房建设管理，进一步完善村容村貌提升导则和农房设计推荐图集，有序推进旧村风貌改造和新村风貌管控，鼓励有条件的农户使用符合当地特色的定制农房设计。建筑风貌根据地域文化特征进行差异化、特色化打造，整体呈现“青瓦出檐长，穿斗过白墙，庭院通天井，竹下倚闲廊”的蜀川文化特色建筑风貌。</w:t>
      </w:r>
    </w:p>
    <w:p>
      <w:pPr>
        <w:ind w:firstLine="643"/>
      </w:pPr>
      <w:r>
        <w:rPr>
          <w:rFonts w:hint="eastAsia"/>
          <w:b/>
          <w:bCs/>
        </w:rPr>
        <w:t>三是全面建立有效机制。</w:t>
      </w:r>
      <w:r>
        <w:rPr>
          <w:rFonts w:hint="eastAsia"/>
        </w:rPr>
        <w:t>建立投入、管护、评比机制，以村集体经济为载体，在壮大村集体经济的同时，将部分收益补充到公共设施维修、环境整治等公益基金，有效解决资金不足的问题；组织党员干部、群众，组成志愿服务队，不定期轮流对村级公共设施、基础设施等进行维护；同时，落实享受低保、精准扶贫等政策的群众和卫生保洁队伍，定期对村组道路、公共区域等进行卫生清扫，保证乡村环境卫生常年干净、清洁；每年定期开展“三创三比三红”“洁美家庭”等评选活动，对环境卫生干净整洁的家庭进行集中命名并实施物质奖励，对环境卫生糟糕的家庭在党员大会、村民代表大会等会议上进行通报批评，让其知耻而后勇，奋力向先进靠近，形成了互学互鉴、比学赶超的良好氛围。有效解决投入不足、难以长期维持等问题，实现短期向长期转变。</w:t>
      </w:r>
    </w:p>
    <w:p>
      <w:pPr>
        <w:pStyle w:val="3"/>
      </w:pPr>
      <w:bookmarkStart w:id="344" w:name="_Toc30320"/>
      <w:r>
        <w:rPr>
          <w:rFonts w:hint="eastAsia"/>
        </w:rPr>
        <w:t>强化农村公共基础设施建设</w:t>
      </w:r>
      <w:bookmarkEnd w:id="344"/>
    </w:p>
    <w:p>
      <w:pPr>
        <w:ind w:firstLine="640"/>
      </w:pPr>
      <w:r>
        <w:rPr>
          <w:rFonts w:hint="eastAsia"/>
          <w:shd w:val="clear" w:color="auto" w:fill="FFFFFF"/>
        </w:rPr>
        <w:t>巩固“四好农村路”国家级示范县创建成果，</w:t>
      </w:r>
      <w:r>
        <w:rPr>
          <w:shd w:val="clear" w:color="auto" w:fill="FFFFFF"/>
        </w:rPr>
        <w:t>全面实施</w:t>
      </w:r>
      <w:r>
        <w:rPr>
          <w:rFonts w:hint="eastAsia"/>
          <w:shd w:val="clear" w:color="auto" w:fill="FFFFFF"/>
        </w:rPr>
        <w:t>农村公路县乡村三级</w:t>
      </w:r>
      <w:r>
        <w:rPr>
          <w:rFonts w:hint="eastAsia" w:ascii="仿宋_GB2312" w:hAnsi="仿宋"/>
          <w:shd w:val="clear" w:color="auto" w:fill="FFFFFF"/>
        </w:rPr>
        <w:t>“</w:t>
      </w:r>
      <w:r>
        <w:rPr>
          <w:shd w:val="clear" w:color="auto" w:fill="FFFFFF"/>
        </w:rPr>
        <w:t>路长制</w:t>
      </w:r>
      <w:r>
        <w:rPr>
          <w:rFonts w:hint="eastAsia" w:ascii="仿宋_GB2312" w:hAnsi="仿宋"/>
          <w:shd w:val="clear" w:color="auto" w:fill="FFFFFF"/>
        </w:rPr>
        <w:t>”</w:t>
      </w:r>
      <w:r>
        <w:rPr>
          <w:shd w:val="clear" w:color="auto" w:fill="FFFFFF"/>
        </w:rPr>
        <w:t>。加强农村集中式饮用水水源保护管理，实施农村供水保障工程。实施乡村电网巩固提升工程。持续推动天然气供气设施向农村延伸。推动农村光纤宽带和4G网络深度覆盖、5G网络向农村延伸。</w:t>
      </w:r>
    </w:p>
    <w:p>
      <w:pPr>
        <w:pStyle w:val="4"/>
        <w:ind w:left="-3" w:firstLine="643"/>
      </w:pPr>
      <w:bookmarkStart w:id="345" w:name="_Toc111650388"/>
      <w:bookmarkStart w:id="346" w:name="_Toc112145695"/>
      <w:bookmarkStart w:id="347" w:name="_Toc114128779"/>
      <w:bookmarkStart w:id="348" w:name="_Toc111192784"/>
      <w:bookmarkStart w:id="349" w:name="_Toc111818614"/>
      <w:bookmarkStart w:id="350" w:name="_Toc32300"/>
      <w:r>
        <w:rPr>
          <w:rFonts w:hint="eastAsia"/>
        </w:rPr>
        <w:t>优化完善延伸农村公路网</w:t>
      </w:r>
      <w:bookmarkEnd w:id="345"/>
      <w:bookmarkEnd w:id="346"/>
      <w:bookmarkEnd w:id="347"/>
      <w:bookmarkEnd w:id="348"/>
      <w:bookmarkEnd w:id="349"/>
      <w:bookmarkEnd w:id="350"/>
    </w:p>
    <w:p>
      <w:pPr>
        <w:ind w:firstLine="643"/>
        <w:rPr>
          <w:shd w:val="clear" w:color="auto" w:fill="FFFFFF"/>
        </w:rPr>
      </w:pPr>
      <w:r>
        <w:rPr>
          <w:rFonts w:hint="eastAsia"/>
          <w:b/>
          <w:bCs/>
          <w:shd w:val="clear" w:color="auto" w:fill="FFFFFF"/>
        </w:rPr>
        <w:t>一是</w:t>
      </w:r>
      <w:r>
        <w:rPr>
          <w:b/>
          <w:bCs/>
          <w:shd w:val="clear" w:color="auto" w:fill="FFFFFF"/>
        </w:rPr>
        <w:t>加快重点交通基础设施建设。</w:t>
      </w:r>
      <w:r>
        <w:rPr>
          <w:shd w:val="clear" w:color="auto" w:fill="FFFFFF"/>
        </w:rPr>
        <w:t>以</w:t>
      </w:r>
      <w:r>
        <w:rPr>
          <w:rFonts w:hint="eastAsia" w:ascii="仿宋_GB2312" w:hAnsi="仿宋"/>
          <w:shd w:val="clear" w:color="auto" w:fill="FFFFFF"/>
        </w:rPr>
        <w:t>“</w:t>
      </w:r>
      <w:r>
        <w:rPr>
          <w:shd w:val="clear" w:color="auto" w:fill="FFFFFF"/>
        </w:rPr>
        <w:t>调布局、优结构、重衔接、保生态</w:t>
      </w:r>
      <w:r>
        <w:rPr>
          <w:rFonts w:hint="eastAsia" w:ascii="仿宋_GB2312" w:hAnsi="仿宋"/>
          <w:shd w:val="clear" w:color="auto" w:fill="FFFFFF"/>
        </w:rPr>
        <w:t>”</w:t>
      </w:r>
      <w:r>
        <w:rPr>
          <w:shd w:val="clear" w:color="auto" w:fill="FFFFFF"/>
        </w:rPr>
        <w:t>为重点，通过完善农村公路网结构、逐步实施提档升级，改善井研县农村基础设施薄弱状况，提升整体运行效益，服务产业布局，促进农村经济提质增效，方便群众生产生活出行，逐步实现</w:t>
      </w:r>
      <w:r>
        <w:rPr>
          <w:rFonts w:hint="eastAsia" w:ascii="仿宋_GB2312" w:hAnsi="仿宋"/>
          <w:shd w:val="clear" w:color="auto" w:fill="FFFFFF"/>
        </w:rPr>
        <w:t>“</w:t>
      </w:r>
      <w:r>
        <w:rPr>
          <w:shd w:val="clear" w:color="auto" w:fill="FFFFFF"/>
        </w:rPr>
        <w:t>有路行</w:t>
      </w:r>
      <w:r>
        <w:rPr>
          <w:rFonts w:hint="eastAsia" w:ascii="仿宋_GB2312" w:hAnsi="仿宋"/>
          <w:shd w:val="clear" w:color="auto" w:fill="FFFFFF"/>
        </w:rPr>
        <w:t>”</w:t>
      </w:r>
      <w:r>
        <w:rPr>
          <w:shd w:val="clear" w:color="auto" w:fill="FFFFFF"/>
        </w:rPr>
        <w:t>到</w:t>
      </w:r>
      <w:r>
        <w:rPr>
          <w:rFonts w:hint="eastAsia" w:ascii="仿宋_GB2312" w:hAnsi="仿宋"/>
          <w:shd w:val="clear" w:color="auto" w:fill="FFFFFF"/>
        </w:rPr>
        <w:t>“</w:t>
      </w:r>
      <w:r>
        <w:rPr>
          <w:shd w:val="clear" w:color="auto" w:fill="FFFFFF"/>
        </w:rPr>
        <w:t>好路行</w:t>
      </w:r>
      <w:r>
        <w:rPr>
          <w:rFonts w:hint="eastAsia" w:ascii="仿宋_GB2312" w:hAnsi="仿宋"/>
          <w:shd w:val="clear" w:color="auto" w:fill="FFFFFF"/>
        </w:rPr>
        <w:t>”</w:t>
      </w:r>
      <w:r>
        <w:rPr>
          <w:shd w:val="clear" w:color="auto" w:fill="FFFFFF"/>
        </w:rPr>
        <w:t>。统筹产业道路、农村公路协调发展，</w:t>
      </w:r>
      <w:r>
        <w:rPr>
          <w:rFonts w:hint="eastAsia"/>
          <w:shd w:val="clear" w:color="auto" w:fill="FFFFFF"/>
        </w:rPr>
        <w:t>推进百里观光旅游乡村道路和百里粮油走廊主干道建设，完成乐石路、井白路、竹广路、乌镇路等美丽乡村路。</w:t>
      </w:r>
    </w:p>
    <w:p>
      <w:pPr>
        <w:ind w:firstLine="643"/>
      </w:pPr>
      <w:r>
        <w:rPr>
          <w:rFonts w:hint="eastAsia"/>
          <w:b/>
          <w:bCs/>
          <w:shd w:val="clear" w:color="auto" w:fill="FFFFFF"/>
        </w:rPr>
        <w:t>二是加快新（改）建村组道路。</w:t>
      </w:r>
      <w:r>
        <w:rPr>
          <w:rFonts w:hint="eastAsia"/>
          <w:shd w:val="clear" w:color="auto" w:fill="FFFFFF"/>
        </w:rPr>
        <w:t>结合人居环境整治，加快新（改）建村组道路和入户路。围绕打通居民出行“最后一公里”，加快提升常住人口3</w:t>
      </w:r>
      <w:r>
        <w:rPr>
          <w:shd w:val="clear" w:color="auto" w:fill="FFFFFF"/>
        </w:rPr>
        <w:t>0</w:t>
      </w:r>
      <w:r>
        <w:rPr>
          <w:rFonts w:hint="eastAsia"/>
          <w:shd w:val="clear" w:color="auto" w:fill="FFFFFF"/>
        </w:rPr>
        <w:t>户以上的村民小组通硬化路率，扩大受益群众范围；围绕撤并建制村公共服务水平不降低，支持撤并建制村至中心村公路联网道路建设；围绕提升农村公路安全保证能力，推进马踏旧大桥、东林沙溪桥、王村旧大桥和三江月波桥4座危桥改造，同时实施村道生命防护工程。</w:t>
      </w:r>
    </w:p>
    <w:p>
      <w:pPr>
        <w:ind w:firstLine="643"/>
        <w:rPr>
          <w:shd w:val="clear" w:color="auto" w:fill="FFFFFF"/>
        </w:rPr>
      </w:pPr>
      <w:r>
        <w:rPr>
          <w:rFonts w:hint="eastAsia"/>
          <w:b/>
          <w:bCs/>
          <w:shd w:val="clear" w:color="auto" w:fill="FFFFFF"/>
        </w:rPr>
        <w:t>三是</w:t>
      </w:r>
      <w:r>
        <w:rPr>
          <w:b/>
          <w:bCs/>
          <w:shd w:val="clear" w:color="auto" w:fill="FFFFFF"/>
        </w:rPr>
        <w:t>全面开通乡村客运线路。</w:t>
      </w:r>
      <w:r>
        <w:rPr>
          <w:shd w:val="clear" w:color="auto" w:fill="FFFFFF"/>
        </w:rPr>
        <w:t>实施乡村客运</w:t>
      </w:r>
      <w:r>
        <w:rPr>
          <w:rFonts w:hint="eastAsia" w:ascii="仿宋_GB2312" w:hAnsi="仿宋"/>
          <w:shd w:val="clear" w:color="auto" w:fill="FFFFFF"/>
        </w:rPr>
        <w:t>“</w:t>
      </w:r>
      <w:r>
        <w:rPr>
          <w:shd w:val="clear" w:color="auto" w:fill="FFFFFF"/>
        </w:rPr>
        <w:t>金通工程</w:t>
      </w:r>
      <w:r>
        <w:rPr>
          <w:rFonts w:hint="eastAsia" w:ascii="仿宋_GB2312" w:hAnsi="仿宋"/>
          <w:shd w:val="clear" w:color="auto" w:fill="FFFFFF"/>
        </w:rPr>
        <w:t>”</w:t>
      </w:r>
      <w:r>
        <w:rPr>
          <w:rStyle w:val="42"/>
          <w:rFonts w:ascii="仿宋_GB2312" w:hAnsi="仿宋"/>
          <w:shd w:val="clear" w:color="auto" w:fill="FFFFFF"/>
        </w:rPr>
        <w:footnoteReference w:id="14"/>
      </w:r>
      <w:r>
        <w:rPr>
          <w:shd w:val="clear" w:color="auto" w:fill="FFFFFF"/>
        </w:rPr>
        <w:t>，落实客运LOGO标识、招呼站（牌）、车辆标识、从业人员标识</w:t>
      </w:r>
      <w:r>
        <w:rPr>
          <w:rFonts w:hint="eastAsia" w:ascii="仿宋_GB2312" w:hAnsi="仿宋"/>
          <w:shd w:val="clear" w:color="auto" w:fill="FFFFFF"/>
        </w:rPr>
        <w:t>“</w:t>
      </w:r>
      <w:r>
        <w:rPr>
          <w:shd w:val="clear" w:color="auto" w:fill="FFFFFF"/>
        </w:rPr>
        <w:t>四统一</w:t>
      </w:r>
      <w:r>
        <w:rPr>
          <w:rFonts w:hint="eastAsia" w:ascii="仿宋_GB2312" w:hAnsi="仿宋"/>
          <w:shd w:val="clear" w:color="auto" w:fill="FFFFFF"/>
        </w:rPr>
        <w:t>”</w:t>
      </w:r>
      <w:r>
        <w:rPr>
          <w:shd w:val="clear" w:color="auto" w:fill="FFFFFF"/>
        </w:rPr>
        <w:t>要求，优先安排和完成通客车线路升级改造，加快农村公路生命防护工程和村道窄路基加宽工程，为农村客运提供更加安全可靠的基础通行条件。创建国家级</w:t>
      </w:r>
      <w:r>
        <w:rPr>
          <w:rFonts w:hint="eastAsia" w:ascii="仿宋_GB2312" w:hAnsi="仿宋"/>
          <w:shd w:val="clear" w:color="auto" w:fill="FFFFFF"/>
        </w:rPr>
        <w:t>“</w:t>
      </w:r>
      <w:r>
        <w:rPr>
          <w:shd w:val="clear" w:color="auto" w:fill="FFFFFF"/>
        </w:rPr>
        <w:t>四好农村路</w:t>
      </w:r>
      <w:r>
        <w:rPr>
          <w:rFonts w:hint="eastAsia" w:ascii="仿宋_GB2312" w:hAnsi="仿宋"/>
          <w:shd w:val="clear" w:color="auto" w:fill="FFFFFF"/>
        </w:rPr>
        <w:t>”</w:t>
      </w:r>
      <w:r>
        <w:rPr>
          <w:shd w:val="clear" w:color="auto" w:fill="FFFFFF"/>
        </w:rPr>
        <w:t>示范县</w:t>
      </w:r>
      <w:r>
        <w:rPr>
          <w:rFonts w:hint="eastAsia"/>
          <w:shd w:val="clear" w:color="auto" w:fill="FFFFFF"/>
        </w:rPr>
        <w:t>、“金通工程”样板县</w:t>
      </w:r>
      <w:r>
        <w:rPr>
          <w:shd w:val="clear" w:color="auto" w:fill="FFFFFF"/>
        </w:rPr>
        <w:t>。</w:t>
      </w:r>
    </w:p>
    <w:p>
      <w:pPr>
        <w:pStyle w:val="4"/>
        <w:ind w:left="-3" w:firstLine="643"/>
      </w:pPr>
      <w:bookmarkStart w:id="351" w:name="_Toc111192785"/>
      <w:bookmarkStart w:id="352" w:name="_Toc111818615"/>
      <w:bookmarkStart w:id="353" w:name="_Toc112145696"/>
      <w:bookmarkStart w:id="354" w:name="_Toc114128780"/>
      <w:bookmarkStart w:id="355" w:name="_Toc27934"/>
      <w:bookmarkStart w:id="356" w:name="_Toc111650389"/>
      <w:bookmarkStart w:id="357" w:name="_Toc98702551"/>
      <w:r>
        <w:rPr>
          <w:rFonts w:hint="eastAsia"/>
        </w:rPr>
        <w:t>全方位保障农业农村用水</w:t>
      </w:r>
      <w:bookmarkEnd w:id="351"/>
      <w:bookmarkEnd w:id="352"/>
      <w:bookmarkEnd w:id="353"/>
      <w:bookmarkEnd w:id="354"/>
      <w:bookmarkEnd w:id="355"/>
      <w:bookmarkEnd w:id="356"/>
    </w:p>
    <w:bookmarkEnd w:id="357"/>
    <w:p>
      <w:pPr>
        <w:ind w:firstLine="643"/>
      </w:pPr>
      <w:r>
        <w:rPr>
          <w:rFonts w:hint="eastAsia"/>
          <w:b/>
          <w:bCs/>
        </w:rPr>
        <w:t>一是实施城乡一体化供水工程。</w:t>
      </w:r>
      <w:r>
        <w:rPr>
          <w:rFonts w:hint="eastAsia"/>
        </w:rPr>
        <w:t>推动大佛水厂二期工程、县城水厂和马踏水厂提升改造及配套供水管网建设，落实全县供水系统方案，实现北部、中部、南部三大片区联合供水，有序推进城乡供水一体化和农村供水规模化建设。</w:t>
      </w:r>
    </w:p>
    <w:p>
      <w:pPr>
        <w:ind w:firstLine="643"/>
      </w:pPr>
      <w:r>
        <w:rPr>
          <w:rFonts w:hint="eastAsia"/>
          <w:b/>
          <w:bCs/>
        </w:rPr>
        <w:t>二是推进白井干渠工程建设。</w:t>
      </w:r>
      <w:r>
        <w:rPr>
          <w:rFonts w:hint="eastAsia"/>
        </w:rPr>
        <w:t>充分利用县域内茫溪河作为岷江下游左岸一级支流的基础优势，持续推进都江堰井研灌区续建配套与现代化改造工程（白井干渠）建设，将其作为都江堰井研灌区的补充水源，重点开展取水工程、输水工程、出水口工程。</w:t>
      </w:r>
    </w:p>
    <w:p>
      <w:pPr>
        <w:ind w:firstLine="643"/>
      </w:pPr>
      <w:r>
        <w:rPr>
          <w:rFonts w:hint="eastAsia"/>
          <w:b/>
          <w:bCs/>
        </w:rPr>
        <w:t>三是推动水系连通及水美乡村建设。</w:t>
      </w:r>
      <w:r>
        <w:rPr>
          <w:rFonts w:hint="eastAsia"/>
        </w:rPr>
        <w:t>按照长江经济带发展共抓大保护、不搞大开发的要求，对里仁河及蒲亭沟流域进行综合整治，立足绿色发展理念，在确保下游水质的基础上，推动流域综合开发，带动沿线群众脱贫致富，实现乡村振兴，筑牢长江上游生态屏障。以河流水系为脉络，以村庄为节点，水域岸线并治，集中连片统筹规划，对里仁河、蒲亭沟2条河流进行全流域综合整治。</w:t>
      </w:r>
    </w:p>
    <w:p>
      <w:pPr>
        <w:pStyle w:val="4"/>
        <w:ind w:left="-3" w:firstLine="643"/>
      </w:pPr>
      <w:bookmarkStart w:id="358" w:name="_Toc111192786"/>
      <w:bookmarkStart w:id="359" w:name="_Toc98702552"/>
      <w:bookmarkStart w:id="360" w:name="_Toc111818616"/>
      <w:bookmarkStart w:id="361" w:name="_Toc111650390"/>
      <w:bookmarkStart w:id="362" w:name="_Toc112145697"/>
      <w:bookmarkStart w:id="363" w:name="_Toc114128781"/>
      <w:bookmarkStart w:id="364" w:name="_Toc969"/>
      <w:r>
        <w:rPr>
          <w:rFonts w:hint="eastAsia"/>
        </w:rPr>
        <w:t>构建现代化乡村能源体系</w:t>
      </w:r>
      <w:bookmarkEnd w:id="358"/>
      <w:bookmarkEnd w:id="359"/>
      <w:bookmarkEnd w:id="360"/>
      <w:bookmarkEnd w:id="361"/>
      <w:bookmarkEnd w:id="362"/>
      <w:bookmarkEnd w:id="363"/>
      <w:bookmarkEnd w:id="364"/>
    </w:p>
    <w:p>
      <w:pPr>
        <w:ind w:firstLine="640"/>
      </w:pPr>
      <w:r>
        <w:rPr>
          <w:rFonts w:hint="eastAsia" w:ascii="仿宋_GB2312" w:cs="仿宋_GB2312" w:hAnsiTheme="minorHAnsi"/>
          <w:kern w:val="0"/>
          <w:szCs w:val="32"/>
        </w:rPr>
        <w:t>加强农村电网保障能力建设，实施乡村电网巩固提升工程。持续推进天然气供气设施向农村延伸，主动调整农村能源结构，建设安全可靠的乡村储气罐站和微管网供气系统，加大对规模化大型沼气、太阳能利用等技术的推广应用，逐步推动天然气向农村覆盖。</w:t>
      </w:r>
      <w:r>
        <w:rPr>
          <w:rFonts w:hint="eastAsia"/>
        </w:rPr>
        <w:t>以</w:t>
      </w:r>
      <w:r>
        <w:rPr>
          <w:rFonts w:hint="eastAsia" w:ascii="仿宋_GB2312"/>
        </w:rPr>
        <w:t>“</w:t>
      </w:r>
      <w:r>
        <w:rPr>
          <w:rFonts w:hint="eastAsia"/>
        </w:rPr>
        <w:t>大沼工程</w:t>
      </w:r>
      <w:r>
        <w:rPr>
          <w:rFonts w:hint="eastAsia" w:ascii="仿宋_GB2312"/>
        </w:rPr>
        <w:t>”</w:t>
      </w:r>
      <w:r>
        <w:rPr>
          <w:rFonts w:hint="eastAsia"/>
        </w:rPr>
        <w:t>建设为核心，大力推动沼气工程向集中居住区、园区、厂房等规模化用能区域多渠道直接供气或分布式供气。</w:t>
      </w:r>
      <w:r>
        <w:t>围绕纯复镇太阳能光伏变电站基地建设，大力开展太阳能在民用建筑、景观打造、城市建设等生产生活领域的综合应用，加快太阳能相关配套产业发展。</w:t>
      </w:r>
    </w:p>
    <w:p>
      <w:pPr>
        <w:pStyle w:val="4"/>
        <w:ind w:left="-3" w:firstLine="643"/>
      </w:pPr>
      <w:bookmarkStart w:id="365" w:name="_Toc111818617"/>
      <w:bookmarkStart w:id="366" w:name="_Toc112145698"/>
      <w:bookmarkStart w:id="367" w:name="_Toc29556"/>
      <w:bookmarkStart w:id="368" w:name="_Toc114128782"/>
      <w:r>
        <w:rPr>
          <w:rFonts w:hint="eastAsia"/>
        </w:rPr>
        <w:t>实施数字乡村建设发展工程</w:t>
      </w:r>
      <w:bookmarkEnd w:id="365"/>
      <w:bookmarkEnd w:id="366"/>
      <w:bookmarkEnd w:id="367"/>
      <w:bookmarkEnd w:id="368"/>
    </w:p>
    <w:p>
      <w:pPr>
        <w:ind w:firstLine="640"/>
      </w:pPr>
      <w:r>
        <w:rPr>
          <w:rFonts w:hint="eastAsia"/>
        </w:rPr>
        <w:t>推动农村光纤宽带及“智慧广电”和4G网络全覆盖基础上的5G网络向农村延伸。实施“一镇（村）一屏”智慧广电助农工程，打造“政务+商务+服务”综合化示范平台。推进基层应急广播体系建设，向乡村居民提供灾害预警应急广播和政务信息发布、政策宣讲服务，提升乡村基础设施数字化水平。</w:t>
      </w:r>
    </w:p>
    <w:p>
      <w:pPr>
        <w:pStyle w:val="3"/>
      </w:pPr>
      <w:bookmarkStart w:id="369" w:name="_Toc12001"/>
      <w:r>
        <w:rPr>
          <w:rFonts w:hint="eastAsia"/>
        </w:rPr>
        <w:t>提升乡村基本公共服务水平</w:t>
      </w:r>
      <w:bookmarkEnd w:id="369"/>
    </w:p>
    <w:p>
      <w:pPr>
        <w:ind w:firstLine="640"/>
      </w:pPr>
      <w:r>
        <w:rPr>
          <w:rFonts w:hint="eastAsia"/>
          <w:shd w:val="clear" w:color="auto" w:fill="FFFFFF"/>
        </w:rPr>
        <w:t>以提升农村公共服务水平为主线，全面提升农村教育、医疗、社保、养老、文体等公共服务水平，加快推进城乡基本公共服务均等化，增进人民福祉、</w:t>
      </w:r>
      <w:r>
        <w:rPr>
          <w:rFonts w:hint="eastAsia"/>
          <w:highlight w:val="none"/>
          <w:shd w:val="clear" w:color="auto" w:fill="FFFFFF"/>
        </w:rPr>
        <w:t>促进</w:t>
      </w:r>
      <w:r>
        <w:rPr>
          <w:rFonts w:hint="eastAsia"/>
          <w:highlight w:val="none"/>
          <w:shd w:val="clear" w:color="auto" w:fill="FFFFFF"/>
          <w:lang w:eastAsia="zh-CN"/>
        </w:rPr>
        <w:t>人的</w:t>
      </w:r>
      <w:r>
        <w:rPr>
          <w:rFonts w:hint="eastAsia"/>
          <w:highlight w:val="none"/>
          <w:shd w:val="clear" w:color="auto" w:fill="FFFFFF"/>
        </w:rPr>
        <w:t>全面发展。</w:t>
      </w:r>
    </w:p>
    <w:p>
      <w:pPr>
        <w:pStyle w:val="4"/>
        <w:ind w:left="-3" w:firstLine="643"/>
      </w:pPr>
      <w:bookmarkStart w:id="370" w:name="_Toc111650401"/>
      <w:bookmarkStart w:id="371" w:name="_Toc111192797"/>
      <w:bookmarkStart w:id="372" w:name="_Toc11513"/>
      <w:bookmarkStart w:id="373" w:name="_Toc112145700"/>
      <w:bookmarkStart w:id="374" w:name="_Toc114128784"/>
      <w:bookmarkStart w:id="375" w:name="_Toc98702564"/>
      <w:bookmarkStart w:id="376" w:name="_Toc111818619"/>
      <w:r>
        <w:rPr>
          <w:rFonts w:hint="eastAsia"/>
        </w:rPr>
        <w:t>促进城乡教育资源均衡配置</w:t>
      </w:r>
      <w:bookmarkEnd w:id="370"/>
      <w:bookmarkEnd w:id="371"/>
      <w:bookmarkEnd w:id="372"/>
      <w:bookmarkEnd w:id="373"/>
      <w:bookmarkEnd w:id="374"/>
      <w:bookmarkEnd w:id="375"/>
      <w:bookmarkEnd w:id="376"/>
    </w:p>
    <w:p>
      <w:pPr>
        <w:ind w:firstLine="640"/>
      </w:pPr>
      <w:r>
        <w:rPr>
          <w:rFonts w:hint="eastAsia"/>
        </w:rPr>
        <w:t>优先发展农村教育事业，建立以城带乡、整体推进、城乡一体、均衡发展的义务教育发展机制。建立统筹规划、统一选拔的乡村教师补充机制，为乡村学校输送优秀高校毕业生。推动教师资源向乡村倾斜，通过稳步提高待遇等措施增强乡村教师岗位吸引力。推行区域内校长、教师交流轮岗和城乡教育联合体模式。完善教育信息化发展机制，推动优质教育资源城乡共享。多渠道增加乡村普惠性学前教育资源，推行城乡义务教育学校标准化建设，加强寄宿制学校建设。</w:t>
      </w:r>
    </w:p>
    <w:p>
      <w:pPr>
        <w:pStyle w:val="4"/>
        <w:ind w:left="-3" w:firstLine="643"/>
      </w:pPr>
      <w:bookmarkStart w:id="377" w:name="_Toc98702565"/>
      <w:bookmarkStart w:id="378" w:name="_Toc111192798"/>
      <w:bookmarkStart w:id="379" w:name="_Toc111818620"/>
      <w:bookmarkStart w:id="380" w:name="_Toc112145701"/>
      <w:bookmarkStart w:id="381" w:name="_Toc29315"/>
      <w:bookmarkStart w:id="382" w:name="_Toc114128785"/>
      <w:bookmarkStart w:id="383" w:name="_Toc111650402"/>
      <w:r>
        <w:rPr>
          <w:rFonts w:hint="eastAsia"/>
        </w:rPr>
        <w:t>健全乡村医疗卫生服务体系</w:t>
      </w:r>
      <w:bookmarkEnd w:id="377"/>
      <w:bookmarkEnd w:id="378"/>
      <w:bookmarkEnd w:id="379"/>
      <w:bookmarkEnd w:id="380"/>
      <w:bookmarkEnd w:id="381"/>
      <w:bookmarkEnd w:id="382"/>
      <w:bookmarkEnd w:id="383"/>
    </w:p>
    <w:p>
      <w:pPr>
        <w:ind w:firstLine="640"/>
      </w:pPr>
      <w:r>
        <w:rPr>
          <w:rFonts w:hint="eastAsia"/>
        </w:rPr>
        <w:t>建立和完善相关政策制度，增加基层医务人员岗位吸引力，加强乡村医疗卫生人才队伍建设。全面推进</w:t>
      </w:r>
      <w:r>
        <w:rPr>
          <w:rFonts w:hint="eastAsia" w:ascii="仿宋_GB2312" w:hAnsi="仿宋"/>
        </w:rPr>
        <w:t>“</w:t>
      </w:r>
      <w:r>
        <w:rPr>
          <w:rFonts w:hint="eastAsia"/>
        </w:rPr>
        <w:t>医通、人通、财通</w:t>
      </w:r>
      <w:r>
        <w:rPr>
          <w:rFonts w:hint="eastAsia" w:ascii="仿宋_GB2312" w:hAnsi="仿宋"/>
        </w:rPr>
        <w:t>”</w:t>
      </w:r>
      <w:r>
        <w:rPr>
          <w:rFonts w:hint="eastAsia"/>
        </w:rPr>
        <w:t>建设，提升农村医疗卫生服务能力。优化调整基层卫生规划设置，构建</w:t>
      </w:r>
      <w:r>
        <w:rPr>
          <w:rFonts w:hint="eastAsia" w:ascii="仿宋_GB2312" w:hAnsi="仿宋"/>
        </w:rPr>
        <w:t>“</w:t>
      </w:r>
      <w:r>
        <w:t>15</w:t>
      </w:r>
      <w:r>
        <w:rPr>
          <w:rFonts w:hint="eastAsia"/>
        </w:rPr>
        <w:t>分钟医疗服务圈</w:t>
      </w:r>
      <w:r>
        <w:rPr>
          <w:rFonts w:hint="eastAsia" w:ascii="仿宋_GB2312" w:hAnsi="仿宋"/>
        </w:rPr>
        <w:t>”</w:t>
      </w:r>
      <w:r>
        <w:rPr>
          <w:rFonts w:hint="eastAsia"/>
        </w:rPr>
        <w:t>。健全网络化服务运行机制，鼓励县医院与镇（街道）卫生院建立区域医共体，建立对口帮扶、巡回医疗和远程医疗机制。全面建立分级诊疗制度，实行差别化医保支付政策。因地制宜建立完善全民健身服务体系。</w:t>
      </w:r>
    </w:p>
    <w:p>
      <w:pPr>
        <w:pStyle w:val="4"/>
        <w:ind w:left="-3" w:firstLine="643"/>
      </w:pPr>
      <w:bookmarkStart w:id="384" w:name="_Toc112145702"/>
      <w:bookmarkStart w:id="385" w:name="_Toc12192"/>
      <w:bookmarkStart w:id="386" w:name="_Toc111650403"/>
      <w:bookmarkStart w:id="387" w:name="_Toc114128786"/>
      <w:bookmarkStart w:id="388" w:name="_Toc111818621"/>
      <w:bookmarkStart w:id="389" w:name="_Toc98702566"/>
      <w:bookmarkStart w:id="390" w:name="_Toc111192799"/>
      <w:r>
        <w:rPr>
          <w:rFonts w:hint="eastAsia"/>
        </w:rPr>
        <w:t>统筹城乡公共文化服务体系</w:t>
      </w:r>
      <w:bookmarkEnd w:id="384"/>
      <w:bookmarkEnd w:id="385"/>
      <w:bookmarkEnd w:id="386"/>
      <w:bookmarkEnd w:id="387"/>
      <w:bookmarkEnd w:id="388"/>
      <w:bookmarkEnd w:id="389"/>
      <w:bookmarkEnd w:id="390"/>
    </w:p>
    <w:p>
      <w:pPr>
        <w:ind w:firstLine="640"/>
      </w:pPr>
      <w:r>
        <w:rPr>
          <w:rFonts w:hint="eastAsia"/>
        </w:rPr>
        <w:t>统筹城乡公共文化设施布局、服务提供、队伍建设，推动文化资源重点向乡村倾斜，提高服务的覆盖面和适用性。推行公共文化服务参与式管理模式，建立城乡居民评价与反馈机制，引导居民参与公共文化服务项目规划、建设、管理和监督，推动服务项目与居民需求有效对接。</w:t>
      </w:r>
    </w:p>
    <w:p>
      <w:pPr>
        <w:pStyle w:val="4"/>
        <w:ind w:left="-3" w:firstLine="643"/>
      </w:pPr>
      <w:bookmarkStart w:id="391" w:name="_Toc111650404"/>
      <w:bookmarkStart w:id="392" w:name="_Toc112145703"/>
      <w:bookmarkStart w:id="393" w:name="_Toc114128787"/>
      <w:bookmarkStart w:id="394" w:name="_Toc111192800"/>
      <w:bookmarkStart w:id="395" w:name="_Toc98702567"/>
      <w:bookmarkStart w:id="396" w:name="_Toc111818622"/>
      <w:bookmarkStart w:id="397" w:name="_Toc10119"/>
      <w:r>
        <w:rPr>
          <w:rFonts w:hint="eastAsia"/>
        </w:rPr>
        <w:t>完善城乡统一社会保险制度</w:t>
      </w:r>
      <w:bookmarkEnd w:id="391"/>
      <w:bookmarkEnd w:id="392"/>
      <w:bookmarkEnd w:id="393"/>
      <w:bookmarkEnd w:id="394"/>
      <w:bookmarkEnd w:id="395"/>
      <w:bookmarkEnd w:id="396"/>
      <w:bookmarkEnd w:id="397"/>
    </w:p>
    <w:p>
      <w:pPr>
        <w:ind w:firstLine="640"/>
      </w:pPr>
      <w:r>
        <w:rPr>
          <w:rFonts w:hint="eastAsia"/>
        </w:rPr>
        <w:t>完善统一的城乡居民基本医疗保险、大病保险和基本养老保险制度，巩固医保全国异地就医联网直接结算，建立完善城乡居民基本养老保险待遇确定和基础养老金正常调整机制。做好社会保险关系转移接续工作，建立以国家政务服务平台为统一入口的社会保险公共服务平台。构建多层次农村养老保障体系，创新多元化照料服务模式。</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6" w:type="dxa"/>
            <w:shd w:val="clear" w:color="auto" w:fill="D7D7D7" w:themeFill="background1" w:themeFillShade="D8"/>
          </w:tcPr>
          <w:p>
            <w:pPr>
              <w:pStyle w:val="74"/>
            </w:pPr>
            <w:r>
              <w:t>专栏5：</w:t>
            </w:r>
            <w:r>
              <w:rPr>
                <w:rFonts w:hint="eastAsia"/>
              </w:rPr>
              <w:t>实施“宜居宜业和美乡村”建设行动</w:t>
            </w:r>
            <w: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6" w:type="dxa"/>
          </w:tcPr>
          <w:p>
            <w:pPr>
              <w:pStyle w:val="72"/>
              <w:ind w:firstLine="482"/>
            </w:pPr>
            <w:r>
              <w:rPr>
                <w:b/>
              </w:rPr>
              <w:t>1. 农村公共基础设施建设项目：</w:t>
            </w:r>
            <w:r>
              <w:rPr>
                <w:rFonts w:hint="eastAsia"/>
              </w:rPr>
              <w:t>开展农村生产性、生活性、服务性基础设施建设，完善村庄内部道路建设、村庄综合性公共服务中心建设。</w:t>
            </w:r>
          </w:p>
          <w:p>
            <w:pPr>
              <w:pStyle w:val="72"/>
              <w:ind w:firstLine="482"/>
            </w:pPr>
            <w:r>
              <w:rPr>
                <w:rFonts w:hint="eastAsia"/>
                <w:b/>
              </w:rPr>
              <w:t>2</w:t>
            </w:r>
            <w:r>
              <w:rPr>
                <w:b/>
              </w:rPr>
              <w:t xml:space="preserve">. </w:t>
            </w:r>
            <w:r>
              <w:rPr>
                <w:rFonts w:hint="eastAsia"/>
                <w:b/>
              </w:rPr>
              <w:t>百里产业环线产业主干道建设项目：</w:t>
            </w:r>
            <w:r>
              <w:rPr>
                <w:rFonts w:hint="eastAsia"/>
              </w:rPr>
              <w:t>在10个重点镇建设农业产业发展道路约200公里，道路沿线绿化，构成百里产业环线产业主干道。</w:t>
            </w:r>
          </w:p>
          <w:p>
            <w:pPr>
              <w:pStyle w:val="72"/>
              <w:ind w:firstLine="482"/>
              <w:rPr>
                <w:b/>
              </w:rPr>
            </w:pPr>
            <w:r>
              <w:rPr>
                <w:b/>
              </w:rPr>
              <w:t>3.</w:t>
            </w:r>
            <w:r>
              <w:rPr>
                <w:rFonts w:hint="eastAsia"/>
                <w:b/>
              </w:rPr>
              <w:t xml:space="preserve"> 村庄清洁行动：</w:t>
            </w:r>
            <w:r>
              <w:rPr>
                <w:rFonts w:hint="eastAsia"/>
              </w:rPr>
              <w:t>重点清理村庄生活垃圾、村内水塘沟渠、农业生产废弃物，改变影响农村人居环境的不良习惯，完善长效保洁机制，实现村庄持续干净整洁。</w:t>
            </w:r>
          </w:p>
          <w:p>
            <w:pPr>
              <w:pStyle w:val="72"/>
              <w:ind w:firstLine="482"/>
            </w:pPr>
            <w:r>
              <w:rPr>
                <w:b/>
              </w:rPr>
              <w:t>4. 社会保障城乡统筹工程</w:t>
            </w:r>
            <w:r>
              <w:rPr>
                <w:rFonts w:hint="eastAsia"/>
                <w:b/>
              </w:rPr>
              <w:t>：</w:t>
            </w:r>
            <w:r>
              <w:rPr>
                <w:rFonts w:hint="eastAsia"/>
              </w:rPr>
              <w:t>完善城乡低保制度，调整城乡低保标准，提高特困人员救助供养标准。推进全面参保登记，建立全面、完整、准确、动态更新的社会保险基础数据库。</w:t>
            </w:r>
          </w:p>
        </w:tc>
      </w:tr>
    </w:tbl>
    <w:p>
      <w:pPr>
        <w:pStyle w:val="2"/>
        <w:spacing w:before="217" w:after="217"/>
        <w:ind w:firstLine="567" w:firstLineChars="157"/>
        <w:rPr>
          <w:rFonts w:ascii="黑体" w:hAnsi="黑体"/>
          <w:szCs w:val="36"/>
        </w:rPr>
      </w:pPr>
      <w:bookmarkStart w:id="398" w:name="_Toc26825"/>
      <w:r>
        <w:rPr>
          <w:rFonts w:hint="eastAsia"/>
        </w:rPr>
        <w:t>加强农村生态保护，</w:t>
      </w:r>
      <w:r>
        <w:rPr>
          <w:rFonts w:hint="eastAsia" w:ascii="黑体" w:hAnsi="黑体"/>
          <w:szCs w:val="36"/>
        </w:rPr>
        <w:t>推进农业农村绿色发展</w:t>
      </w:r>
      <w:bookmarkEnd w:id="398"/>
    </w:p>
    <w:p>
      <w:pPr>
        <w:ind w:firstLine="640"/>
      </w:pPr>
      <w:r>
        <w:rPr>
          <w:rFonts w:hint="eastAsia"/>
        </w:rPr>
        <w:t>牢固树立“绿水青山就是金山银山”理念，着力推动农业农村绿色发展。加强农业面源污染等突出环境问题治理，强化农业资源保护，提高资源利用效率，推广绿色有机农业发展模式，增加绿色优质农产品供给，不断提升农产品质量安全水平，争创国家农产品质量安全县。</w:t>
      </w:r>
    </w:p>
    <w:p>
      <w:pPr>
        <w:pStyle w:val="3"/>
      </w:pPr>
      <w:bookmarkStart w:id="399" w:name="_Toc17938"/>
      <w:r>
        <w:rPr>
          <w:rFonts w:hint="eastAsia"/>
        </w:rPr>
        <w:t>开展农用土壤环境质量分类管控</w:t>
      </w:r>
      <w:bookmarkEnd w:id="399"/>
    </w:p>
    <w:p>
      <w:pPr>
        <w:ind w:firstLine="640"/>
      </w:pPr>
      <w:r>
        <w:rPr>
          <w:rFonts w:hint="eastAsia"/>
        </w:rPr>
        <w:t>坚持预防为主、保护优先，深化土壤环境风险管控，持续推进土壤污染防治攻坚行动，严格防控耕地重金属污染。强化土壤污染源系统防控，加强空间布局管控和重点污染源监管，防范新增土壤污染。严格农用化学品的控制，禁止或限制使用剧毒、高残留农药，采用高效、低毒、低残留农药。推行农作物病虫害专业化统防统治和绿色防控，推广高效低毒低残留农药和现代植保机械。合理施用肥料、科学施肥，提高肥效，鼓励农民使用配方肥，增施有机肥，减少化肥使用量，禁止使用重金属等有毒有害物质超标的肥料。畜禽养殖废弃物等有机肥经无害化处理，检测其中有毒有害物质达标或严于标准后方可还田利用。加强畜禽粪便综合利用，提高种养配套耕地比例，开展种养业有机结合、循环利用试点，总结推广试点经验。加大灌溉用水源头污染控制，加大水源地环境综合整治力度。开展灌溉水水质监测，定期抽检水质，保障农业灌溉用水水质安全，防止对土壤产生污染。鼓励废弃农膜回收和综合利用，建立农药包装容器和农膜等废弃物回收点</w:t>
      </w:r>
      <w:r>
        <w:rPr>
          <w:rFonts w:ascii="仿宋" w:hAnsi="仿宋" w:eastAsia="仿宋"/>
          <w:sz w:val="28"/>
          <w:szCs w:val="28"/>
        </w:rPr>
        <w:t>，</w:t>
      </w:r>
      <w:r>
        <w:rPr>
          <w:rFonts w:hint="eastAsia"/>
        </w:rPr>
        <w:t>减少废旧农膜随意丢弃、焚烧的现象发生。</w:t>
      </w:r>
    </w:p>
    <w:p>
      <w:pPr>
        <w:ind w:firstLine="640"/>
      </w:pPr>
      <w:r>
        <w:rPr>
          <w:rFonts w:hint="eastAsia"/>
        </w:rPr>
        <w:t>强化土壤环境调查和风险评估，推进开展</w:t>
      </w:r>
      <w:r>
        <w:rPr>
          <w:rFonts w:hint="eastAsia"/>
          <w:lang w:eastAsia="zh-CN"/>
        </w:rPr>
        <w:t>第三次全国土壤普查</w:t>
      </w:r>
      <w:r>
        <w:rPr>
          <w:rFonts w:hint="eastAsia"/>
        </w:rPr>
        <w:t>。全面加强耕地分类管控，针对优先保护类、安全利用类和严格管控类耕地特性，实施分类管控。加强农用地安全利用，对未受污染的耕地制定优先保护措施，完善安全管控类耕地安全利用技术库和农作物种植推荐清单。对严格管控类耕地进行结构调整，退耕还林还草，严禁种植直接食用农产品。</w:t>
      </w:r>
    </w:p>
    <w:p>
      <w:pPr>
        <w:ind w:firstLine="640"/>
      </w:pPr>
      <w:r>
        <w:rPr>
          <w:rFonts w:hint="eastAsia"/>
        </w:rPr>
        <w:t>持续推进重金属污染耕地修复治理工作，调整优化种植结构和产业布局，提升重金属污染防控水平。通过钝化剂调节、品种调整、水分管理、土壤深翻耕等农艺调控技术措施对耕地土壤中污染物的生物有效性进行调控，减少污染物从土壤向作物特别是可食用部分的转移，从而保障农产品安全生产，以达到“边生产、边治理、边修复”的目的，实现受污染耕地安全利用。切实抓好技术培训和服务指导，在重点镇、村建立结构调整集中示范点、示范区。划定特定农产品（粮食）禁止生产区。</w:t>
      </w:r>
    </w:p>
    <w:p>
      <w:pPr>
        <w:pStyle w:val="3"/>
        <w:numPr>
          <w:ilvl w:val="1"/>
          <w:numId w:val="6"/>
        </w:numPr>
      </w:pPr>
      <w:bookmarkStart w:id="400" w:name="_Toc14143"/>
      <w:r>
        <w:rPr>
          <w:rFonts w:hint="eastAsia"/>
        </w:rPr>
        <w:t>加大农业面源污染治理力度</w:t>
      </w:r>
      <w:bookmarkEnd w:id="400"/>
    </w:p>
    <w:p>
      <w:pPr>
        <w:ind w:firstLine="640"/>
      </w:pPr>
      <w:r>
        <w:rPr>
          <w:rFonts w:hint="eastAsia"/>
        </w:rPr>
        <w:t>深入实施“一控两减三利用”</w:t>
      </w:r>
      <w:r>
        <w:rPr>
          <w:rStyle w:val="42"/>
        </w:rPr>
        <w:footnoteReference w:id="15"/>
      </w:r>
      <w:r>
        <w:rPr>
          <w:rFonts w:hint="eastAsia"/>
        </w:rPr>
        <w:t>，探索“村—镇—县”三级治理体系，切实做好农业面源污染防治，不断改善农业农村生态环境，彰显生态价值。</w:t>
      </w:r>
    </w:p>
    <w:p>
      <w:pPr>
        <w:pStyle w:val="4"/>
        <w:numPr>
          <w:ilvl w:val="2"/>
          <w:numId w:val="7"/>
        </w:numPr>
        <w:ind w:left="-3" w:firstLine="643"/>
      </w:pPr>
      <w:bookmarkStart w:id="401" w:name="_Toc17423"/>
      <w:bookmarkStart w:id="402" w:name="_Toc114128791"/>
      <w:r>
        <w:rPr>
          <w:rFonts w:hint="eastAsia"/>
        </w:rPr>
        <w:t>推动化肥农药减量增效</w:t>
      </w:r>
      <w:bookmarkEnd w:id="401"/>
      <w:bookmarkEnd w:id="402"/>
    </w:p>
    <w:p>
      <w:pPr>
        <w:ind w:firstLine="640"/>
      </w:pPr>
      <w:r>
        <w:rPr>
          <w:rFonts w:hint="eastAsia"/>
        </w:rPr>
        <w:t>继续实施化肥减量增效、农药减量控害行动，推广应用配方肥料、有机肥替代化肥、微量元素肥料及适用新型肥料，大力推广测土配方施肥、水肥一体化、机械施肥及化肥深施等技术，积极推进生物防治替代化学防治、绿色防控与专业化统防统治融合，开展化肥农药减量增效示范和绿色种养循环试点。加强农业投入品规范化管理，健全农药、兽药、饲料添加剂等投入品追溯系统，全面实现农业废弃物无害化处理，切实保护产地环境，确保化肥、农药施用量持续减少。</w:t>
      </w:r>
    </w:p>
    <w:p>
      <w:pPr>
        <w:pStyle w:val="4"/>
        <w:numPr>
          <w:ilvl w:val="2"/>
          <w:numId w:val="7"/>
        </w:numPr>
        <w:ind w:left="-3" w:firstLine="643"/>
      </w:pPr>
      <w:bookmarkStart w:id="403" w:name="_Toc19014"/>
      <w:bookmarkStart w:id="404" w:name="_Toc114128792"/>
      <w:r>
        <w:rPr>
          <w:rFonts w:hint="eastAsia"/>
        </w:rPr>
        <w:t>推进畜禽粪污资源化利用</w:t>
      </w:r>
      <w:bookmarkEnd w:id="403"/>
      <w:bookmarkEnd w:id="404"/>
    </w:p>
    <w:p>
      <w:pPr>
        <w:ind w:firstLine="640"/>
      </w:pPr>
      <w:r>
        <w:rPr>
          <w:rFonts w:hint="eastAsia"/>
        </w:rPr>
        <w:t>推广农牧结合生态治理模式，大力发展种养循环农业，重点推广</w:t>
      </w:r>
      <w:r>
        <w:rPr>
          <w:rFonts w:hint="eastAsia" w:ascii="仿宋_GB2312" w:hAnsi="仿宋"/>
        </w:rPr>
        <w:t>“</w:t>
      </w:r>
      <w:r>
        <w:rPr>
          <w:rFonts w:hint="eastAsia"/>
        </w:rPr>
        <w:t>稻—鸭</w:t>
      </w:r>
      <w:r>
        <w:rPr>
          <w:rFonts w:hint="eastAsia"/>
          <w:lang w:eastAsia="zh-CN"/>
        </w:rPr>
        <w:t>”“</w:t>
      </w:r>
      <w:r>
        <w:rPr>
          <w:rFonts w:hint="eastAsia"/>
        </w:rPr>
        <w:t>稻—渔</w:t>
      </w:r>
      <w:r>
        <w:rPr>
          <w:rFonts w:hint="eastAsia"/>
          <w:lang w:eastAsia="zh-CN"/>
        </w:rPr>
        <w:t>”“</w:t>
      </w:r>
      <w:r>
        <w:rPr>
          <w:rFonts w:hint="eastAsia"/>
        </w:rPr>
        <w:t>生猪+粪污+柑橘</w:t>
      </w:r>
      <w:r>
        <w:rPr>
          <w:rFonts w:hint="eastAsia"/>
          <w:lang w:eastAsia="zh-CN"/>
        </w:rPr>
        <w:t>”“</w:t>
      </w:r>
      <w:r>
        <w:rPr>
          <w:rFonts w:hint="eastAsia"/>
        </w:rPr>
        <w:t>水产+粪污+经果林</w:t>
      </w:r>
      <w:r>
        <w:rPr>
          <w:rFonts w:hint="eastAsia" w:ascii="仿宋_GB2312" w:hAnsi="仿宋"/>
        </w:rPr>
        <w:t>”</w:t>
      </w:r>
      <w:r>
        <w:rPr>
          <w:rFonts w:hint="eastAsia"/>
        </w:rPr>
        <w:t>等生态循环低碳生产模式。推进养殖业畜禽粪污资源化利用，结合</w:t>
      </w:r>
      <w:r>
        <w:rPr>
          <w:rFonts w:hint="eastAsia" w:ascii="仿宋_GB2312"/>
        </w:rPr>
        <w:t>“</w:t>
      </w:r>
      <w:r>
        <w:rPr>
          <w:rFonts w:hint="eastAsia"/>
        </w:rPr>
        <w:t>大沼工程</w:t>
      </w:r>
      <w:r>
        <w:rPr>
          <w:rFonts w:hint="eastAsia" w:ascii="仿宋_GB2312"/>
        </w:rPr>
        <w:t>”</w:t>
      </w:r>
      <w:r>
        <w:rPr>
          <w:rFonts w:hint="eastAsia"/>
        </w:rPr>
        <w:t>，通过源头管理、过程控制、末端利用等方式，对农业生产中产生的畜禽粪污、秸秆、烂菜叶等废弃物进行集中处理和综合利用，实现以种定养、以养定种，就地消纳、种养循环，构建养殖与种植优势互补、资源共享、良性互动的可持续生态系统。</w:t>
      </w:r>
    </w:p>
    <w:p>
      <w:pPr>
        <w:pStyle w:val="4"/>
        <w:numPr>
          <w:ilvl w:val="2"/>
          <w:numId w:val="7"/>
        </w:numPr>
        <w:ind w:left="-3" w:firstLine="643"/>
      </w:pPr>
      <w:bookmarkStart w:id="405" w:name="_Toc114128793"/>
      <w:bookmarkStart w:id="406" w:name="_Toc2199"/>
      <w:r>
        <w:rPr>
          <w:rFonts w:hint="eastAsia"/>
        </w:rPr>
        <w:t>强化农业废弃物回收利用</w:t>
      </w:r>
      <w:bookmarkEnd w:id="405"/>
      <w:bookmarkEnd w:id="406"/>
    </w:p>
    <w:p>
      <w:pPr>
        <w:ind w:firstLine="640"/>
      </w:pPr>
      <w:r>
        <w:rPr>
          <w:rFonts w:hint="eastAsia"/>
        </w:rPr>
        <w:t>加强农业资源合理利用，大力推进秸秆肥料化、饲料化、基料化、原料化、能源化利用，建立健全秸秆收储运用体系，推进秸秆综合利用规模化、产业化发展；深化化肥、农药包装袋、废旧农膜等投入品回收利用，健全农业废弃物回收利用体系，联合农资销售企业，构建</w:t>
      </w:r>
      <w:r>
        <w:rPr>
          <w:rFonts w:hint="eastAsia" w:ascii="仿宋_GB2312"/>
        </w:rPr>
        <w:t>“</w:t>
      </w:r>
      <w:r>
        <w:rPr>
          <w:rFonts w:hint="eastAsia"/>
        </w:rPr>
        <w:t>村—镇—县</w:t>
      </w:r>
      <w:r>
        <w:rPr>
          <w:rFonts w:hint="eastAsia" w:ascii="仿宋_GB2312"/>
        </w:rPr>
        <w:t>”</w:t>
      </w:r>
      <w:r>
        <w:rPr>
          <w:rFonts w:hint="eastAsia"/>
        </w:rPr>
        <w:t>的废弃物收储利用网络，有效减少农业投入品二次污染。</w:t>
      </w:r>
    </w:p>
    <w:p>
      <w:pPr>
        <w:pStyle w:val="3"/>
      </w:pPr>
      <w:bookmarkStart w:id="407" w:name="_Toc5622"/>
      <w:r>
        <w:rPr>
          <w:rFonts w:hint="eastAsia"/>
        </w:rPr>
        <w:t>实施动植物保护能力提升工程</w:t>
      </w:r>
      <w:bookmarkEnd w:id="407"/>
    </w:p>
    <w:p>
      <w:pPr>
        <w:ind w:firstLine="640"/>
      </w:pPr>
      <w:r>
        <w:rPr>
          <w:rFonts w:hint="eastAsia"/>
        </w:rPr>
        <w:t>坚持“预防为主、综合防治”的植保方针，牢固树立“科学植保、公共植保、绿色植保”理念，加强农作物病虫害田间监测和农药安全使用宣传，有效预防控制重大病虫发生、蔓延危害，保障粮食安全、农产品质量安全和生态环境安全。通过开展农作物重大病虫灾害防控服务，以专业化统防统治替代分户防治，以绿色防控替代化学防治，以生物农药、高效低毒低残留农药替代高毒高残留农药，以现代高效植保机械替代传统低效机械，有效控制农作物重大病虫灾害，确保项目区农作物重大病虫害危害损失率控制在4%以下，减少化学农药使用量，农药包装废弃物回收处理率达80%以上。强化外来物种入侵防控，完成全县农业外来入侵物种普查。按照《中华人民共和国动物防疫法》，加强动物防疫体系建设，健全动物疫病防疫责任体系，提高基层畜牧兽医监管能力，严格执行动物免疫制度，强化从养殖到屠宰全链条监管，确保畜禽产品质量和公共卫生安全。</w:t>
      </w:r>
    </w:p>
    <w:p>
      <w:pPr>
        <w:pStyle w:val="3"/>
      </w:pPr>
      <w:bookmarkStart w:id="408" w:name="_Toc9047"/>
      <w:bookmarkStart w:id="409" w:name="_Toc111192814"/>
      <w:r>
        <w:rPr>
          <w:rFonts w:hint="eastAsia"/>
        </w:rPr>
        <w:t>加强农村生态文明建设</w:t>
      </w:r>
      <w:bookmarkEnd w:id="408"/>
      <w:bookmarkEnd w:id="409"/>
    </w:p>
    <w:p>
      <w:pPr>
        <w:ind w:firstLine="640"/>
      </w:pPr>
      <w:r>
        <w:rPr>
          <w:rFonts w:hint="eastAsia"/>
        </w:rPr>
        <w:t>加强生态环境保护，严格落实生态环境保护党政同责、一岗双责，制定生态环境保护责任清单，常态化办好</w:t>
      </w:r>
      <w:r>
        <w:rPr>
          <w:rFonts w:hint="eastAsia" w:ascii="仿宋_GB2312" w:hAnsi="仿宋"/>
        </w:rPr>
        <w:t>“</w:t>
      </w:r>
      <w:r>
        <w:rPr>
          <w:rFonts w:hint="eastAsia"/>
        </w:rPr>
        <w:t>环保曝光台</w:t>
      </w:r>
      <w:r>
        <w:rPr>
          <w:rFonts w:hint="eastAsia" w:ascii="仿宋_GB2312" w:hAnsi="仿宋"/>
        </w:rPr>
        <w:t>”</w:t>
      </w:r>
      <w:r>
        <w:rPr>
          <w:rFonts w:hint="eastAsia"/>
        </w:rPr>
        <w:t>。强化国土空间规划和用途管控，划定严守</w:t>
      </w:r>
      <w:r>
        <w:rPr>
          <w:rFonts w:hint="eastAsia" w:ascii="仿宋_GB2312" w:hAnsi="仿宋"/>
        </w:rPr>
        <w:t>“</w:t>
      </w:r>
      <w:r>
        <w:rPr>
          <w:rFonts w:hint="eastAsia"/>
        </w:rPr>
        <w:t>三线一单</w:t>
      </w:r>
      <w:r>
        <w:rPr>
          <w:rFonts w:hint="eastAsia" w:ascii="仿宋_GB2312" w:hAnsi="仿宋"/>
        </w:rPr>
        <w:t>”</w:t>
      </w:r>
      <w:r>
        <w:rPr>
          <w:rStyle w:val="42"/>
          <w:rFonts w:ascii="仿宋_GB2312" w:hAnsi="仿宋"/>
        </w:rPr>
        <w:footnoteReference w:id="16"/>
      </w:r>
      <w:r>
        <w:rPr>
          <w:rFonts w:hint="eastAsia"/>
        </w:rPr>
        <w:t>。坚持山水林田湖沙草系统治理，抓好天然林保护、退耕还林等重点生态工程。倡导简约适度、绿色低碳的生活方式，实行节能节水行动，推行垃圾分类和减量化、资源化，构建废旧物资利用体系。打赢碧水保卫战，纵深推进茫溪河、泥溪河等主要河流水污染治理，严格落实河（湖）长制；加强工业废水深度治理和园区污水集中处理，规范运行工业污水处理设施；开展水产养殖尾水治理三年攻坚行动，推行全循环养殖；充分用好大型沼气工程，规范生猪养殖粪污处理行为，建立健全畜禽粪污集中处理、循环利用长效机制。打赢蓝天保卫战，全面实行工业污染源清单制管理，加快城区污染企业搬迁改造，严格扬尘治理管控，基本消除重污染天气。严格执行《中华人民共和国长江保护法》，加强长江流域重点水域渔政执法监督，确保十年禁渔令有效落实。切实加强长江水生生物资源和水域生态环境保护，严厉打击非法捕捞，建立禁捕长效机制。在重要水生生物关键生境实施一批重要生态环境保护工程，改善长江流域生态环境。</w:t>
      </w:r>
    </w:p>
    <w:p>
      <w:pPr>
        <w:pStyle w:val="3"/>
      </w:pPr>
      <w:bookmarkStart w:id="410" w:name="_Toc28522"/>
      <w:r>
        <w:rPr>
          <w:rFonts w:hint="eastAsia"/>
        </w:rPr>
        <w:t>全面提升农产品质量安全</w:t>
      </w:r>
      <w:bookmarkEnd w:id="410"/>
    </w:p>
    <w:p>
      <w:pPr>
        <w:ind w:firstLine="640"/>
      </w:pPr>
      <w:r>
        <w:rPr>
          <w:rFonts w:hint="eastAsia"/>
        </w:rPr>
        <w:t>保障农产品质量安全，在井研县农产品质量安全工作领导小组的统筹领导下，建立健全长效监管机制，紧盯</w:t>
      </w:r>
      <w:r>
        <w:t>农产品质量安全监管短板，</w:t>
      </w:r>
      <w:r>
        <w:rPr>
          <w:rFonts w:hint="eastAsia" w:ascii="仿宋_GB2312" w:hAnsi="仿宋_GB2312" w:cs="仿宋_GB2312"/>
        </w:rPr>
        <w:t>实施质量强县战略和农产品质量安全保障工程，</w:t>
      </w:r>
      <w:r>
        <w:t>完善监管、追溯、监测、执法四大体系</w:t>
      </w:r>
      <w:r>
        <w:rPr>
          <w:rFonts w:hint="eastAsia"/>
        </w:rPr>
        <w:t>，加强农产品质量安全工作</w:t>
      </w:r>
      <w:r>
        <w:t>。</w:t>
      </w:r>
      <w:r>
        <w:rPr>
          <w:rFonts w:hint="eastAsia"/>
        </w:rPr>
        <w:t>在监管方面，完善、细化网格化监管体系，足额配备县、镇、村三级农产品质量安全监管员、协管员、网格员，统一配置一批食用农产品承诺达标合格证专用输出单元，推广食用农产品承诺达标合格证制度。常态化开展农产品质量安全大检查，加强农业投入品使用指导和监管，开展食用农产品“治违禁、控药残、促提升”三年行动。在追溯方面，严格落实“双随机”要求，全力推行“重点监控名单”“黑名单”等农产品质量安全制度，切实遵循农产品质量安全追溯工作“四挂钩”要求，强化国家农产品质量安全追溯管理信息平台使用成效，加强“合格证+追溯码”与品牌LOGO联合使用。在监测方面，合理规划农产品质量安全例行检测，加强农产品质量安全监督抽检，强化农产品质量安全风险监测预警，开展农业投入品质量安全抽检。在执法方面，加强镇（街道）农产品质量安全日常监管巡查，强化农产品质量安全和农业投入品安全监管执法，加大农产品质量安全监督抽检执法力度，严厉打击农业违法行为。</w:t>
      </w:r>
    </w:p>
    <w:p>
      <w:pPr>
        <w:ind w:firstLine="640"/>
        <w:rPr>
          <w:rFonts w:ascii="仿宋_GB2312" w:hAnsi="仿宋_GB2312" w:cs="仿宋_GB2312"/>
        </w:rPr>
      </w:pPr>
      <w:r>
        <w:rPr>
          <w:rFonts w:hint="eastAsia"/>
        </w:rPr>
        <w:t>全面推行达标合格农产品，大力支持绿色食品、有机农产品认证，鼎力发展农产品地理标志授权使用，形成成熟的达标合格农产品、绿色食品、有机农产品和农产品地理标志组成的农产品“三品一标”体系，提升“井研柑橘”品牌效应，深入挖掘井研柑橘、粮油、水产、生猪四大产业的品牌价值，助力形成产业兴农、品牌富农的良好局面。“十四五”期间，进一步落实农产品质量安全和品牌发展措施，稳固省级农产品质量安全监管示范县创建成果，为争创国家级农产品质量安全监管示范县奠定坚实基础。</w:t>
      </w:r>
    </w:p>
    <w:p>
      <w:pPr>
        <w:pStyle w:val="3"/>
        <w:numPr>
          <w:ilvl w:val="1"/>
          <w:numId w:val="8"/>
        </w:numPr>
      </w:pPr>
      <w:bookmarkStart w:id="411" w:name="_Toc12412"/>
      <w:r>
        <w:rPr>
          <w:rFonts w:hint="eastAsia"/>
        </w:rPr>
        <w:t>推进农业农村标准化体系建设</w:t>
      </w:r>
      <w:bookmarkEnd w:id="411"/>
    </w:p>
    <w:p>
      <w:pPr>
        <w:ind w:firstLine="640"/>
      </w:pPr>
      <w:r>
        <w:rPr>
          <w:rFonts w:hint="eastAsia"/>
        </w:rPr>
        <w:t>充分发挥“标准化+”效应，建立健全农业标准化体系，围绕农业基础标准、种子种苗标准、产品标准、方法标准等，结合井研四大支柱产业，研究制定一批产、供、销等各环节行业标准、地方标准、企业标准，积极推进农业科技创新与技术标准融合，优化标准结构，强化标准化生产，健全标准化管理，创建标准化基地，着力构建覆盖产前、产中、产后全过程的现代农业全产业链标准体系。在出台农业标准的同时配套制定符合当地生产实际的简明技术规程，推动全县地理标志农产品的生产加工技术标准（规范、规程）制定，全面推进品牌农产品标准化生产。实施乡村振兴标准化行动，完善乡村建设及评价标准，以农村环境监测与评价、村容村貌提升、农房建设、公共基础设施建设等为重点，加快推进农村人居环境改善标准化工作。积极引导社会资本投入标准化工作，鼓励社会团体和经营主体申报行业标准、地方标准和团体标准，抓好农业标准的实施，鼓励龙头企业参与标准化建设及推广工作。</w:t>
      </w:r>
    </w:p>
    <w:p>
      <w:pPr>
        <w:pStyle w:val="3"/>
      </w:pPr>
      <w:bookmarkStart w:id="412" w:name="_Toc14235"/>
      <w:r>
        <w:rPr>
          <w:rFonts w:hint="eastAsia"/>
        </w:rPr>
        <w:t>开展农业农村减排固碳行动</w:t>
      </w:r>
      <w:bookmarkEnd w:id="412"/>
    </w:p>
    <w:p>
      <w:pPr>
        <w:ind w:firstLine="640"/>
        <w:rPr>
          <w:szCs w:val="32"/>
        </w:rPr>
      </w:pPr>
      <w:bookmarkStart w:id="413" w:name="_Toc111192813"/>
      <w:r>
        <w:rPr>
          <w:rFonts w:ascii="仿宋_GB2312" w:hAnsi="宋体" w:cs="仿宋_GB2312"/>
          <w:color w:val="000000"/>
          <w:kern w:val="0"/>
          <w:szCs w:val="32"/>
          <w:lang w:bidi="ar"/>
        </w:rPr>
        <w:t>坚定以碳达峰碳中和</w:t>
      </w:r>
      <w:r>
        <w:rPr>
          <w:rFonts w:hint="eastAsia" w:ascii="仿宋_GB2312" w:hAnsi="宋体" w:cs="仿宋_GB2312"/>
          <w:color w:val="000000"/>
          <w:kern w:val="0"/>
          <w:szCs w:val="32"/>
          <w:lang w:bidi="ar"/>
        </w:rPr>
        <w:t>为</w:t>
      </w:r>
      <w:r>
        <w:rPr>
          <w:rFonts w:ascii="仿宋_GB2312" w:hAnsi="宋体" w:cs="仿宋_GB2312"/>
          <w:color w:val="000000"/>
          <w:kern w:val="0"/>
          <w:szCs w:val="32"/>
          <w:lang w:bidi="ar"/>
        </w:rPr>
        <w:t>目标引领绿色低碳优势产业发展，构建绿色</w:t>
      </w:r>
      <w:r>
        <w:rPr>
          <w:rFonts w:hint="eastAsia" w:ascii="仿宋_GB2312" w:hAnsi="宋体" w:cs="仿宋_GB2312"/>
          <w:color w:val="000000"/>
          <w:kern w:val="0"/>
          <w:szCs w:val="32"/>
          <w:lang w:bidi="ar"/>
        </w:rPr>
        <w:t>低碳循环发展经济体系，发展绿色低碳循环农业，不断提升生态农业碳汇能力。</w:t>
      </w:r>
      <w:bookmarkEnd w:id="413"/>
      <w:r>
        <w:rPr>
          <w:rFonts w:hint="eastAsia"/>
          <w:szCs w:val="32"/>
        </w:rPr>
        <w:t>积极推动保护性耕作、秸秆还田、有机肥施用、人工种草等措施，提升农田有机质含量，增加温室气体吸收和二氧化碳固定能力，发挥农田土壤碳汇功能。开展大规模国土绿化行动，提升生态系统碳汇能力。在双碳背景下，提升企业的碳汇价值，为下游生物基制品改善碳足迹数值，实现产品减碳甚至实现产品碳中和，创造新的市场机遇。鼓励排放企业收集并利用二氧化碳，对排放二氧化碳量大的企业，要求其必须安装二氧化碳收集设施，严禁向大气排放。对使用二氧化碳的企业、合作社等给予补贴，把二氧化碳施肥设施设备纳入农机补贴范围。设立减排二氧化碳、发展富碳农业专项资金或基金，建立富碳农产品回收体系，鼓励菜农使用二氧化碳气体施肥技术。</w:t>
      </w:r>
    </w:p>
    <w:p>
      <w:pPr>
        <w:ind w:firstLine="640"/>
        <w:rPr>
          <w:szCs w:val="32"/>
        </w:rPr>
      </w:pP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7" w:type="dxa"/>
            <w:shd w:val="clear" w:color="auto" w:fill="D7D7D7" w:themeFill="background1" w:themeFillShade="D8"/>
          </w:tcPr>
          <w:p>
            <w:pPr>
              <w:pStyle w:val="74"/>
            </w:pPr>
            <w:r>
              <w:t>专栏6：</w:t>
            </w:r>
            <w:r>
              <w:rPr>
                <w:rFonts w:hint="eastAsia"/>
              </w:rPr>
              <w:t>推进农业农村绿色发展</w:t>
            </w:r>
            <w: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6" w:hRule="atLeast"/>
          <w:jc w:val="center"/>
        </w:trPr>
        <w:tc>
          <w:tcPr>
            <w:tcW w:w="8607" w:type="dxa"/>
          </w:tcPr>
          <w:p>
            <w:pPr>
              <w:pStyle w:val="72"/>
              <w:ind w:firstLine="482"/>
            </w:pPr>
            <w:r>
              <w:rPr>
                <w:b/>
                <w:bCs w:val="0"/>
              </w:rPr>
              <w:t>1.</w:t>
            </w:r>
            <w:r>
              <w:rPr>
                <w:rFonts w:hint="eastAsia"/>
                <w:b/>
                <w:bCs w:val="0"/>
              </w:rPr>
              <w:t>绿色种养循环农业试点县项目</w:t>
            </w:r>
            <w:r>
              <w:rPr>
                <w:rFonts w:hint="eastAsia"/>
              </w:rPr>
              <w:t>：打造种养循环示范区，构建“养殖户+综合处理中心+种植基地的管网输送还田模式</w:t>
            </w:r>
            <w:r>
              <w:rPr>
                <w:rFonts w:hint="eastAsia"/>
                <w:lang w:eastAsia="zh-CN"/>
              </w:rPr>
              <w:t>”“</w:t>
            </w:r>
            <w:r>
              <w:rPr>
                <w:rFonts w:hint="eastAsia"/>
              </w:rPr>
              <w:t>养殖户+有机肥企业+种植基地的商品有机肥还田模式</w:t>
            </w:r>
            <w:r>
              <w:rPr>
                <w:rFonts w:hint="eastAsia"/>
                <w:lang w:eastAsia="zh-CN"/>
              </w:rPr>
              <w:t>”“</w:t>
            </w:r>
            <w:r>
              <w:rPr>
                <w:rFonts w:hint="eastAsia"/>
              </w:rPr>
              <w:t>养殖户+种植户堆沤还田模式”等三种粪肥还田技术模式，开展调查试验监测。</w:t>
            </w:r>
          </w:p>
          <w:p>
            <w:pPr>
              <w:pStyle w:val="72"/>
              <w:ind w:firstLine="482"/>
            </w:pPr>
            <w:r>
              <w:rPr>
                <w:b/>
              </w:rPr>
              <w:t xml:space="preserve">2. </w:t>
            </w:r>
            <w:r>
              <w:rPr>
                <w:rFonts w:hint="eastAsia"/>
                <w:b/>
              </w:rPr>
              <w:t>井研县旧塘标准化改造及尾水治理项目：</w:t>
            </w:r>
            <w:r>
              <w:rPr>
                <w:rFonts w:hint="eastAsia"/>
              </w:rPr>
              <w:t>围绕现代化渔业发展，推动养殖池塘尾水治理面积4000亩，做到产业提档升级、能效提升。</w:t>
            </w:r>
          </w:p>
          <w:p>
            <w:pPr>
              <w:pStyle w:val="72"/>
              <w:ind w:firstLine="482"/>
            </w:pPr>
            <w:r>
              <w:rPr>
                <w:b/>
              </w:rPr>
              <w:t xml:space="preserve">3. </w:t>
            </w:r>
            <w:r>
              <w:rPr>
                <w:rFonts w:hint="eastAsia"/>
                <w:b/>
              </w:rPr>
              <w:t>农副产品质量安全检测共享中心建设：</w:t>
            </w:r>
            <w:r>
              <w:rPr>
                <w:rFonts w:hint="eastAsia"/>
              </w:rPr>
              <w:t>建设2处农副产品质量安全检测共享中心，包括基础设施建设、设施设备购置等，具体开展农产品质量安全检测、土壤监测等业务工作。</w:t>
            </w:r>
          </w:p>
        </w:tc>
      </w:tr>
    </w:tbl>
    <w:p>
      <w:pPr>
        <w:ind w:firstLine="640"/>
      </w:pPr>
    </w:p>
    <w:p>
      <w:pPr>
        <w:pStyle w:val="2"/>
        <w:spacing w:before="217" w:after="217"/>
        <w:ind w:firstLine="426" w:firstLineChars="118"/>
        <w:rPr>
          <w:rFonts w:ascii="黑体" w:hAnsi="黑体"/>
          <w:szCs w:val="36"/>
        </w:rPr>
      </w:pPr>
      <w:bookmarkStart w:id="414" w:name="_Toc21676"/>
      <w:r>
        <w:rPr>
          <w:rFonts w:hint="eastAsia"/>
        </w:rPr>
        <w:t>健全现代农业经营体系，</w:t>
      </w:r>
      <w:r>
        <w:rPr>
          <w:rFonts w:hint="eastAsia" w:ascii="黑体" w:hAnsi="黑体"/>
          <w:szCs w:val="36"/>
        </w:rPr>
        <w:t>强化农民主体作用</w:t>
      </w:r>
      <w:bookmarkEnd w:id="414"/>
    </w:p>
    <w:p>
      <w:pPr>
        <w:ind w:firstLine="640"/>
      </w:pPr>
      <w:r>
        <w:rPr>
          <w:rFonts w:hint="eastAsia"/>
        </w:rPr>
        <w:t>推动农民全面发展，拓展农民综合素质，提高农民适应生产力发展和市场竞争的能力，创新乡村人才工作体制机制，强化人才振兴保障措施。培养造就一支懂农业、爱农村、爱农民的</w:t>
      </w:r>
      <w:r>
        <w:rPr>
          <w:rFonts w:hint="eastAsia" w:ascii="仿宋_GB2312"/>
        </w:rPr>
        <w:t>“</w:t>
      </w:r>
      <w:r>
        <w:rPr>
          <w:rFonts w:hint="eastAsia"/>
        </w:rPr>
        <w:t>三农</w:t>
      </w:r>
      <w:r>
        <w:rPr>
          <w:rFonts w:hint="eastAsia" w:ascii="仿宋_GB2312"/>
        </w:rPr>
        <w:t>”</w:t>
      </w:r>
      <w:r>
        <w:rPr>
          <w:rFonts w:hint="eastAsia"/>
        </w:rPr>
        <w:t>工作队伍，把小农户带入现代农业发展轨道，全面推进乡村人才振兴，为加快农业农村现代化提供有力人才支撑。</w:t>
      </w:r>
    </w:p>
    <w:p>
      <w:pPr>
        <w:pStyle w:val="3"/>
      </w:pPr>
      <w:bookmarkStart w:id="415" w:name="_Toc29149"/>
      <w:r>
        <w:rPr>
          <w:rFonts w:hint="eastAsia"/>
        </w:rPr>
        <w:t>培育多元化市场主体</w:t>
      </w:r>
      <w:bookmarkEnd w:id="415"/>
    </w:p>
    <w:p>
      <w:pPr>
        <w:ind w:firstLine="640"/>
      </w:pPr>
      <w:r>
        <w:rPr>
          <w:rFonts w:hint="eastAsia"/>
        </w:rPr>
        <w:t>大力发展新型农业经营主体，构建完善以家庭承包经营为基础，专业大户、家庭农场、农民合作社、农业产业化龙头企业为骨干，其他组织形式为补充的现代农业经营体系。</w:t>
      </w:r>
    </w:p>
    <w:p>
      <w:pPr>
        <w:pStyle w:val="4"/>
        <w:ind w:left="-3" w:firstLine="643"/>
      </w:pPr>
      <w:bookmarkStart w:id="416" w:name="_Toc111818635"/>
      <w:bookmarkStart w:id="417" w:name="_Toc111650417"/>
      <w:bookmarkStart w:id="418" w:name="_Toc114128801"/>
      <w:bookmarkStart w:id="419" w:name="_Toc112145716"/>
      <w:bookmarkStart w:id="420" w:name="_Toc23057"/>
      <w:r>
        <w:rPr>
          <w:rFonts w:hint="eastAsia"/>
        </w:rPr>
        <w:t>鼓励龙头企业做强做优</w:t>
      </w:r>
      <w:bookmarkEnd w:id="416"/>
      <w:bookmarkEnd w:id="417"/>
      <w:bookmarkEnd w:id="418"/>
      <w:bookmarkEnd w:id="419"/>
      <w:bookmarkEnd w:id="420"/>
    </w:p>
    <w:p>
      <w:pPr>
        <w:ind w:firstLine="640"/>
        <w:rPr>
          <w:shd w:val="clear" w:color="auto" w:fill="FFFFFF"/>
        </w:rPr>
      </w:pPr>
      <w:r>
        <w:t>加大龙头企业引进力度。</w:t>
      </w:r>
      <w:r>
        <w:rPr>
          <w:shd w:val="clear" w:color="auto" w:fill="FFFFFF"/>
        </w:rPr>
        <w:t>引进一批规模大、效益好、科技含量高、核心竞争能力强的</w:t>
      </w:r>
      <w:r>
        <w:rPr>
          <w:rFonts w:hint="eastAsia"/>
          <w:shd w:val="clear" w:color="auto" w:fill="FFFFFF"/>
        </w:rPr>
        <w:t>种植养殖</w:t>
      </w:r>
      <w:r>
        <w:rPr>
          <w:shd w:val="clear" w:color="auto" w:fill="FFFFFF"/>
        </w:rPr>
        <w:t>企业和农产品加工企业，鼓励投资技术含量高、社会效益好、环境污染少的农业产业化项目</w:t>
      </w:r>
      <w:r>
        <w:rPr>
          <w:rFonts w:hint="eastAsia"/>
          <w:shd w:val="clear" w:color="auto" w:fill="FFFFFF"/>
        </w:rPr>
        <w:t>，</w:t>
      </w:r>
      <w:r>
        <w:rPr>
          <w:shd w:val="clear" w:color="auto" w:fill="FFFFFF"/>
        </w:rPr>
        <w:t>不断提高标准化种养水平，提升农产品精深加工能力，增强农产品市场竞争力。支持龙头企业实施标准化生产，制定</w:t>
      </w:r>
      <w:r>
        <w:rPr>
          <w:rFonts w:hint="eastAsia"/>
          <w:shd w:val="clear" w:color="auto" w:fill="FFFFFF"/>
        </w:rPr>
        <w:t>种植养殖</w:t>
      </w:r>
      <w:r>
        <w:rPr>
          <w:shd w:val="clear" w:color="auto" w:fill="FFFFFF"/>
        </w:rPr>
        <w:t>基地投入品登记使用管理制度和生产操作规程。鼓励龙头企业参与相关产业标准制定，开展质量管理体系、无公害农产品、绿色食品、有机农产品认证</w:t>
      </w:r>
      <w:r>
        <w:rPr>
          <w:rFonts w:hint="eastAsia"/>
          <w:shd w:val="clear" w:color="auto" w:fill="FFFFFF"/>
        </w:rPr>
        <w:t>，</w:t>
      </w:r>
      <w:r>
        <w:rPr>
          <w:shd w:val="clear" w:color="auto" w:fill="FFFFFF"/>
        </w:rPr>
        <w:t>推动行业健康有序发展。</w:t>
      </w:r>
    </w:p>
    <w:p>
      <w:pPr>
        <w:ind w:firstLine="640"/>
        <w:rPr>
          <w:shd w:val="clear" w:color="auto" w:fill="FFFFFF"/>
        </w:rPr>
      </w:pPr>
      <w:r>
        <w:rPr>
          <w:rFonts w:hint="eastAsia"/>
        </w:rPr>
        <w:t>推进农产品加工与流通</w:t>
      </w:r>
      <w:r>
        <w:t>。</w:t>
      </w:r>
      <w:r>
        <w:rPr>
          <w:shd w:val="clear" w:color="auto" w:fill="FFFFFF"/>
        </w:rPr>
        <w:t>支持龙头企业改善贮藏、保鲜、烘干、清选、包装等设施装备，推进农产品就地加工转化。引导大型企业进行技术改造，配套先进工艺设备，推进精细生产、深度加工和系列开发，提升产品档次，增强市场影响力。加强农产品流通体系建设，建立覆盖城乡的农产品流通网络。支持龙头企业发展农产品直营店、配送中心，大力推行农超对接、农校对接、农企对接、农社对接，减少流通环节。</w:t>
      </w:r>
    </w:p>
    <w:p>
      <w:pPr>
        <w:ind w:firstLine="640"/>
        <w:rPr>
          <w:shd w:val="clear" w:color="auto" w:fill="FFFFFF"/>
        </w:rPr>
      </w:pPr>
      <w:r>
        <w:rPr>
          <w:rFonts w:hint="eastAsia"/>
        </w:rPr>
        <w:t>支持龙头企业技术创新</w:t>
      </w:r>
      <w:r>
        <w:t>。</w:t>
      </w:r>
      <w:r>
        <w:rPr>
          <w:rFonts w:hint="eastAsia"/>
          <w:shd w:val="clear" w:color="auto" w:fill="FFFFFF"/>
        </w:rPr>
        <w:t>鼓励</w:t>
      </w:r>
      <w:r>
        <w:rPr>
          <w:shd w:val="clear" w:color="auto" w:fill="FFFFFF"/>
        </w:rPr>
        <w:t>构建以龙头企业为主体，</w:t>
      </w:r>
      <w:r>
        <w:rPr>
          <w:rFonts w:hint="eastAsia"/>
          <w:shd w:val="clear" w:color="auto" w:fill="FFFFFF"/>
        </w:rPr>
        <w:t>“</w:t>
      </w:r>
      <w:r>
        <w:rPr>
          <w:shd w:val="clear" w:color="auto" w:fill="FFFFFF"/>
        </w:rPr>
        <w:t>产、学、研</w:t>
      </w:r>
      <w:r>
        <w:rPr>
          <w:rFonts w:hint="eastAsia"/>
          <w:shd w:val="clear" w:color="auto" w:fill="FFFFFF"/>
        </w:rPr>
        <w:t>”</w:t>
      </w:r>
      <w:r>
        <w:rPr>
          <w:shd w:val="clear" w:color="auto" w:fill="FFFFFF"/>
        </w:rPr>
        <w:t>相结合的农业科技创新与推广平台。推进龙头企业与高等院校、科研院所共建研发机构，对农业产业关键技术联合攻关，开发具有自主知识产权的新技术和新产品。鼓励科研院所或科技人员以技术承包、入股、转让等形式，与龙头企业合作经营，促进高新技术成果转化。鼓励农产品加工企业加大科技投入，加强科研合作，加快自主创新，提高农产品科技含量。</w:t>
      </w:r>
    </w:p>
    <w:p>
      <w:pPr>
        <w:pStyle w:val="4"/>
        <w:ind w:left="-3" w:firstLine="643"/>
      </w:pPr>
      <w:bookmarkStart w:id="421" w:name="_Toc111818636"/>
      <w:bookmarkStart w:id="422" w:name="_Toc111650418"/>
      <w:bookmarkStart w:id="423" w:name="_Toc114128802"/>
      <w:bookmarkStart w:id="424" w:name="_Toc112145717"/>
      <w:bookmarkStart w:id="425" w:name="_Toc19274"/>
      <w:r>
        <w:rPr>
          <w:rFonts w:hint="eastAsia"/>
        </w:rPr>
        <w:t>促进农民专业合作社</w:t>
      </w:r>
      <w:bookmarkEnd w:id="421"/>
      <w:bookmarkEnd w:id="422"/>
      <w:bookmarkEnd w:id="423"/>
      <w:bookmarkEnd w:id="424"/>
      <w:r>
        <w:rPr>
          <w:rFonts w:hint="eastAsia"/>
        </w:rPr>
        <w:t>优化提升</w:t>
      </w:r>
      <w:bookmarkEnd w:id="425"/>
    </w:p>
    <w:p>
      <w:pPr>
        <w:ind w:firstLine="640"/>
      </w:pPr>
      <w:bookmarkStart w:id="426" w:name="_Toc112145718"/>
      <w:bookmarkStart w:id="427" w:name="_Toc111650419"/>
      <w:bookmarkStart w:id="428" w:name="_Toc111818637"/>
      <w:r>
        <w:rPr>
          <w:rFonts w:hint="eastAsia"/>
        </w:rPr>
        <w:t>继续</w:t>
      </w:r>
      <w:r>
        <w:t>以促进全县农民合作社整体质量提升为目标，完善农民合作社运行机制和经营模式，强化指导、监督和服务，探索合作社发展质量提升的路径方法</w:t>
      </w:r>
      <w:r>
        <w:rPr>
          <w:rFonts w:hint="eastAsia"/>
        </w:rPr>
        <w:t>。一是</w:t>
      </w:r>
      <w:r>
        <w:t>规范农民合作社发展，健全民主管理制度</w:t>
      </w:r>
      <w:r>
        <w:rPr>
          <w:rFonts w:hint="eastAsia"/>
        </w:rPr>
        <w:t>、</w:t>
      </w:r>
      <w:r>
        <w:t>财务管理制度</w:t>
      </w:r>
      <w:r>
        <w:rPr>
          <w:rFonts w:hint="eastAsia"/>
        </w:rPr>
        <w:t>和</w:t>
      </w:r>
      <w:r>
        <w:t>利益联结机制</w:t>
      </w:r>
      <w:r>
        <w:rPr>
          <w:rFonts w:hint="eastAsia"/>
        </w:rPr>
        <w:t>；二是</w:t>
      </w:r>
      <w:r>
        <w:t>增强农民合作社示范带动能力，鼓励农民合作社利用当地资源禀赋，带动成员开展连片种植、规模饲养，壮大优势特色产业，培育农业品牌</w:t>
      </w:r>
      <w:r>
        <w:rPr>
          <w:rFonts w:hint="eastAsia"/>
        </w:rPr>
        <w:t>；三是</w:t>
      </w:r>
      <w:r>
        <w:t>鼓励农民合作社加强农产品初加工、仓储物流、技术指导、市场营销等关键环节能力建设</w:t>
      </w:r>
      <w:r>
        <w:rPr>
          <w:rFonts w:hint="eastAsia"/>
        </w:rPr>
        <w:t>；四是</w:t>
      </w:r>
      <w:r>
        <w:t>鼓励农民合作社延伸产业链条，拓宽服务领域</w:t>
      </w:r>
      <w:r>
        <w:rPr>
          <w:rFonts w:hint="eastAsia"/>
        </w:rPr>
        <w:t>；五是</w:t>
      </w:r>
      <w:r>
        <w:t>支持农民合作社依法自愿组建联合社，扩大合作规模，提升合作层次，增强市场竞争力和抗风险能力。</w:t>
      </w:r>
      <w:r>
        <w:rPr>
          <w:rFonts w:hint="eastAsia"/>
        </w:rPr>
        <w:t>全面</w:t>
      </w:r>
      <w:r>
        <w:t>推动农民合作社规范化建设、示范化引领、融合化发展、系统化管理、动态化调整，不断提升经营管理能力和水平</w:t>
      </w:r>
      <w:r>
        <w:rPr>
          <w:rFonts w:hint="eastAsia"/>
        </w:rPr>
        <w:t>。</w:t>
      </w:r>
    </w:p>
    <w:p>
      <w:pPr>
        <w:pStyle w:val="4"/>
        <w:ind w:left="-3" w:firstLine="643"/>
      </w:pPr>
      <w:bookmarkStart w:id="429" w:name="_Toc32396"/>
      <w:bookmarkStart w:id="430" w:name="_Toc114128803"/>
      <w:r>
        <w:rPr>
          <w:rFonts w:hint="eastAsia"/>
        </w:rPr>
        <w:t>巩固家庭农场规范化发展</w:t>
      </w:r>
      <w:bookmarkEnd w:id="426"/>
      <w:bookmarkEnd w:id="427"/>
      <w:bookmarkEnd w:id="428"/>
      <w:bookmarkEnd w:id="429"/>
      <w:bookmarkEnd w:id="430"/>
    </w:p>
    <w:p>
      <w:pPr>
        <w:ind w:firstLine="640"/>
        <w:rPr>
          <w:highlight w:val="yellow"/>
        </w:rPr>
      </w:pPr>
      <w:r>
        <w:rPr>
          <w:rFonts w:hint="eastAsia"/>
          <w:lang w:bidi="ar"/>
        </w:rPr>
        <w:t>立足</w:t>
      </w:r>
      <w:r>
        <w:rPr>
          <w:rFonts w:eastAsia="宋体" w:cs="Times New Roman"/>
          <w:lang w:bidi="ar"/>
        </w:rPr>
        <w:t>“</w:t>
      </w:r>
      <w:r>
        <w:rPr>
          <w:rFonts w:hint="eastAsia"/>
          <w:lang w:bidi="ar"/>
        </w:rPr>
        <w:t>一组一场</w:t>
      </w:r>
      <w:r>
        <w:rPr>
          <w:rFonts w:eastAsia="宋体" w:cs="Times New Roman"/>
          <w:lang w:bidi="ar"/>
        </w:rPr>
        <w:t>”</w:t>
      </w:r>
      <w:r>
        <w:rPr>
          <w:rFonts w:hint="eastAsia"/>
          <w:lang w:bidi="ar"/>
        </w:rPr>
        <w:t>的既有基础，</w:t>
      </w:r>
      <w:r>
        <w:rPr>
          <w:lang w:bidi="ar"/>
        </w:rPr>
        <w:t>以家庭农场发展巩固提升为目标，以示范场</w:t>
      </w:r>
      <w:r>
        <w:rPr>
          <w:rFonts w:hint="eastAsia"/>
          <w:lang w:bidi="ar"/>
        </w:rPr>
        <w:t>培育和项目建设为抓手，通过结对帮扶和项目支持，带动社会投资，支持家庭农场通过发展种养结合、生态循环、三产融合、品牌营销、购买社会化服务等方式，推进家庭农场从数量向质量、从粗放发展向集约经营转变。继续巩</w:t>
      </w:r>
      <w:r>
        <w:rPr>
          <w:rFonts w:hint="eastAsia"/>
        </w:rPr>
        <w:t>固省级家庭农场示范县创建成果，健全家庭农场名录系统，建立完整的家庭农场名录，实现随时填报、动态更新和精准服务，促进数量与质量双提升。积极开展省、市级示范家庭农场创建，加强示范引导，探索系统推进家庭农场发展的政策体系和工作机制。强化家庭农场指导服务扶持，重点推动建立针对家庭农场的财政补助、信贷支持、保险保障等政策。强化家庭农场示范培训，提高家庭农场经营管理水平和示范带动能力。积极引导家庭农场开展联合与合作，根据行业特点和不同行业、区域的需求，有序组建一批带动能力突出、示范效应明显的家庭农场协会或联盟，逐步构建家庭农场协会或联盟体系。</w:t>
      </w:r>
    </w:p>
    <w:p>
      <w:pPr>
        <w:pStyle w:val="4"/>
        <w:ind w:left="-3" w:firstLine="643"/>
      </w:pPr>
      <w:bookmarkStart w:id="431" w:name="_Toc111818638"/>
      <w:bookmarkStart w:id="432" w:name="_Toc114128804"/>
      <w:bookmarkStart w:id="433" w:name="_Toc689"/>
      <w:bookmarkStart w:id="434" w:name="_Toc111650420"/>
      <w:bookmarkStart w:id="435" w:name="_Toc112145719"/>
      <w:r>
        <w:rPr>
          <w:rFonts w:hint="eastAsia"/>
        </w:rPr>
        <w:t>鼓励创建产业联合体</w:t>
      </w:r>
      <w:bookmarkEnd w:id="431"/>
      <w:bookmarkEnd w:id="432"/>
      <w:bookmarkEnd w:id="433"/>
      <w:bookmarkEnd w:id="434"/>
      <w:bookmarkEnd w:id="435"/>
    </w:p>
    <w:p>
      <w:pPr>
        <w:ind w:firstLine="640"/>
      </w:pPr>
      <w:r>
        <w:rPr>
          <w:rFonts w:hint="eastAsia"/>
        </w:rPr>
        <w:t>建立分工协作机制，引导多元新型主体组建农业产业联合体。通过增强龙头企业带动能力、提升专合社服务能力、强化家庭农场生产能力、完善内部组织制度等方式，构建“龙头企业+专合社+家庭农场”的产业化联合体，培育发展一批带农作用突出、综合竞争力强、稳定可持续发展的农业产业化联合体，成为引领全县农村</w:t>
      </w:r>
      <w:r>
        <w:rPr>
          <w:rFonts w:hint="eastAsia"/>
          <w:lang w:eastAsia="zh-CN"/>
        </w:rPr>
        <w:t>一、二、三产业</w:t>
      </w:r>
      <w:r>
        <w:rPr>
          <w:rFonts w:hint="eastAsia"/>
        </w:rPr>
        <w:t>融合和现代农业建设的重要力量，为农业农村发展注入新动能。</w:t>
      </w:r>
    </w:p>
    <w:p>
      <w:pPr>
        <w:pStyle w:val="3"/>
      </w:pPr>
      <w:bookmarkStart w:id="436" w:name="_Toc17527"/>
      <w:r>
        <w:rPr>
          <w:rFonts w:hint="eastAsia"/>
        </w:rPr>
        <w:t>建立健全社会化服务体系</w:t>
      </w:r>
      <w:bookmarkEnd w:id="436"/>
    </w:p>
    <w:p>
      <w:pPr>
        <w:pStyle w:val="4"/>
        <w:numPr>
          <w:ilvl w:val="2"/>
          <w:numId w:val="0"/>
        </w:numPr>
        <w:ind w:left="640" w:leftChars="200"/>
      </w:pPr>
      <w:bookmarkStart w:id="437" w:name="_Toc23734"/>
      <w:bookmarkStart w:id="438" w:name="_Toc114128806"/>
      <w:r>
        <w:rPr>
          <w:rFonts w:hint="eastAsia"/>
        </w:rPr>
        <w:t>一、加快培育农业社会化服务组织</w:t>
      </w:r>
      <w:bookmarkEnd w:id="437"/>
      <w:bookmarkEnd w:id="438"/>
    </w:p>
    <w:p>
      <w:pPr>
        <w:ind w:firstLine="640"/>
        <w:rPr>
          <w:szCs w:val="32"/>
        </w:rPr>
      </w:pPr>
      <w:r>
        <w:rPr>
          <w:rFonts w:hint="eastAsia"/>
          <w:szCs w:val="32"/>
        </w:rPr>
        <w:t>根据不同服务主体的优势和功能，支持各类专业服务组织发展，不断壮大社会化服务主体。鼓励农民合作社向成员提供各类生产经营服务，探索“合作社+集体经济组织”或“公司+集体经济组织”的农业生产社会化服务发展模式，解决农村劳动力少、土地零散、农业收益低等问题，发挥其服务成员、引领农民对接市场的纽带作用。引导龙头企业通过基地建设和订单方式为农户提供全程服务，发挥其服务带动作用。引导各类服务主体围绕同一产业或同一产品的生产，以资金、技术、服务等要素为纽带，积极发展服务联合体、服务联盟等新型组织形式，打造一体化的服务组织体系。支持各类服务主体与新型农业经营主体开展多种形式的合作与联合，建立紧密的利益联结和分享机制，壮大农村</w:t>
      </w:r>
      <w:r>
        <w:rPr>
          <w:rFonts w:hint="eastAsia"/>
          <w:szCs w:val="32"/>
          <w:lang w:eastAsia="zh-CN"/>
        </w:rPr>
        <w:t>一、二、三产业</w:t>
      </w:r>
      <w:r>
        <w:rPr>
          <w:rFonts w:hint="eastAsia"/>
          <w:szCs w:val="32"/>
        </w:rPr>
        <w:t>融合主体。引导各类服务主体与高等学校、职业院校、科研院所开展科研和人才合作，鼓励银行、保险、邮政等机构与服务主体深度合作。</w:t>
      </w:r>
    </w:p>
    <w:p>
      <w:pPr>
        <w:pStyle w:val="4"/>
        <w:numPr>
          <w:ilvl w:val="2"/>
          <w:numId w:val="0"/>
        </w:numPr>
        <w:ind w:left="640" w:leftChars="200"/>
      </w:pPr>
      <w:bookmarkStart w:id="439" w:name="_Toc25264"/>
      <w:bookmarkStart w:id="440" w:name="_Toc114128807"/>
      <w:r>
        <w:rPr>
          <w:rFonts w:hint="eastAsia"/>
        </w:rPr>
        <w:t>二、提升农业生产社会化服务水平</w:t>
      </w:r>
      <w:bookmarkEnd w:id="439"/>
      <w:bookmarkEnd w:id="440"/>
    </w:p>
    <w:p>
      <w:pPr>
        <w:ind w:firstLine="640"/>
      </w:pPr>
      <w:r>
        <w:rPr>
          <w:rFonts w:hint="eastAsia"/>
        </w:rPr>
        <w:t>以四川省农业生产社会化服务示范县项目为契机，积极探索实践农业生产托管中存在的困难和问题，着力提升农业生产社会化服务水平。推动规范发展。加强农业生产性服务行业管理和服务组织动态监测，支持地方探索建立社会化服务组织评定与行业管理机构，推动服务组织信用记录建设，切实保护小农户利益。规范服务管理。优化完善服务规程指引，分作物、分环节、分地形形成一套服务质量标准和服务收费标准，农业社会化服务行为规范有序，减少生产纠纷，提高服务对象满意度。提升服务能力。积极推进农业生产社会化服务基础设施建设和设备购置，有效提升耕、种、防、收各环节服务能力。建立社会化服务主体红黑榜，对服务能力强、服务质量优、社会认可度高、运营管理规范的，优先予以项目支持。</w:t>
      </w:r>
    </w:p>
    <w:p>
      <w:pPr>
        <w:pStyle w:val="4"/>
        <w:numPr>
          <w:ilvl w:val="2"/>
          <w:numId w:val="0"/>
        </w:numPr>
        <w:ind w:left="640" w:leftChars="200"/>
      </w:pPr>
      <w:bookmarkStart w:id="441" w:name="_Toc114128808"/>
      <w:bookmarkStart w:id="442" w:name="_Toc28239"/>
      <w:r>
        <w:rPr>
          <w:rFonts w:hint="eastAsia"/>
        </w:rPr>
        <w:t>三、加快推进农业生产托管服务</w:t>
      </w:r>
      <w:bookmarkEnd w:id="441"/>
      <w:bookmarkEnd w:id="442"/>
    </w:p>
    <w:p>
      <w:pPr>
        <w:ind w:firstLine="640"/>
      </w:pPr>
      <w:r>
        <w:rPr>
          <w:rFonts w:hint="eastAsia"/>
        </w:rPr>
        <w:t>积极探索发展适应不同地形、不同产业农户和新型农业经营主体的各作业环节所需的单环节托管、多环节托管、关键环节综合托管和全程托管等多种托管模式。面向小农户以及新型农业经营主体开展托管服务，促进服务主体的服务能力和条件提升。村集体经济组织把农民不愿种、种不好、没有能力经营的土地流转出来，推动农村零散土地化整为零、由小变大、成方成片，采取土地托管、半托管方式，由专业服务公司、供销合作社专业化服务组织、服务型农民合作社等服务主体进行农业生产社会化服务。</w:t>
      </w:r>
    </w:p>
    <w:p>
      <w:pPr>
        <w:pStyle w:val="3"/>
      </w:pPr>
      <w:bookmarkStart w:id="443" w:name="_Toc5566"/>
      <w:r>
        <w:rPr>
          <w:rFonts w:hint="eastAsia"/>
        </w:rPr>
        <w:t>加强小农户与现代农业有机衔接</w:t>
      </w:r>
      <w:bookmarkEnd w:id="443"/>
    </w:p>
    <w:p>
      <w:pPr>
        <w:ind w:firstLine="640"/>
      </w:pPr>
      <w:r>
        <w:rPr>
          <w:rFonts w:hint="eastAsia"/>
        </w:rPr>
        <w:t>全面落实扶持小农户与现代农业有机衔接的政策。将小农户纳入现代农业产业体系，支持龙头企业、农民合作社等新型农业经营主体与小农户构建更加紧密的利益联结机制。实施小农户能力提升工程，鼓励小农户稳步扩大种养规模，培育一批规模适度、生产集约、管理先进、效益明显的家庭农场。鼓励小农户改善基础设施，加强科技装备应用。提高小农户组织化程度，引导小农户开展合作与联合，支持小农户通过联户经营、联耕联种、组建合伙农场等方式联合开展生产，共同购置农机、农资，开展统耕统收、统防统治、统销统结等服务。支持小农户发展特色优质农产品，发展新产业新业态。健全面向小农户的社会化服务体系，发展农业生产托管，引导小农户广泛接受供用良种、工厂化育秧、标准化管理、耕种防收、烘干仓储、冷藏保鲜、加工营销等农业生产性服务，实现小农户与现代农业的有机衔接。持续完善小农户扶持政策，合理优化小农户在土地、金融、保险、补贴、技术等资源要素的配置。</w:t>
      </w:r>
    </w:p>
    <w:p>
      <w:pPr>
        <w:pStyle w:val="3"/>
      </w:pPr>
      <w:bookmarkStart w:id="444" w:name="_Toc6078"/>
      <w:r>
        <w:rPr>
          <w:rFonts w:hint="eastAsia"/>
        </w:rPr>
        <w:t>大力培养高素质农民</w:t>
      </w:r>
      <w:bookmarkEnd w:id="444"/>
    </w:p>
    <w:p>
      <w:pPr>
        <w:ind w:firstLine="640"/>
        <w:rPr>
          <w:rFonts w:ascii="仿宋_GB2312" w:cs="Times New Roman"/>
          <w:szCs w:val="32"/>
        </w:rPr>
      </w:pPr>
      <w:r>
        <w:rPr>
          <w:rFonts w:hint="eastAsia" w:ascii="仿宋_GB2312" w:cs="Times New Roman"/>
          <w:color w:val="000000"/>
          <w:kern w:val="0"/>
          <w:szCs w:val="32"/>
          <w:lang w:bidi="ar"/>
        </w:rPr>
        <w:t>建立健全高素质农民教育培训机制，</w:t>
      </w:r>
      <w:r>
        <w:rPr>
          <w:rFonts w:hint="eastAsia" w:ascii="仿宋_GB2312" w:cs="Times New Roman"/>
          <w:szCs w:val="32"/>
        </w:rPr>
        <w:t>分层分类实施教育培训计划，培训一批懂技术、善经营、会管理的高素质农民队伍。依托基层农技推广体系改革与建设项目，实施高素质农民培育工程、“农村家庭能人”培养计划，突出抓好农业经理人、家庭农场主、农民合作社带头人、农村集体经济组织带头人、农技人员的培育。建设稳定的农业科技示范基地2个，建立短期培训、职业培训和学历教育衔接贯通的农民教育培训制度，深化家庭农场和农民合作社带头人培育机制。充分发挥农业广播电视学校、农业科研院所、涉农院校等作用，引导优质教育资源下沉乡村，推进教育培训资源共建共享、优势互补。加大对高素质农民在政策扶持方面的优先权，探索高素质农民的教育培训、标准条件、身份认证、社会福利、养老保障等相关政策。到2025年，培育高素质农民500名以上。</w:t>
      </w:r>
    </w:p>
    <w:p>
      <w:pPr>
        <w:pStyle w:val="3"/>
      </w:pPr>
      <w:bookmarkStart w:id="445" w:name="_Toc25418"/>
      <w:r>
        <w:rPr>
          <w:rFonts w:hint="eastAsia"/>
        </w:rPr>
        <w:t>着力提升农民收入水平</w:t>
      </w:r>
      <w:bookmarkEnd w:id="445"/>
    </w:p>
    <w:p>
      <w:pPr>
        <w:ind w:firstLine="640"/>
      </w:pPr>
      <w:r>
        <w:rPr>
          <w:rFonts w:hint="eastAsia"/>
        </w:rPr>
        <w:t>进一步落实农民增收县委书记和县长负责制。创新完善保障农民收益的利益联结机制，鼓励组建“龙头企业+合作社+家庭农场+农户”的产业化联合体，引导农民以产权、资金、劳动、技术等要素与新型经营主体开展多种形式的合作，增加农民经营性收入。发展壮大新型农村集体经济，盘活农村闲置宅基地、房屋等资源资产，增加农民财产性收入。保持强农惠农富农政策的连续性和稳定性，确保农民转移性收入不减少。实施返乡下乡创新创业“回家工程”，深入开展“六送六助”就业专场招聘、就业援助月和“春风行动”等活动，为返乡农民工推荐就业岗位。深入贯彻落实《保障农民工工资支付条例》，全面落实实名制管理、农民工工资专用账户、总承包企业代发农民工工资、按时足额发放农民工工资等制度。到2025年，全县农村常住居民人均可支配收入达到28285元，城乡居民可支配收入比达2.01:1。</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7" w:type="dxa"/>
            <w:shd w:val="clear" w:color="auto" w:fill="D7D7D7" w:themeFill="background1" w:themeFillShade="D8"/>
          </w:tcPr>
          <w:p>
            <w:pPr>
              <w:pStyle w:val="74"/>
            </w:pPr>
            <w:r>
              <w:rPr>
                <w:rFonts w:hint="eastAsia"/>
              </w:rPr>
              <w:t>专栏</w:t>
            </w:r>
            <w:r>
              <w:t>7</w:t>
            </w:r>
            <w:r>
              <w:rPr>
                <w:rFonts w:hint="eastAsia"/>
              </w:rPr>
              <w:t>：推动农民全面发展重点项目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7" w:type="dxa"/>
          </w:tcPr>
          <w:p>
            <w:pPr>
              <w:pStyle w:val="72"/>
              <w:ind w:firstLine="482"/>
            </w:pPr>
            <w:r>
              <w:rPr>
                <w:b/>
              </w:rPr>
              <w:t xml:space="preserve">1. </w:t>
            </w:r>
            <w:r>
              <w:rPr>
                <w:rFonts w:hint="eastAsia"/>
                <w:b/>
              </w:rPr>
              <w:t>高素质农民培训项目：</w:t>
            </w:r>
            <w:r>
              <w:rPr>
                <w:rFonts w:hint="eastAsia"/>
              </w:rPr>
              <w:t>各村、涉农社区每年举办农民生产培训与就业技能培训活动不少于</w:t>
            </w:r>
            <w:r>
              <w:t>4</w:t>
            </w:r>
            <w:r>
              <w:rPr>
                <w:rFonts w:hint="eastAsia"/>
              </w:rPr>
              <w:t>次，利用现代信息化手段分期分批地开展不同层次、不同类别的各种教育及技能培训。</w:t>
            </w:r>
          </w:p>
          <w:p>
            <w:pPr>
              <w:pStyle w:val="72"/>
              <w:ind w:firstLine="482"/>
            </w:pPr>
            <w:r>
              <w:rPr>
                <w:b/>
              </w:rPr>
              <w:t xml:space="preserve">2. </w:t>
            </w:r>
            <w:r>
              <w:rPr>
                <w:rFonts w:hint="eastAsia"/>
                <w:b/>
              </w:rPr>
              <w:t>产业联合体培育项目：</w:t>
            </w:r>
            <w:r>
              <w:rPr>
                <w:rFonts w:hint="eastAsia"/>
              </w:rPr>
              <w:t>针对四大产业，分别构建至少一个</w:t>
            </w:r>
            <w:r>
              <w:rPr>
                <w:rFonts w:hint="eastAsia" w:ascii="仿宋_GB2312" w:hAnsi="仿宋" w:eastAsia="仿宋_GB2312"/>
              </w:rPr>
              <w:t>“</w:t>
            </w:r>
            <w:r>
              <w:rPr>
                <w:rFonts w:hint="eastAsia"/>
              </w:rPr>
              <w:t>企业+专合社+家庭农场</w:t>
            </w:r>
            <w:r>
              <w:rPr>
                <w:rFonts w:hint="eastAsia" w:ascii="仿宋_GB2312" w:hAnsi="仿宋" w:eastAsia="仿宋_GB2312"/>
              </w:rPr>
              <w:t>”</w:t>
            </w:r>
            <w:r>
              <w:rPr>
                <w:rFonts w:hint="eastAsia"/>
              </w:rPr>
              <w:t>一体的产业联合体，带动产业发展。</w:t>
            </w:r>
          </w:p>
          <w:p>
            <w:pPr>
              <w:pStyle w:val="72"/>
              <w:ind w:firstLine="482"/>
            </w:pPr>
            <w:r>
              <w:rPr>
                <w:b/>
              </w:rPr>
              <w:t>3.</w:t>
            </w:r>
            <w:r>
              <w:rPr>
                <w:rFonts w:hint="eastAsia"/>
                <w:b/>
              </w:rPr>
              <w:t xml:space="preserve"> 创新创业质量提升重大行动：</w:t>
            </w:r>
            <w:r>
              <w:rPr>
                <w:rFonts w:hint="eastAsia"/>
              </w:rPr>
              <w:t>建设城乡职业技能公共实训基地，构建职业技能实训基地网络，通过定点、定向和定岗式培训，突出加强农村电商、旅游服务与管理创业等培训；开展农村创业培训活动，使具备一定创业条件或已经创业的农民工有机会接受创业培训。</w:t>
            </w:r>
          </w:p>
          <w:p>
            <w:pPr>
              <w:pStyle w:val="72"/>
              <w:ind w:firstLine="482"/>
            </w:pPr>
            <w:r>
              <w:rPr>
                <w:b/>
              </w:rPr>
              <w:t xml:space="preserve">4. </w:t>
            </w:r>
            <w:r>
              <w:rPr>
                <w:rFonts w:hint="eastAsia"/>
                <w:b/>
              </w:rPr>
              <w:t>新型农业经营主体培育：</w:t>
            </w:r>
            <w:r>
              <w:rPr>
                <w:rFonts w:hint="eastAsia"/>
              </w:rPr>
              <w:t>引导和鼓励专合社、家庭农场等新型农业经营组织规范化建设，适度规模发展，提升经营管理能力和水平，增强市场竞争力和抗风险能力。</w:t>
            </w:r>
          </w:p>
        </w:tc>
      </w:tr>
    </w:tbl>
    <w:p>
      <w:pPr>
        <w:pStyle w:val="2"/>
        <w:spacing w:before="217" w:after="217"/>
        <w:ind w:firstLine="567" w:firstLineChars="157"/>
        <w:rPr>
          <w:rFonts w:ascii="黑体" w:hAnsi="黑体"/>
          <w:szCs w:val="36"/>
        </w:rPr>
      </w:pPr>
      <w:bookmarkStart w:id="446" w:name="_Toc7345"/>
      <w:r>
        <w:rPr>
          <w:rFonts w:hint="eastAsia"/>
        </w:rPr>
        <w:t>提升乡村治理水平，</w:t>
      </w:r>
      <w:r>
        <w:rPr>
          <w:rFonts w:hint="eastAsia" w:ascii="黑体" w:hAnsi="黑体"/>
          <w:szCs w:val="36"/>
        </w:rPr>
        <w:t>建设文明和谐乡村</w:t>
      </w:r>
      <w:bookmarkEnd w:id="446"/>
    </w:p>
    <w:p>
      <w:pPr>
        <w:ind w:firstLine="640"/>
      </w:pPr>
      <w:r>
        <w:rPr>
          <w:rFonts w:hint="eastAsia"/>
        </w:rPr>
        <w:t>以保障和改善农村民生为优先方向，健全党领导农村工作的组织体系、制度体系、工作机制，加快构建党组织领导的自治法治德治相结合的乡村治理体系，建设充满活力、和谐有序的善治乡村。</w:t>
      </w:r>
    </w:p>
    <w:p>
      <w:pPr>
        <w:pStyle w:val="3"/>
      </w:pPr>
      <w:bookmarkStart w:id="447" w:name="_Toc112145728"/>
      <w:bookmarkStart w:id="448" w:name="_Toc10826"/>
      <w:bookmarkStart w:id="449" w:name="_Toc111192874"/>
      <w:bookmarkStart w:id="450" w:name="_Toc98702636"/>
      <w:r>
        <w:rPr>
          <w:rFonts w:hint="eastAsia"/>
        </w:rPr>
        <w:t>扎实做好两项改革“后半篇”文章</w:t>
      </w:r>
      <w:bookmarkEnd w:id="447"/>
      <w:bookmarkEnd w:id="448"/>
      <w:bookmarkEnd w:id="449"/>
      <w:bookmarkEnd w:id="450"/>
    </w:p>
    <w:p>
      <w:pPr>
        <w:ind w:firstLine="640"/>
        <w:rPr>
          <w:lang w:bidi="ar"/>
        </w:rPr>
      </w:pPr>
      <w:r>
        <w:rPr>
          <w:lang w:bidi="ar"/>
        </w:rPr>
        <w:t>围绕“优化资源配置、提升发展质量、增强服务能力、提高</w:t>
      </w:r>
      <w:r>
        <w:rPr>
          <w:rFonts w:hint="eastAsia"/>
          <w:lang w:bidi="ar"/>
        </w:rPr>
        <w:t>治理效能”四大任务，坚持“六个导向”，高质量完成县域内乡镇级片区、村级片区规划编制工作。</w:t>
      </w:r>
    </w:p>
    <w:p>
      <w:pPr>
        <w:ind w:firstLine="643"/>
        <w:rPr>
          <w:rFonts w:ascii="仿宋_GB2312"/>
          <w:szCs w:val="32"/>
        </w:rPr>
      </w:pPr>
      <w:r>
        <w:rPr>
          <w:rFonts w:hint="eastAsia" w:ascii="仿宋_GB2312" w:hAnsi="宋体" w:cs="仿宋_GB2312"/>
          <w:b/>
          <w:bCs/>
          <w:color w:val="000000"/>
          <w:kern w:val="0"/>
          <w:szCs w:val="32"/>
          <w:lang w:bidi="ar"/>
        </w:rPr>
        <w:t>一是调适</w:t>
      </w:r>
      <w:r>
        <w:rPr>
          <w:rFonts w:hint="eastAsia" w:ascii="仿宋_GB2312"/>
          <w:b/>
          <w:bCs/>
          <w:szCs w:val="32"/>
        </w:rPr>
        <w:t>城乡格局。</w:t>
      </w:r>
      <w:r>
        <w:rPr>
          <w:rFonts w:hint="eastAsia" w:ascii="仿宋_GB2312"/>
          <w:szCs w:val="32"/>
        </w:rPr>
        <w:t>探索试点乡村国土空间规划编制模式，完成一批乡村国土空间规划编制，提升乡村规划建设水平，逐步形成适度均衡的新型城镇化空间格局，基本形成涉改镇（街道）教育、医疗卫生、文化、养老、法律服务等公共服务资源布局初步框架，农村交通路网、市政基础设施等逐步完善，镇村资产得到科学合理利用。</w:t>
      </w:r>
    </w:p>
    <w:p>
      <w:pPr>
        <w:ind w:firstLine="643"/>
        <w:rPr>
          <w:rFonts w:ascii="仿宋_GB2312"/>
          <w:szCs w:val="32"/>
        </w:rPr>
      </w:pPr>
      <w:r>
        <w:rPr>
          <w:rFonts w:hint="eastAsia" w:ascii="仿宋_GB2312"/>
          <w:b/>
          <w:bCs/>
          <w:szCs w:val="32"/>
        </w:rPr>
        <w:t>二是调优产业布局。</w:t>
      </w:r>
      <w:r>
        <w:rPr>
          <w:rFonts w:hint="eastAsia" w:ascii="仿宋_GB2312"/>
          <w:szCs w:val="32"/>
        </w:rPr>
        <w:t>合并镇村产业协作及融合不断增强、管理运行机制逐步完善，坚持“农业兴县、工业强县”战略导向，根据各地资源禀赋与产业基础，不断优化乡村产业布局，建成3个农业强镇、2个工业强镇、3个文旅强镇和部分特色村，确保乡村振兴的产业基础进一步夯实。</w:t>
      </w:r>
    </w:p>
    <w:p>
      <w:pPr>
        <w:ind w:firstLine="643"/>
        <w:rPr>
          <w:rFonts w:ascii="仿宋_GB2312"/>
          <w:szCs w:val="32"/>
        </w:rPr>
      </w:pPr>
      <w:r>
        <w:rPr>
          <w:rFonts w:hint="eastAsia" w:ascii="仿宋_GB2312"/>
          <w:b/>
          <w:bCs/>
          <w:szCs w:val="32"/>
        </w:rPr>
        <w:t>三是调顺管理体制。</w:t>
      </w:r>
      <w:r>
        <w:rPr>
          <w:rFonts w:hint="eastAsia" w:ascii="仿宋_GB2312"/>
          <w:szCs w:val="32"/>
        </w:rPr>
        <w:t>建立权责一致、简约精干、务实高效的镇（街道）管理体制，顺利完成村（社区）“两委”换届、镇（街道）领导班子换届，镇（街道）综合行政执法体系更加健全，“放管服”改革持续向基层延伸，涉改镇（街道）、村（社区）运行机制基本理顺。</w:t>
      </w:r>
    </w:p>
    <w:p>
      <w:pPr>
        <w:ind w:firstLine="643"/>
        <w:rPr>
          <w:rFonts w:ascii="仿宋_GB2312"/>
          <w:szCs w:val="32"/>
        </w:rPr>
      </w:pPr>
      <w:r>
        <w:rPr>
          <w:rFonts w:hint="eastAsia" w:ascii="仿宋_GB2312"/>
          <w:b/>
          <w:bCs/>
          <w:szCs w:val="32"/>
        </w:rPr>
        <w:t>四是调强服务治理。</w:t>
      </w:r>
      <w:r>
        <w:rPr>
          <w:rFonts w:hint="eastAsia" w:ascii="仿宋_GB2312"/>
          <w:szCs w:val="32"/>
        </w:rPr>
        <w:t>镇村便民服务等公共服务体系进一步健全，公共服务供给与人民群众个性化、差异化、多样化的需求有机匹配，城乡社区治理框架初步形成，基层群众自治体系更加完善，基本实现“事合、人合、心合”。</w:t>
      </w:r>
    </w:p>
    <w:p>
      <w:pPr>
        <w:ind w:firstLine="640"/>
        <w:rPr>
          <w:rFonts w:ascii="仿宋_GB2312"/>
          <w:szCs w:val="32"/>
        </w:rPr>
      </w:pPr>
      <w:r>
        <w:rPr>
          <w:rFonts w:hint="eastAsia" w:ascii="仿宋_GB2312"/>
          <w:szCs w:val="32"/>
        </w:rPr>
        <w:t>到2025年，改革成果充分显现，镇（街道）、村（社区）运行机制更加高效顺畅，公共服务水平和基层治理能力显著提升，产业布局更加优化，新型城镇化体系更加完善，县域综</w:t>
      </w:r>
      <w:r>
        <w:rPr>
          <w:rFonts w:hint="eastAsia" w:ascii="仿宋_GB2312"/>
          <w:spacing w:val="10"/>
          <w:szCs w:val="32"/>
        </w:rPr>
        <w:t>合实力和</w:t>
      </w:r>
      <w:r>
        <w:rPr>
          <w:rFonts w:hint="eastAsia" w:ascii="仿宋_GB2312"/>
          <w:spacing w:val="6"/>
          <w:szCs w:val="32"/>
        </w:rPr>
        <w:t>整</w:t>
      </w:r>
      <w:r>
        <w:rPr>
          <w:rFonts w:hint="eastAsia" w:ascii="仿宋_GB2312"/>
          <w:spacing w:val="4"/>
          <w:szCs w:val="32"/>
        </w:rPr>
        <w:t>体</w:t>
      </w:r>
      <w:r>
        <w:rPr>
          <w:rFonts w:hint="eastAsia" w:ascii="仿宋_GB2312"/>
          <w:spacing w:val="3"/>
          <w:szCs w:val="32"/>
        </w:rPr>
        <w:t>竞争力明显增强。</w:t>
      </w:r>
    </w:p>
    <w:p>
      <w:pPr>
        <w:pStyle w:val="3"/>
        <w:numPr>
          <w:ilvl w:val="1"/>
          <w:numId w:val="9"/>
        </w:numPr>
      </w:pPr>
      <w:bookmarkStart w:id="451" w:name="_Toc27201"/>
      <w:r>
        <w:rPr>
          <w:rFonts w:hint="eastAsia"/>
        </w:rPr>
        <w:t>加快推进乡村社会治理体系建设</w:t>
      </w:r>
      <w:bookmarkEnd w:id="451"/>
    </w:p>
    <w:p>
      <w:pPr>
        <w:ind w:firstLine="640"/>
      </w:pPr>
      <w:r>
        <w:rPr>
          <w:rFonts w:hint="eastAsia"/>
        </w:rPr>
        <w:t>充分发挥农村基层党组织领导作用，增强政治功能，提升组织力。完善乡村治理体制机制，切实落实农村基层民主协商制度，不断提升乡村管理服务能力，健全农村矛盾纠纷多元化解机制。</w:t>
      </w:r>
    </w:p>
    <w:p>
      <w:pPr>
        <w:pStyle w:val="4"/>
        <w:numPr>
          <w:ilvl w:val="2"/>
          <w:numId w:val="7"/>
        </w:numPr>
        <w:ind w:left="0" w:firstLine="643"/>
      </w:pPr>
      <w:bookmarkStart w:id="452" w:name="_Toc28043"/>
      <w:bookmarkStart w:id="453" w:name="_Toc114128815"/>
      <w:r>
        <w:rPr>
          <w:rFonts w:hint="eastAsia"/>
        </w:rPr>
        <w:t>完善村党组织领导体制机制</w:t>
      </w:r>
      <w:bookmarkEnd w:id="452"/>
      <w:bookmarkEnd w:id="453"/>
    </w:p>
    <w:p>
      <w:pPr>
        <w:ind w:firstLine="640"/>
      </w:pPr>
      <w:r>
        <w:rPr>
          <w:rFonts w:hint="eastAsia"/>
        </w:rPr>
        <w:t>巩固基层党组织领导核心地位，强化村党组织对村民委员会及村务监督委员会、村集体经济组织、农民合作组织和其他经济社会组织的全面领导。进一步健全村级重要事项、重大问题村党组织研究讨论机制，全面落实</w:t>
      </w:r>
      <w:r>
        <w:rPr>
          <w:rFonts w:hint="eastAsia" w:ascii="仿宋_GB2312" w:hAnsi="仿宋"/>
        </w:rPr>
        <w:t>“</w:t>
      </w:r>
      <w:r>
        <w:rPr>
          <w:rFonts w:hint="eastAsia"/>
        </w:rPr>
        <w:t>四议两公开</w:t>
      </w:r>
      <w:r>
        <w:rPr>
          <w:rFonts w:hint="eastAsia" w:ascii="仿宋_GB2312" w:hAnsi="仿宋"/>
        </w:rPr>
        <w:t>”制度。</w:t>
      </w:r>
      <w:r>
        <w:rPr>
          <w:rFonts w:hint="eastAsia"/>
        </w:rPr>
        <w:t>加强基本队伍、基本活动、基本阵地、基本制度、基本保障建设。实施</w:t>
      </w:r>
      <w:r>
        <w:rPr>
          <w:rFonts w:hint="eastAsia" w:ascii="仿宋_GB2312" w:hAnsi="仿宋"/>
        </w:rPr>
        <w:t>“</w:t>
      </w:r>
      <w:r>
        <w:rPr>
          <w:rFonts w:hint="eastAsia"/>
        </w:rPr>
        <w:t>头雁</w:t>
      </w:r>
      <w:r>
        <w:rPr>
          <w:rFonts w:hint="eastAsia" w:ascii="仿宋_GB2312" w:hAnsi="仿宋"/>
        </w:rPr>
        <w:t>”</w:t>
      </w:r>
      <w:r>
        <w:rPr>
          <w:rFonts w:hint="eastAsia"/>
        </w:rPr>
        <w:t>提升行动。配齐配强农村基层干部队伍，大力开展软弱涣散村党组织整顿和评先定级工作，推动有条件的农村经济组织、社会组织实现“两个覆盖”。建强村党组织书记队伍，通过完善选、育、用、管等机制，着力使村党组织书记的学历和年龄实现“一升一降”，锻造一支讲政治、结构优、能力强、作风好的农村基层组织带头人队伍。</w:t>
      </w:r>
    </w:p>
    <w:p>
      <w:pPr>
        <w:pStyle w:val="4"/>
        <w:numPr>
          <w:ilvl w:val="2"/>
          <w:numId w:val="7"/>
        </w:numPr>
        <w:ind w:left="0" w:firstLine="643"/>
      </w:pPr>
      <w:bookmarkStart w:id="454" w:name="_Toc25042"/>
      <w:bookmarkStart w:id="455" w:name="_Toc114128816"/>
      <w:r>
        <w:rPr>
          <w:rFonts w:hint="eastAsia"/>
        </w:rPr>
        <w:t>深化乡村自治法治德治</w:t>
      </w:r>
      <w:bookmarkEnd w:id="454"/>
      <w:bookmarkEnd w:id="455"/>
    </w:p>
    <w:p>
      <w:pPr>
        <w:ind w:firstLine="640"/>
      </w:pPr>
      <w:r>
        <w:rPr>
          <w:rFonts w:hint="eastAsia"/>
        </w:rPr>
        <w:t>深化村民自治实践。坚持自治为基，加强农村群众性自治组织建设，探索乡村自治新模式，构建党组织领导下充满活力的村民自治机制。推进乡村法治建设。畅通信访渠道，推动建立土地承包经营纠纷综合调处机制，及时受理、办理群众涉及土地纠纷信访问题。推进基层社会治理智能化平台建设，整合</w:t>
      </w:r>
      <w:r>
        <w:rPr>
          <w:rFonts w:hint="eastAsia" w:ascii="仿宋_GB2312" w:hAnsi="仿宋"/>
        </w:rPr>
        <w:t>“</w:t>
      </w:r>
      <w:r>
        <w:rPr>
          <w:rFonts w:hint="eastAsia"/>
        </w:rPr>
        <w:t>雪亮工程</w:t>
      </w:r>
      <w:r>
        <w:rPr>
          <w:rFonts w:hint="eastAsia" w:ascii="仿宋_GB2312" w:hAnsi="仿宋"/>
        </w:rPr>
        <w:t>”</w:t>
      </w:r>
      <w:r>
        <w:rPr>
          <w:rFonts w:hint="eastAsia"/>
        </w:rPr>
        <w:t>资源，构建智能化社会治安防控体系，推动信息资源共建共享、互联互通，践行新时代</w:t>
      </w:r>
      <w:r>
        <w:rPr>
          <w:rFonts w:hint="eastAsia" w:ascii="仿宋_GB2312" w:hAnsi="仿宋"/>
        </w:rPr>
        <w:t>“</w:t>
      </w:r>
      <w:r>
        <w:rPr>
          <w:rFonts w:hint="eastAsia"/>
        </w:rPr>
        <w:t>枫桥经验</w:t>
      </w:r>
      <w:r>
        <w:rPr>
          <w:rFonts w:hint="eastAsia" w:ascii="仿宋_GB2312" w:hAnsi="仿宋"/>
        </w:rPr>
        <w:t>”</w:t>
      </w:r>
      <w:r>
        <w:rPr>
          <w:rFonts w:hint="eastAsia"/>
        </w:rPr>
        <w:t>。加强平安乡村建设，推行</w:t>
      </w:r>
      <w:r>
        <w:rPr>
          <w:rFonts w:hint="eastAsia" w:ascii="仿宋_GB2312" w:hAnsi="仿宋"/>
        </w:rPr>
        <w:t>“</w:t>
      </w:r>
      <w:r>
        <w:rPr>
          <w:rFonts w:hint="eastAsia"/>
        </w:rPr>
        <w:t>一村一居一法律顾问</w:t>
      </w:r>
      <w:r>
        <w:rPr>
          <w:rFonts w:hint="eastAsia" w:ascii="仿宋_GB2312" w:hAnsi="仿宋"/>
        </w:rPr>
        <w:t>”</w:t>
      </w:r>
      <w:r>
        <w:rPr>
          <w:rFonts w:hint="eastAsia"/>
        </w:rPr>
        <w:t>在村、社区全覆盖，创建一批</w:t>
      </w:r>
      <w:r>
        <w:rPr>
          <w:rFonts w:hint="eastAsia" w:ascii="仿宋_GB2312" w:hAnsi="仿宋"/>
        </w:rPr>
        <w:t>“</w:t>
      </w:r>
      <w:r>
        <w:rPr>
          <w:rFonts w:hint="eastAsia"/>
        </w:rPr>
        <w:t>依法治理示范村</w:t>
      </w:r>
      <w:r>
        <w:rPr>
          <w:rFonts w:hint="eastAsia" w:ascii="仿宋_GB2312" w:hAnsi="仿宋"/>
        </w:rPr>
        <w:t>”</w:t>
      </w:r>
      <w:r>
        <w:rPr>
          <w:rFonts w:hint="eastAsia"/>
        </w:rPr>
        <w:t>。提升乡村德治水平。积极培育和践行社会主义核心价值观，坚持教育引导、实践养成、制度保障三管齐下，强化道德教化作用。制定通俗易懂、操作性强的村规民约、村民守则，尊良俗、去低俗、废恶俗，化移风易俗重点治理工作，加强无神论宣传教育，抵制封建迷信活动，提高农民科学文化素养。</w:t>
      </w:r>
    </w:p>
    <w:p>
      <w:pPr>
        <w:pStyle w:val="4"/>
        <w:numPr>
          <w:ilvl w:val="2"/>
          <w:numId w:val="7"/>
        </w:numPr>
        <w:ind w:left="0" w:firstLine="643"/>
      </w:pPr>
      <w:bookmarkStart w:id="456" w:name="_Toc114128817"/>
      <w:bookmarkStart w:id="457" w:name="_Toc29563"/>
      <w:r>
        <w:rPr>
          <w:rFonts w:hint="eastAsia"/>
        </w:rPr>
        <w:t>健全农村矛盾纠纷多元化解机制</w:t>
      </w:r>
      <w:bookmarkEnd w:id="456"/>
      <w:bookmarkEnd w:id="457"/>
    </w:p>
    <w:p>
      <w:pPr>
        <w:ind w:firstLine="640"/>
      </w:pPr>
      <w:r>
        <w:rPr>
          <w:rFonts w:hint="eastAsia"/>
        </w:rPr>
        <w:t>不断提升村级组织在乡村治理上的带头引领作用。加强基层调解组织建设，进一步健全人民调解组织网络，逐步形成</w:t>
      </w:r>
      <w:r>
        <w:rPr>
          <w:rFonts w:hint="eastAsia" w:ascii="仿宋" w:hAnsi="仿宋"/>
        </w:rPr>
        <w:t>“</w:t>
      </w:r>
      <w:r>
        <w:rPr>
          <w:rFonts w:hint="eastAsia"/>
        </w:rPr>
        <w:t>全方位覆盖、多功能调处</w:t>
      </w:r>
      <w:r>
        <w:rPr>
          <w:rFonts w:hint="eastAsia" w:ascii="仿宋" w:hAnsi="仿宋"/>
        </w:rPr>
        <w:t>”</w:t>
      </w:r>
      <w:r>
        <w:rPr>
          <w:rFonts w:hint="eastAsia"/>
        </w:rPr>
        <w:t>的县、镇（街道）、村社三级人民调解组织网络体系。完善排查防范机制，健全矛盾隐患通报、纠纷信息反馈、重大情况报告等制度，做到上下联动、快速解决；完善调处联动机制，加强与基层派出所、人民法庭的联调联动，化解辖区内的矛盾纠纷；完善激励保障机制，用表彰奖励先进、总结推广典型的方法，激励广大调解员积极进取、扎实工作。</w:t>
      </w:r>
    </w:p>
    <w:p>
      <w:pPr>
        <w:pStyle w:val="3"/>
      </w:pPr>
      <w:bookmarkStart w:id="458" w:name="_Toc30770"/>
      <w:r>
        <w:rPr>
          <w:rFonts w:hint="eastAsia"/>
        </w:rPr>
        <w:t>加强新时代农村精神文明建设</w:t>
      </w:r>
      <w:bookmarkEnd w:id="458"/>
    </w:p>
    <w:p>
      <w:pPr>
        <w:ind w:firstLine="640"/>
      </w:pPr>
      <w:r>
        <w:t>坚持以社会主义核心价值观为引领，促进农民开展精神文明</w:t>
      </w:r>
      <w:r>
        <w:rPr>
          <w:rFonts w:hint="eastAsia"/>
        </w:rPr>
        <w:t>建设</w:t>
      </w:r>
      <w:r>
        <w:t>，传承发展乡村优秀传统文化，丰富乡村文化生活</w:t>
      </w:r>
      <w:r>
        <w:rPr>
          <w:rFonts w:hint="eastAsia"/>
        </w:rPr>
        <w:t>，</w:t>
      </w:r>
      <w:r>
        <w:t>提高乡村社会文明程度。推动乡村文化振兴，建立健全公共文化服务体系，保护利用传统优秀文化，加快推进文明村镇创建，将井研县建设成为乡村文明建设</w:t>
      </w:r>
      <w:r>
        <w:rPr>
          <w:rFonts w:hint="eastAsia"/>
          <w:lang w:val="en-US" w:eastAsia="zh-CN"/>
        </w:rPr>
        <w:t>先行</w:t>
      </w:r>
      <w:r>
        <w:t>示范区。</w:t>
      </w:r>
    </w:p>
    <w:p>
      <w:pPr>
        <w:pStyle w:val="4"/>
        <w:ind w:left="-3" w:firstLine="643"/>
      </w:pPr>
      <w:bookmarkStart w:id="459" w:name="_Toc111650438"/>
      <w:bookmarkStart w:id="460" w:name="_Toc112145737"/>
      <w:bookmarkStart w:id="461" w:name="_Toc111192838"/>
      <w:bookmarkStart w:id="462" w:name="_Toc98702604"/>
      <w:bookmarkStart w:id="463" w:name="_Toc111818660"/>
      <w:bookmarkStart w:id="464" w:name="_Toc28008"/>
      <w:bookmarkStart w:id="465" w:name="_Toc114128819"/>
      <w:r>
        <w:rPr>
          <w:rFonts w:hint="eastAsia"/>
        </w:rPr>
        <w:t>开展乡风文明建设行动</w:t>
      </w:r>
      <w:bookmarkEnd w:id="459"/>
      <w:bookmarkEnd w:id="460"/>
      <w:bookmarkEnd w:id="461"/>
      <w:bookmarkEnd w:id="462"/>
      <w:bookmarkEnd w:id="463"/>
      <w:bookmarkEnd w:id="464"/>
      <w:bookmarkEnd w:id="465"/>
    </w:p>
    <w:p>
      <w:pPr>
        <w:ind w:firstLine="643"/>
      </w:pPr>
      <w:r>
        <w:rPr>
          <w:rFonts w:hint="eastAsia"/>
          <w:b/>
          <w:bCs/>
        </w:rPr>
        <w:t>一是实施道德提升工程。</w:t>
      </w:r>
      <w:r>
        <w:rPr>
          <w:rFonts w:hint="eastAsia"/>
        </w:rPr>
        <w:t>利用开办道德讲堂，组建</w:t>
      </w:r>
      <w:r>
        <w:rPr>
          <w:rFonts w:hint="eastAsia" w:ascii="仿宋_GB2312" w:hAnsi="仿宋"/>
        </w:rPr>
        <w:t>“</w:t>
      </w:r>
      <w:r>
        <w:rPr>
          <w:rFonts w:hint="eastAsia"/>
        </w:rPr>
        <w:t>道德志愿服务队</w:t>
      </w:r>
      <w:r>
        <w:rPr>
          <w:rFonts w:hint="eastAsia" w:ascii="仿宋_GB2312" w:hAnsi="仿宋"/>
        </w:rPr>
        <w:t>”</w:t>
      </w:r>
      <w:r>
        <w:rPr>
          <w:rFonts w:hint="eastAsia"/>
        </w:rPr>
        <w:t>，引导村民移风易俗。通过建设农村</w:t>
      </w:r>
      <w:r>
        <w:rPr>
          <w:rFonts w:hint="eastAsia" w:ascii="仿宋_GB2312" w:hAnsi="仿宋"/>
        </w:rPr>
        <w:t>“</w:t>
      </w:r>
      <w:r>
        <w:rPr>
          <w:rFonts w:hint="eastAsia"/>
        </w:rPr>
        <w:t>文明墙</w:t>
      </w:r>
      <w:r>
        <w:rPr>
          <w:rFonts w:hint="eastAsia" w:ascii="仿宋_GB2312" w:hAnsi="仿宋"/>
        </w:rPr>
        <w:t>”</w:t>
      </w:r>
      <w:r>
        <w:rPr>
          <w:rFonts w:hint="eastAsia"/>
        </w:rPr>
        <w:t>、设立</w:t>
      </w:r>
      <w:r>
        <w:rPr>
          <w:rFonts w:hint="eastAsia" w:ascii="仿宋_GB2312" w:hAnsi="仿宋"/>
        </w:rPr>
        <w:t>“</w:t>
      </w:r>
      <w:r>
        <w:rPr>
          <w:rFonts w:hint="eastAsia"/>
        </w:rPr>
        <w:t>遵德守礼</w:t>
      </w:r>
      <w:r>
        <w:rPr>
          <w:rFonts w:hint="eastAsia" w:ascii="仿宋_GB2312" w:hAnsi="仿宋"/>
        </w:rPr>
        <w:t>”</w:t>
      </w:r>
      <w:r>
        <w:rPr>
          <w:rFonts w:hint="eastAsia"/>
        </w:rPr>
        <w:t>提示牌等形式，让文明新风入脑入心。以讲文明、讲科学、讲卫生为主题，广泛开展文明礼仪和科普知识宣传教育。每个村成立民情理事会，由德高望重的老党员、老干部组成，把改善乡风民风作为一项重点工作来抓，同时成立志愿者服务队，互帮互助增进邻里情。</w:t>
      </w:r>
    </w:p>
    <w:p>
      <w:pPr>
        <w:ind w:firstLine="643"/>
      </w:pPr>
      <w:r>
        <w:rPr>
          <w:rFonts w:hint="eastAsia"/>
          <w:b/>
          <w:bCs/>
        </w:rPr>
        <w:t>二是实施村风文明工程。</w:t>
      </w:r>
      <w:r>
        <w:rPr>
          <w:rFonts w:hint="eastAsia"/>
        </w:rPr>
        <w:t>引导乡村制定完善村规民约，宣传文明守则，培育孝老敬老风尚。认真开展文明创建深化行动。细化奖惩激励、过程管理等措施，使文明村镇、文明家庭创建更加规范高效。定期评选文明家庭，树立文明新风尚。通过在全县创建县级文明村镇（社区）、</w:t>
      </w:r>
      <w:r>
        <w:rPr>
          <w:rFonts w:hint="eastAsia" w:ascii="仿宋_GB2312" w:hAnsi="仿宋"/>
        </w:rPr>
        <w:t>“</w:t>
      </w:r>
      <w:r>
        <w:rPr>
          <w:rFonts w:hint="eastAsia"/>
        </w:rPr>
        <w:t>十星级文明户</w:t>
      </w:r>
      <w:r>
        <w:rPr>
          <w:rFonts w:hint="eastAsia"/>
          <w:lang w:eastAsia="zh-CN"/>
        </w:rPr>
        <w:t>”“</w:t>
      </w:r>
      <w:r>
        <w:rPr>
          <w:rFonts w:hint="eastAsia"/>
        </w:rPr>
        <w:t>文明家庭</w:t>
      </w:r>
      <w:r>
        <w:rPr>
          <w:rFonts w:hint="eastAsia" w:ascii="仿宋_GB2312" w:hAnsi="仿宋"/>
        </w:rPr>
        <w:t>”</w:t>
      </w:r>
      <w:r>
        <w:rPr>
          <w:rFonts w:hint="eastAsia"/>
        </w:rPr>
        <w:t>等，让村风文明更接地气，蓬勃开展，力争在</w:t>
      </w:r>
      <w:r>
        <w:rPr>
          <w:rFonts w:hint="eastAsia" w:ascii="仿宋_GB2312" w:hAnsi="仿宋"/>
        </w:rPr>
        <w:t>“</w:t>
      </w:r>
      <w:r>
        <w:rPr>
          <w:rFonts w:hint="eastAsia"/>
        </w:rPr>
        <w:t>十四五</w:t>
      </w:r>
      <w:r>
        <w:rPr>
          <w:rFonts w:hint="eastAsia" w:ascii="仿宋_GB2312" w:hAnsi="仿宋"/>
        </w:rPr>
        <w:t>”</w:t>
      </w:r>
      <w:r>
        <w:rPr>
          <w:rFonts w:hint="eastAsia"/>
        </w:rPr>
        <w:t>实现文明村镇创建目标，切实发挥文明创建在树立文明乡风中的示范带动作用。</w:t>
      </w:r>
    </w:p>
    <w:p>
      <w:pPr>
        <w:ind w:firstLine="643"/>
      </w:pPr>
      <w:r>
        <w:rPr>
          <w:rFonts w:hint="eastAsia"/>
          <w:b/>
          <w:bCs/>
        </w:rPr>
        <w:t>三是实施文化惠民工程。</w:t>
      </w:r>
      <w:r>
        <w:rPr>
          <w:rFonts w:hint="eastAsia"/>
        </w:rPr>
        <w:t>完善文化设施，开展文化下乡活动，通过群众喜闻乐见的文化活动，活跃农村文化生活。开展多种形式的、体现农村地方特色的群众文化活动，丰富农民群众的精神文化生活。健全完善县镇村三级公共文化服务体系，增加文化产品服务供给，着力提升公共服务效能。加快文旅基础设施网格化覆盖步伐。丰富群众性文化活动内容，做好群众性文化活动品牌，组织开展广场舞大赛、曲艺小品大赛等系列文化活动，加大文化惠民工程实施力度。</w:t>
      </w:r>
    </w:p>
    <w:p>
      <w:pPr>
        <w:pStyle w:val="4"/>
        <w:ind w:left="-3" w:firstLine="643"/>
      </w:pPr>
      <w:bookmarkStart w:id="466" w:name="_Toc111192839"/>
      <w:bookmarkStart w:id="467" w:name="_Toc111650439"/>
      <w:bookmarkStart w:id="468" w:name="_Toc114128820"/>
      <w:bookmarkStart w:id="469" w:name="_Toc98702605"/>
      <w:bookmarkStart w:id="470" w:name="_Toc12899"/>
      <w:bookmarkStart w:id="471" w:name="_Toc112145738"/>
      <w:bookmarkStart w:id="472" w:name="_Toc111818661"/>
      <w:r>
        <w:rPr>
          <w:rFonts w:hint="eastAsia"/>
        </w:rPr>
        <w:t>壮大镇（街道）综合文化站</w:t>
      </w:r>
      <w:bookmarkEnd w:id="466"/>
      <w:bookmarkEnd w:id="467"/>
      <w:bookmarkEnd w:id="468"/>
      <w:bookmarkEnd w:id="469"/>
      <w:bookmarkEnd w:id="470"/>
      <w:bookmarkEnd w:id="471"/>
      <w:bookmarkEnd w:id="472"/>
    </w:p>
    <w:p>
      <w:pPr>
        <w:ind w:firstLine="640"/>
        <w:rPr>
          <w:shd w:val="clear" w:color="auto" w:fill="FFFFFF"/>
        </w:rPr>
      </w:pPr>
      <w:r>
        <w:rPr>
          <w:rFonts w:hint="eastAsia"/>
          <w:shd w:val="clear" w:color="auto" w:fill="FFFFFF"/>
        </w:rPr>
        <w:t>充分发挥综合文化站在农村公共体育、文化服务方面的整合作用，各镇（街道）要以综合站为重要阵地，通过广泛组织开展文体活动，不断满足广大农民日益增长的多元化体育健身、精神文化需求。以加强体育场地设施、文化传播设施建设为基础，以完善文体组织网络为依托，以开展文体建设活动为手段，不断提高公共文体服务的内容和质量，使其成为农民开展健身活动的重要场所和传播科学文化知识的重要课堂。利用全民健身日、传统节日和农闲季节，坚持与农业生产、文化活动和地方风俗相结合，动员、组织农民开展丰富多彩的体育竞赛和表演展示活动，发挥竞赛的杠杆作用，定期举办镇（街道）综合性运动会，进一步发挥综合文化站在改善农民精神面貌方面的引领作用。</w:t>
      </w:r>
    </w:p>
    <w:p>
      <w:pPr>
        <w:pStyle w:val="4"/>
        <w:ind w:left="-3" w:firstLine="643"/>
      </w:pPr>
      <w:bookmarkStart w:id="473" w:name="_Toc111818662"/>
      <w:bookmarkStart w:id="474" w:name="_Toc10637"/>
      <w:bookmarkStart w:id="475" w:name="_Toc114128821"/>
      <w:bookmarkStart w:id="476" w:name="_Toc111650440"/>
      <w:bookmarkStart w:id="477" w:name="_Toc112145739"/>
      <w:bookmarkStart w:id="478" w:name="_Toc98702606"/>
      <w:bookmarkStart w:id="479" w:name="_Toc111192840"/>
      <w:r>
        <w:rPr>
          <w:rFonts w:hint="eastAsia"/>
        </w:rPr>
        <w:t>保护利用优秀传统文化</w:t>
      </w:r>
      <w:bookmarkEnd w:id="473"/>
      <w:bookmarkEnd w:id="474"/>
      <w:bookmarkEnd w:id="475"/>
      <w:bookmarkEnd w:id="476"/>
      <w:bookmarkEnd w:id="477"/>
      <w:bookmarkEnd w:id="478"/>
      <w:bookmarkEnd w:id="479"/>
    </w:p>
    <w:p>
      <w:pPr>
        <w:ind w:firstLine="640"/>
        <w:rPr>
          <w:shd w:val="clear" w:color="auto" w:fill="FFFFFF"/>
        </w:rPr>
      </w:pPr>
      <w:r>
        <w:rPr>
          <w:rFonts w:hint="eastAsia"/>
          <w:shd w:val="clear" w:color="auto" w:fill="FFFFFF"/>
        </w:rPr>
        <w:t>保护</w:t>
      </w:r>
      <w:r>
        <w:rPr>
          <w:rFonts w:hint="eastAsia" w:ascii="仿宋_GB2312"/>
          <w:shd w:val="clear" w:color="auto" w:fill="FFFFFF"/>
        </w:rPr>
        <w:t>“</w:t>
      </w:r>
      <w:r>
        <w:rPr>
          <w:rFonts w:hint="eastAsia"/>
          <w:shd w:val="clear" w:color="auto" w:fill="FFFFFF"/>
        </w:rPr>
        <w:t>井研农民画</w:t>
      </w:r>
      <w:r>
        <w:rPr>
          <w:rFonts w:hint="eastAsia" w:ascii="仿宋_GB2312"/>
          <w:shd w:val="clear" w:color="auto" w:fill="FFFFFF"/>
        </w:rPr>
        <w:t>”</w:t>
      </w:r>
      <w:r>
        <w:rPr>
          <w:rFonts w:hint="eastAsia"/>
          <w:shd w:val="clear" w:color="auto" w:fill="FFFFFF"/>
        </w:rPr>
        <w:t>、女子飞龙、川剧、竹琴、柳连柳等农耕文化遗产和非物质文化遗产，挖掘农耕文化深厚内涵，弘扬红色文化，传承和发展优秀传统文化。传承优秀川蜀特色文化，加强非物质文化遗产保护、传承与利用，加强对历史文化名镇名村、传统村落和特色村寨的保护，开展保护状况监测和评估，采取一定措施防御和减轻火灾、洪水、地震等灾害。创新文物保护利用机制，在确保文物安全的前提下，支持在文物保护区域依法依规、因地制宜发展服务业和休闲农业。</w:t>
      </w:r>
    </w:p>
    <w:p>
      <w:pPr>
        <w:pStyle w:val="3"/>
        <w:rPr>
          <w:shd w:val="clear" w:color="auto" w:fill="FFFFFF"/>
        </w:rPr>
      </w:pPr>
      <w:bookmarkStart w:id="480" w:name="_Toc5615"/>
      <w:r>
        <w:rPr>
          <w:rFonts w:hint="eastAsia"/>
          <w:shd w:val="clear" w:color="auto" w:fill="FFFFFF"/>
        </w:rPr>
        <w:t>全面加强乡村人才队伍建设</w:t>
      </w:r>
      <w:bookmarkEnd w:id="480"/>
    </w:p>
    <w:p>
      <w:pPr>
        <w:ind w:firstLine="640"/>
        <w:rPr>
          <w:shd w:val="clear" w:color="auto" w:fill="FFFFFF"/>
        </w:rPr>
      </w:pPr>
      <w:r>
        <w:rPr>
          <w:rFonts w:hint="eastAsia"/>
          <w:shd w:val="clear" w:color="auto" w:fill="FFFFFF"/>
        </w:rPr>
        <w:t>贯彻落实中共中央办公厅、国务院办公厅《关于加快推进乡村人才振兴的意见》，培养实施乡村振兴战略和推进农业农村现代化的各类人才，造就一支懂农业、爱农村、爱农民的“三农”工作队伍。</w:t>
      </w:r>
    </w:p>
    <w:p>
      <w:pPr>
        <w:ind w:firstLine="640"/>
        <w:rPr>
          <w:shd w:val="clear" w:color="auto" w:fill="FFFFFF"/>
        </w:rPr>
      </w:pPr>
      <w:r>
        <w:rPr>
          <w:rFonts w:hint="eastAsia"/>
          <w:shd w:val="clear" w:color="auto" w:fill="FFFFFF"/>
        </w:rPr>
        <w:t>加快培养农业生产经营人才。突出抓好家庭农场经营者、农民合作社带头人培育，培养高素质农民队伍。实施“农村家庭能人培养”计划，挖掘培养一批“土专家”“田秀才”，扶持一批农业职业经理人、经纪人、农村电商人才，培育一批乡村工匠、文化能人、非物质文化遗产传承人，鼓励高等学校、职业院校开展传统技艺传承人教育。</w:t>
      </w:r>
    </w:p>
    <w:p>
      <w:pPr>
        <w:ind w:firstLine="640"/>
        <w:rPr>
          <w:shd w:val="clear" w:color="auto" w:fill="FFFFFF"/>
        </w:rPr>
      </w:pPr>
      <w:r>
        <w:rPr>
          <w:rFonts w:hint="eastAsia"/>
          <w:shd w:val="clear" w:color="auto" w:fill="FFFFFF"/>
        </w:rPr>
        <w:t>加快培养乡村公共服务人才。拓展“三支一扶”服务岗位，加强农业产业、乡村教育、卫生健康等人才队伍建设。以基层党组织为核心，推进乡村治理，健全“三农”工作干部队伍培养、配备、管理、使用制度，推动村党组织带头人队伍整体优化提升。</w:t>
      </w:r>
    </w:p>
    <w:p>
      <w:pPr>
        <w:ind w:firstLine="640"/>
        <w:rPr>
          <w:shd w:val="clear" w:color="auto" w:fill="FFFFFF"/>
        </w:rPr>
      </w:pPr>
      <w:r>
        <w:rPr>
          <w:rFonts w:hint="eastAsia"/>
          <w:shd w:val="clear" w:color="auto" w:fill="FFFFFF"/>
        </w:rPr>
        <w:t>创新乡村专业技术人才培养机制。引进一批懂农业技术、懂市场营销、懂企业管理的专门实用人才。实施干部帮扶基层行动、“大学生进农村”计划、“新乡贤”回引工程，推动人才流向乡村。推进科技体制机制创新，激活科技人才下乡支农积极性，建立科技帮扶经营主体及农户的机制，深入开展科技下村活动，形成支持乡村发展的科技力量。</w:t>
      </w:r>
    </w:p>
    <w:p>
      <w:pPr>
        <w:ind w:firstLine="640"/>
      </w:pPr>
      <w:r>
        <w:rPr>
          <w:rFonts w:hint="eastAsia"/>
          <w:shd w:val="clear" w:color="auto" w:fill="FFFFFF"/>
        </w:rPr>
        <w:t>增强政策倾斜力度，针对致力于乡村振兴事业的实用型、科技型、创业型人才在用地、税费减免、金融服务等方面给予扶持。全面评估分析全县乡村人才供求总量和缺口，探索建立乡村人才信息库和需求目录，保障基层技术人才供给</w:t>
      </w:r>
      <w:r>
        <w:rPr>
          <w:rFonts w:hint="eastAsia"/>
        </w:rPr>
        <w:t>。</w:t>
      </w:r>
    </w:p>
    <w:tbl>
      <w:tblPr>
        <w:tblStyle w:val="34"/>
        <w:tblW w:w="82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D7D7D7" w:themeFill="background1" w:themeFillShade="D8"/>
            <w:vAlign w:val="bottom"/>
          </w:tcPr>
          <w:p>
            <w:pPr>
              <w:pStyle w:val="74"/>
            </w:pPr>
            <w:r>
              <w:rPr>
                <w:rFonts w:hint="eastAsia"/>
              </w:rPr>
              <w:t>专栏</w:t>
            </w:r>
            <w:r>
              <w:t>8</w:t>
            </w:r>
            <w:r>
              <w:rPr>
                <w:rFonts w:hint="eastAsia"/>
              </w:rPr>
              <w:t>：提升乡村治理水平重点项目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72"/>
              <w:ind w:firstLine="482"/>
              <w:jc w:val="both"/>
            </w:pPr>
            <w:r>
              <w:rPr>
                <w:rFonts w:hint="eastAsia"/>
                <w:b/>
                <w:bCs w:val="0"/>
              </w:rPr>
              <w:t>1</w:t>
            </w:r>
            <w:r>
              <w:rPr>
                <w:b/>
                <w:bCs w:val="0"/>
              </w:rPr>
              <w:t xml:space="preserve">. </w:t>
            </w:r>
            <w:r>
              <w:rPr>
                <w:rFonts w:hint="eastAsia"/>
                <w:b/>
                <w:bCs w:val="0"/>
              </w:rPr>
              <w:t>乡村治理创新工程：</w:t>
            </w:r>
            <w:r>
              <w:rPr>
                <w:rFonts w:hint="eastAsia"/>
              </w:rPr>
              <w:t>开展“送法律进农村、维稳定促发展”农村法治宣传教育活动。全面实施村级事务阳光工程，完善党务、村务、财务“三公开”制度，实现公开经常化、制度化和规范化。</w:t>
            </w:r>
          </w:p>
          <w:p>
            <w:pPr>
              <w:pStyle w:val="72"/>
              <w:ind w:firstLine="482"/>
              <w:jc w:val="both"/>
            </w:pPr>
            <w:r>
              <w:rPr>
                <w:b/>
                <w:bCs w:val="0"/>
              </w:rPr>
              <w:t xml:space="preserve">2. </w:t>
            </w:r>
            <w:r>
              <w:rPr>
                <w:rFonts w:hint="eastAsia"/>
                <w:b/>
                <w:bCs w:val="0"/>
              </w:rPr>
              <w:t>头雁提升工程：</w:t>
            </w:r>
            <w:r>
              <w:rPr>
                <w:rFonts w:hint="eastAsia"/>
              </w:rPr>
              <w:t>精准抓好农村书记后备队伍培养，通过“村推镇选县考察”，及时建立书记后备队伍。</w:t>
            </w:r>
          </w:p>
          <w:p>
            <w:pPr>
              <w:pStyle w:val="72"/>
              <w:ind w:firstLine="482"/>
            </w:pPr>
            <w:r>
              <w:rPr>
                <w:b/>
                <w:bCs w:val="0"/>
              </w:rPr>
              <w:t>3. 农村社区综合服务设施建设</w:t>
            </w:r>
            <w:r>
              <w:rPr>
                <w:rFonts w:hint="eastAsia"/>
                <w:b/>
                <w:bCs w:val="0"/>
              </w:rPr>
              <w:t>工程：</w:t>
            </w:r>
            <w:r>
              <w:t>引导管理服务向农村基层延伸，</w:t>
            </w:r>
            <w:r>
              <w:rPr>
                <w:rFonts w:ascii="仿宋" w:hAnsi="仿宋"/>
              </w:rPr>
              <w:t>将农村民生</w:t>
            </w:r>
            <w:r>
              <w:t>和社会治理领域中属于政府职责范围且适合通过市场化方式提供的服务事项，纳入政府购买服务指导性目录。推动各级投放的公共服务资源以镇（街道）、村党组织为主渠道落实。</w:t>
            </w:r>
          </w:p>
          <w:p>
            <w:pPr>
              <w:pStyle w:val="72"/>
              <w:ind w:firstLine="482"/>
            </w:pPr>
            <w:r>
              <w:rPr>
                <w:b/>
              </w:rPr>
              <w:t xml:space="preserve">4. </w:t>
            </w:r>
            <w:r>
              <w:rPr>
                <w:rFonts w:hint="eastAsia"/>
                <w:b/>
              </w:rPr>
              <w:t>乡村文化阵地建设行动：</w:t>
            </w:r>
            <w:r>
              <w:rPr>
                <w:rFonts w:hint="eastAsia"/>
              </w:rPr>
              <w:t>完善县、镇（街道）、村（社区）三级文化设施载体和网络建设项目，重点推进镇综合文化中心站、文化体育广场、村文化活动室等项目建设，实现镇村两级公共文化服务全覆盖。</w:t>
            </w:r>
          </w:p>
          <w:p>
            <w:pPr>
              <w:pStyle w:val="72"/>
              <w:ind w:firstLine="482"/>
            </w:pPr>
            <w:r>
              <w:rPr>
                <w:b/>
              </w:rPr>
              <w:t xml:space="preserve">5. </w:t>
            </w:r>
            <w:r>
              <w:rPr>
                <w:rFonts w:hint="eastAsia"/>
                <w:b/>
              </w:rPr>
              <w:t>文明村镇创建工程：</w:t>
            </w:r>
            <w:r>
              <w:rPr>
                <w:rFonts w:hint="eastAsia"/>
              </w:rPr>
              <w:t>深入开展文明村镇、文明家庭创建，深化乡村振兴文明示范线、新时代文明实践中心（所、站）建设；创新开展书香家庭、绿色家庭、平安家庭等特色家庭评选活动，不断提升群众文明素质。</w:t>
            </w:r>
          </w:p>
        </w:tc>
      </w:tr>
    </w:tbl>
    <w:p>
      <w:pPr>
        <w:ind w:firstLine="640"/>
        <w:rPr>
          <w:shd w:val="clear" w:color="auto" w:fill="FFFFFF"/>
        </w:rPr>
      </w:pPr>
    </w:p>
    <w:p>
      <w:pPr>
        <w:ind w:firstLine="0" w:firstLineChars="0"/>
        <w:jc w:val="center"/>
        <w:rPr>
          <w:rFonts w:ascii="黑体" w:hAnsi="黑体" w:eastAsia="黑体"/>
          <w:b/>
          <w:bCs/>
          <w:sz w:val="36"/>
          <w:szCs w:val="36"/>
        </w:rPr>
      </w:pPr>
    </w:p>
    <w:p>
      <w:pPr>
        <w:pStyle w:val="2"/>
        <w:spacing w:before="217" w:after="217"/>
        <w:ind w:firstLine="567" w:firstLineChars="157"/>
        <w:rPr>
          <w:rFonts w:ascii="黑体" w:hAnsi="黑体"/>
          <w:szCs w:val="36"/>
        </w:rPr>
      </w:pPr>
      <w:bookmarkStart w:id="481" w:name="_Toc11934"/>
      <w:r>
        <w:rPr>
          <w:rFonts w:hint="eastAsia"/>
          <w:lang w:eastAsia="zh-CN"/>
        </w:rPr>
        <w:t>巩固拓展脱贫攻坚成果</w:t>
      </w:r>
      <w:r>
        <w:rPr>
          <w:rFonts w:hint="eastAsia"/>
        </w:rPr>
        <w:t>，全面推进</w:t>
      </w:r>
      <w:r>
        <w:rPr>
          <w:rFonts w:hint="eastAsia" w:ascii="黑体" w:hAnsi="黑体"/>
          <w:szCs w:val="36"/>
        </w:rPr>
        <w:t>乡村振兴</w:t>
      </w:r>
      <w:bookmarkEnd w:id="481"/>
    </w:p>
    <w:p>
      <w:pPr>
        <w:ind w:firstLine="640"/>
      </w:pPr>
      <w:r>
        <w:rPr>
          <w:rFonts w:hint="eastAsia"/>
        </w:rPr>
        <w:t>以巩固“两不愁三保障”成果为重点，建立健全巩固拓展脱贫攻坚长效机制，优化调整帮扶工作机制，不断</w:t>
      </w:r>
      <w:r>
        <w:rPr>
          <w:rFonts w:hint="eastAsia"/>
          <w:lang w:eastAsia="zh-CN"/>
        </w:rPr>
        <w:t>巩固拓展脱贫攻坚成果</w:t>
      </w:r>
      <w:r>
        <w:rPr>
          <w:rFonts w:hint="eastAsia"/>
        </w:rPr>
        <w:t>，促进脱贫攻坚与乡村振兴有效衔接。</w:t>
      </w:r>
    </w:p>
    <w:p>
      <w:pPr>
        <w:pStyle w:val="3"/>
      </w:pPr>
      <w:bookmarkStart w:id="482" w:name="_Toc4288"/>
      <w:r>
        <w:rPr>
          <w:rFonts w:hint="eastAsia"/>
        </w:rPr>
        <w:t>建立健全巩固拓展脱贫攻坚成果长效机制</w:t>
      </w:r>
      <w:bookmarkEnd w:id="482"/>
    </w:p>
    <w:p>
      <w:pPr>
        <w:ind w:firstLine="640"/>
      </w:pPr>
      <w:r>
        <w:t>聚焦巩固拓展脱贫攻坚成果，坚持“四个不摘”</w:t>
      </w:r>
      <w:r>
        <w:rPr>
          <w:rStyle w:val="42"/>
        </w:rPr>
        <w:footnoteReference w:id="17"/>
      </w:r>
      <w:r>
        <w:rPr>
          <w:rFonts w:hint="eastAsia"/>
        </w:rPr>
        <w:t>，以重点项目为抓手，建立健全相关监测与帮扶</w:t>
      </w:r>
      <w:bookmarkStart w:id="770" w:name="_GoBack"/>
      <w:bookmarkEnd w:id="770"/>
      <w:r>
        <w:rPr>
          <w:rFonts w:hint="eastAsia"/>
        </w:rPr>
        <w:t>机制，多维度多层次确保脱贫攻坚成果持续稳定，夯实全面推动乡村振兴基础。</w:t>
      </w:r>
    </w:p>
    <w:p>
      <w:pPr>
        <w:pStyle w:val="4"/>
        <w:ind w:left="-3" w:firstLine="643"/>
      </w:pPr>
      <w:bookmarkStart w:id="483" w:name="_Toc98702609"/>
      <w:bookmarkStart w:id="484" w:name="_Toc111650447"/>
      <w:bookmarkStart w:id="485" w:name="_Toc114128825"/>
      <w:bookmarkStart w:id="486" w:name="_Toc112145743"/>
      <w:bookmarkStart w:id="487" w:name="_Toc111818669"/>
      <w:bookmarkStart w:id="488" w:name="_Toc111192843"/>
      <w:bookmarkStart w:id="489" w:name="_Toc21692"/>
      <w:r>
        <w:rPr>
          <w:rFonts w:hint="eastAsia"/>
        </w:rPr>
        <w:t>保持主要帮扶政策稳定落实</w:t>
      </w:r>
      <w:bookmarkEnd w:id="483"/>
      <w:bookmarkEnd w:id="484"/>
      <w:bookmarkEnd w:id="485"/>
      <w:bookmarkEnd w:id="486"/>
      <w:bookmarkEnd w:id="487"/>
      <w:bookmarkEnd w:id="488"/>
      <w:bookmarkEnd w:id="489"/>
    </w:p>
    <w:p>
      <w:pPr>
        <w:ind w:firstLine="640"/>
      </w:pPr>
      <w:r>
        <w:rPr>
          <w:rFonts w:hint="eastAsia"/>
        </w:rPr>
        <w:t>严格落实国家、四川省、乐山市关于巩固脱贫攻坚成果相关政策，保障五年过渡期内各项措施落地落实，过渡期内严格落实“四个不摘”要求。现有帮扶政策该延续的延续、该优化的优化、该调整的调整，确保政策连续性。兜底救助类政策要继续保持稳定，落实好教育、医疗、住房、饮水等民生保障普惠性政策，并根据脱贫人口实际困难给予适度倾斜。结合片区规划及各区域产业基础，因地制宜优化产业就业等政策。</w:t>
      </w:r>
    </w:p>
    <w:p>
      <w:pPr>
        <w:pStyle w:val="4"/>
        <w:ind w:left="-3" w:firstLine="643"/>
        <w:rPr>
          <w:lang w:bidi="ar"/>
        </w:rPr>
      </w:pPr>
      <w:bookmarkStart w:id="490" w:name="_Toc111818670"/>
      <w:bookmarkStart w:id="491" w:name="_Toc114128826"/>
      <w:bookmarkStart w:id="492" w:name="_Toc98702610"/>
      <w:bookmarkStart w:id="493" w:name="_Toc112145744"/>
      <w:bookmarkStart w:id="494" w:name="_Toc111192844"/>
      <w:bookmarkStart w:id="495" w:name="_Toc111650448"/>
      <w:bookmarkStart w:id="496" w:name="_Toc15566"/>
      <w:r>
        <w:rPr>
          <w:rFonts w:hint="eastAsia"/>
          <w:lang w:bidi="ar"/>
        </w:rPr>
        <w:t>健全防贫防返贫动态监测和帮扶机制</w:t>
      </w:r>
      <w:bookmarkEnd w:id="490"/>
      <w:bookmarkEnd w:id="491"/>
      <w:bookmarkEnd w:id="492"/>
      <w:bookmarkEnd w:id="493"/>
      <w:bookmarkEnd w:id="494"/>
      <w:bookmarkEnd w:id="495"/>
      <w:bookmarkEnd w:id="496"/>
    </w:p>
    <w:p>
      <w:pPr>
        <w:ind w:firstLine="640"/>
        <w:rPr>
          <w:lang w:bidi="ar"/>
        </w:rPr>
      </w:pPr>
      <w:r>
        <w:rPr>
          <w:rFonts w:hint="eastAsia"/>
          <w:lang w:bidi="ar"/>
        </w:rPr>
        <w:t>保持过渡期内现有主要帮扶政策总体稳定，完善政策优化调整的具体实施办法，健全防贫防返贫动态监测和帮扶机制，及时发现、及时帮扶易返贫致贫人口，守住防止规模性返贫底线。</w:t>
      </w:r>
      <w:r>
        <w:rPr>
          <w:rStyle w:val="80"/>
        </w:rPr>
        <w:t>建立健全易返贫致贫人口快速发现和响应机制，分层分类及时纳入帮扶政策范围，实行动态清零。建立农户主动申请、部门信息比对、基层干部定期跟踪回访相结合的易返贫致贫人口发现和核查机制，实施帮扶对象动态管理。</w:t>
      </w:r>
    </w:p>
    <w:p>
      <w:pPr>
        <w:pStyle w:val="4"/>
        <w:ind w:left="-3" w:firstLine="643"/>
        <w:rPr>
          <w:lang w:bidi="ar"/>
        </w:rPr>
      </w:pPr>
      <w:bookmarkStart w:id="497" w:name="_Toc98702611"/>
      <w:bookmarkStart w:id="498" w:name="_Toc111818671"/>
      <w:bookmarkStart w:id="499" w:name="_Toc111650449"/>
      <w:bookmarkStart w:id="500" w:name="_Toc20211"/>
      <w:bookmarkStart w:id="501" w:name="_Toc114128827"/>
      <w:bookmarkStart w:id="502" w:name="_Toc112145745"/>
      <w:bookmarkStart w:id="503" w:name="_Toc111192845"/>
      <w:r>
        <w:rPr>
          <w:rStyle w:val="80"/>
        </w:rPr>
        <w:t>加强扶贫项目资产管理和监督</w:t>
      </w:r>
      <w:bookmarkEnd w:id="497"/>
      <w:bookmarkEnd w:id="498"/>
      <w:bookmarkEnd w:id="499"/>
      <w:bookmarkEnd w:id="500"/>
      <w:bookmarkEnd w:id="501"/>
      <w:bookmarkEnd w:id="502"/>
      <w:bookmarkEnd w:id="503"/>
    </w:p>
    <w:p>
      <w:pPr>
        <w:ind w:firstLine="640"/>
        <w:rPr>
          <w:rStyle w:val="80"/>
        </w:rPr>
      </w:pPr>
      <w:r>
        <w:rPr>
          <w:rStyle w:val="80"/>
        </w:rPr>
        <w:t>分类摸清各类扶贫项目形成的资产底数。公益性资产要落实管护主体，明确管护责任，确保继续发挥作用。经营性资产要明晰产权关系，防止资产流失和被侵占，资产收益重点用于项目运行管护、巩固拓展脱贫攻坚成果、村级公益事业等。确权到农户或其他经营主体的扶贫资产，依法维护其财产权利，由其自主管理和运营。</w:t>
      </w:r>
    </w:p>
    <w:p>
      <w:pPr>
        <w:pStyle w:val="3"/>
        <w:rPr>
          <w:lang w:bidi="ar"/>
        </w:rPr>
      </w:pPr>
      <w:bookmarkStart w:id="504" w:name="_Toc17954"/>
      <w:r>
        <w:rPr>
          <w:rFonts w:hint="eastAsia"/>
          <w:lang w:bidi="ar"/>
        </w:rPr>
        <w:t>健全农村低收入人口常态化分类帮扶机制</w:t>
      </w:r>
      <w:bookmarkEnd w:id="504"/>
    </w:p>
    <w:p>
      <w:pPr>
        <w:ind w:firstLine="640"/>
        <w:rPr>
          <w:lang w:bidi="ar"/>
        </w:rPr>
      </w:pPr>
      <w:r>
        <w:rPr>
          <w:rFonts w:hint="eastAsia"/>
          <w:lang w:bidi="ar"/>
        </w:rPr>
        <w:t>坚持不懈补短板，围绕定向资助、分类施策、完善机制，补齐农业农村发展短板，做到应保尽保、应兜尽兜。</w:t>
      </w:r>
    </w:p>
    <w:p>
      <w:pPr>
        <w:pStyle w:val="4"/>
        <w:ind w:left="-3" w:firstLine="643"/>
        <w:rPr>
          <w:lang w:bidi="ar"/>
        </w:rPr>
      </w:pPr>
      <w:bookmarkStart w:id="505" w:name="_Toc29100"/>
      <w:bookmarkStart w:id="506" w:name="_Toc112145747"/>
      <w:bookmarkStart w:id="507" w:name="_Toc114128829"/>
      <w:r>
        <w:rPr>
          <w:rFonts w:hint="eastAsia"/>
          <w:lang w:bidi="ar"/>
        </w:rPr>
        <w:t>加强农村低收入人口监测</w:t>
      </w:r>
      <w:bookmarkEnd w:id="505"/>
      <w:bookmarkEnd w:id="506"/>
      <w:bookmarkEnd w:id="507"/>
    </w:p>
    <w:p>
      <w:pPr>
        <w:ind w:firstLine="640"/>
        <w:rPr>
          <w:lang w:bidi="ar"/>
        </w:rPr>
      </w:pPr>
      <w:r>
        <w:rPr>
          <w:rFonts w:hint="eastAsia"/>
          <w:lang w:bidi="ar"/>
        </w:rPr>
        <w:t>以现有社会保障体系为基础，对农村低保对象、农村特困人员、农村易返贫致贫人口，以及因病因灾因意外事故等导致刚性支出较大或收入大幅缩减促使基本生活出现严重困难的人口等农村低收入人口开展动态监测。充分利用各部门现有数据平台，加强数据比对和信息共享，完善基层主动发现机制。健全多部门联动的风险预警、研判和处置机制，实现对农村低收入人口风险点的早发现和早帮扶。</w:t>
      </w:r>
    </w:p>
    <w:p>
      <w:pPr>
        <w:pStyle w:val="4"/>
        <w:ind w:left="-3" w:firstLine="643"/>
        <w:rPr>
          <w:lang w:bidi="ar"/>
        </w:rPr>
      </w:pPr>
      <w:bookmarkStart w:id="508" w:name="_Toc114128830"/>
      <w:bookmarkStart w:id="509" w:name="_Toc11769"/>
      <w:bookmarkStart w:id="510" w:name="_Toc112145748"/>
      <w:r>
        <w:rPr>
          <w:rFonts w:hint="eastAsia"/>
          <w:lang w:bidi="ar"/>
        </w:rPr>
        <w:t>分层分类实施社会救助</w:t>
      </w:r>
      <w:bookmarkEnd w:id="508"/>
      <w:bookmarkEnd w:id="509"/>
      <w:bookmarkEnd w:id="510"/>
    </w:p>
    <w:p>
      <w:pPr>
        <w:ind w:firstLine="640"/>
        <w:rPr>
          <w:lang w:bidi="ar"/>
        </w:rPr>
      </w:pPr>
      <w:r>
        <w:rPr>
          <w:rFonts w:hint="eastAsia"/>
          <w:lang w:bidi="ar"/>
        </w:rPr>
        <w:t>完善最低生活保障制度，科学认定农村低保对象，提高政策精准性；调整优化针对原建档立卡贫困户的低保“单人户”政策；完善低保家庭收入财产认定方法；健全低保标准制定和动态调整机制。鼓励有劳动能力的农村低保对象参与就业，在计算家庭收入时扣减必要的就业成本。完善农村特困人员救助供养制度，合理提高救助供养水平和服务质量。完善残疾儿童康复救助制度，提高救助服务质量。加强社会救助资源统筹，根据对象类型、困难程度等，及时有针对性地给予困难群众医疗、教育、住房、就业等专项救助，做到精准识别、应救尽救。对基本生活陷入暂时困难的群众加强临时救助，做到凡困必帮、有难必救。鼓励政府购买服务对社会救助家庭中生活不能自理的老年人、未成年人、残疾人等提供必要的访视、照料服务。</w:t>
      </w:r>
    </w:p>
    <w:p>
      <w:pPr>
        <w:pStyle w:val="4"/>
        <w:ind w:left="-3" w:firstLine="643"/>
        <w:rPr>
          <w:lang w:bidi="ar"/>
        </w:rPr>
      </w:pPr>
      <w:bookmarkStart w:id="511" w:name="_Toc9663"/>
      <w:bookmarkStart w:id="512" w:name="_Toc114128831"/>
      <w:bookmarkStart w:id="513" w:name="_Toc112145749"/>
      <w:r>
        <w:rPr>
          <w:rFonts w:hint="eastAsia"/>
          <w:lang w:bidi="ar"/>
        </w:rPr>
        <w:t>完善养老保障和儿童关爱服务</w:t>
      </w:r>
      <w:bookmarkEnd w:id="511"/>
      <w:bookmarkEnd w:id="512"/>
      <w:bookmarkEnd w:id="513"/>
    </w:p>
    <w:p>
      <w:pPr>
        <w:ind w:firstLine="640"/>
        <w:rPr>
          <w:lang w:bidi="ar"/>
        </w:rPr>
      </w:pPr>
      <w:r>
        <w:rPr>
          <w:rFonts w:hint="eastAsia"/>
          <w:lang w:bidi="ar"/>
        </w:rPr>
        <w:t>完善城乡居民基本养老保险费代缴政策，结合当地实际情况，按照最低缴费档次为参加城乡居民养老保险的低保对象、特困人员、返贫致贫人口、重度残疾人等缴费困难群体代缴部分或全部保费。在提高城乡居民养老保险缴费档次时，对上述困难群体和其他已脱贫人口可保留现行最低缴费档次。强化县、镇（街道）两级养老机构对失能、部分失能特困老年人口的兜底保障。加大对孤儿、事实无人抚养儿童等的保障力度。加强残疾人托养照护、康复服务。</w:t>
      </w:r>
    </w:p>
    <w:p>
      <w:pPr>
        <w:pStyle w:val="3"/>
        <w:rPr>
          <w:lang w:bidi="ar"/>
        </w:rPr>
      </w:pPr>
      <w:bookmarkStart w:id="514" w:name="_Toc15382"/>
      <w:r>
        <w:rPr>
          <w:rFonts w:hint="eastAsia"/>
          <w:lang w:bidi="ar"/>
        </w:rPr>
        <w:t>推动巩固拓展脱贫攻坚成果同乡村振兴重点工作衔接</w:t>
      </w:r>
      <w:bookmarkEnd w:id="514"/>
    </w:p>
    <w:p>
      <w:pPr>
        <w:ind w:firstLine="640"/>
        <w:rPr>
          <w:lang w:bidi="ar"/>
        </w:rPr>
      </w:pPr>
      <w:r>
        <w:rPr>
          <w:rFonts w:hint="eastAsia"/>
          <w:lang w:bidi="ar"/>
        </w:rPr>
        <w:t>以产业、就业、基建为切入口，探索多种形式的工作模式与创新机制，聚力做好巩固拓展脱贫攻坚成果同乡村振兴有效衔接重点工作。</w:t>
      </w:r>
    </w:p>
    <w:p>
      <w:pPr>
        <w:pStyle w:val="4"/>
        <w:ind w:left="-3" w:firstLine="643"/>
        <w:rPr>
          <w:lang w:bidi="ar"/>
        </w:rPr>
      </w:pPr>
      <w:bookmarkStart w:id="515" w:name="_Toc111650451"/>
      <w:bookmarkStart w:id="516" w:name="_Toc98702613"/>
      <w:bookmarkStart w:id="517" w:name="_Toc111818673"/>
      <w:bookmarkStart w:id="518" w:name="_Toc112145751"/>
      <w:bookmarkStart w:id="519" w:name="_Toc114128833"/>
      <w:bookmarkStart w:id="520" w:name="_Toc13577"/>
      <w:bookmarkStart w:id="521" w:name="_Toc111192847"/>
      <w:r>
        <w:rPr>
          <w:rFonts w:hint="eastAsia"/>
          <w:lang w:bidi="ar"/>
        </w:rPr>
        <w:t>支持乡村特色产业发展壮大</w:t>
      </w:r>
      <w:bookmarkEnd w:id="515"/>
      <w:bookmarkEnd w:id="516"/>
      <w:bookmarkEnd w:id="517"/>
      <w:bookmarkEnd w:id="518"/>
      <w:bookmarkEnd w:id="519"/>
      <w:bookmarkEnd w:id="520"/>
      <w:bookmarkEnd w:id="521"/>
    </w:p>
    <w:p>
      <w:pPr>
        <w:ind w:firstLine="640"/>
        <w:rPr>
          <w:lang w:bidi="ar"/>
        </w:rPr>
      </w:pPr>
      <w:r>
        <w:rPr>
          <w:rFonts w:hint="eastAsia"/>
          <w:lang w:bidi="ar"/>
        </w:rPr>
        <w:t>注重产业后续长期培育，尊重市场规律和产业发展规律，提高产业市场竞争力和抗风险能力。以镇（街道）为单位规划发展乡村特色产业，实施特色种养业提升行动，完善全产业链支持措施。加快农产品和食品仓储保鲜、冷链物流设施建设，支持农产品流通企业、电商、批发市场与区域特色产业精准对接。支持培育绿色食品、有机农产品、地理标志农产品，打造区域公用品牌。继续大力实施消费帮扶。</w:t>
      </w:r>
    </w:p>
    <w:p>
      <w:pPr>
        <w:pStyle w:val="4"/>
        <w:ind w:left="-3" w:firstLine="643"/>
        <w:rPr>
          <w:lang w:bidi="ar"/>
        </w:rPr>
      </w:pPr>
      <w:bookmarkStart w:id="522" w:name="_Toc14205"/>
      <w:bookmarkStart w:id="523" w:name="_Toc111650452"/>
      <w:bookmarkStart w:id="524" w:name="_Toc98702614"/>
      <w:bookmarkStart w:id="525" w:name="_Toc112145752"/>
      <w:bookmarkStart w:id="526" w:name="_Toc111192848"/>
      <w:bookmarkStart w:id="527" w:name="_Toc114128834"/>
      <w:bookmarkStart w:id="528" w:name="_Toc111818674"/>
      <w:r>
        <w:rPr>
          <w:rFonts w:hint="eastAsia"/>
          <w:lang w:bidi="ar"/>
        </w:rPr>
        <w:t>促进脱贫人口稳定就业</w:t>
      </w:r>
      <w:bookmarkEnd w:id="522"/>
      <w:bookmarkEnd w:id="523"/>
      <w:bookmarkEnd w:id="524"/>
      <w:bookmarkEnd w:id="525"/>
      <w:bookmarkEnd w:id="526"/>
      <w:bookmarkEnd w:id="527"/>
      <w:bookmarkEnd w:id="528"/>
    </w:p>
    <w:p>
      <w:pPr>
        <w:ind w:firstLine="640"/>
        <w:rPr>
          <w:lang w:bidi="ar"/>
        </w:rPr>
      </w:pPr>
      <w:r>
        <w:rPr>
          <w:rFonts w:hint="eastAsia"/>
          <w:lang w:bidi="ar"/>
        </w:rPr>
        <w:t>搭建用工信息平台，培育区域劳务品牌，加大脱贫人口有组织劳务输出力度。支持农村人居环境、小型水利、乡村道路、农田整治、水土保持、产业园区等涉农项目建设和管护时广泛采取以工代赈方式。统筹用好乡村公益岗位，健全按需设岗、以岗聘任、在岗领补、有序退岗的管理机制，过渡期内逐步调整优化公益岗位政策。</w:t>
      </w:r>
    </w:p>
    <w:p>
      <w:pPr>
        <w:pStyle w:val="4"/>
        <w:ind w:left="-3" w:firstLine="643"/>
        <w:rPr>
          <w:lang w:bidi="ar"/>
        </w:rPr>
      </w:pPr>
      <w:bookmarkStart w:id="529" w:name="_Toc17580"/>
      <w:bookmarkStart w:id="530" w:name="_Toc111192849"/>
      <w:bookmarkStart w:id="531" w:name="_Toc112145753"/>
      <w:bookmarkStart w:id="532" w:name="_Toc111818675"/>
      <w:bookmarkStart w:id="533" w:name="_Toc98702615"/>
      <w:bookmarkStart w:id="534" w:name="_Toc114128835"/>
      <w:bookmarkStart w:id="535" w:name="_Toc111650453"/>
      <w:r>
        <w:rPr>
          <w:rFonts w:hint="eastAsia"/>
          <w:lang w:bidi="ar"/>
        </w:rPr>
        <w:t>持续乡村基础设施条件</w:t>
      </w:r>
      <w:bookmarkEnd w:id="529"/>
      <w:bookmarkEnd w:id="530"/>
      <w:bookmarkEnd w:id="531"/>
      <w:bookmarkEnd w:id="532"/>
      <w:bookmarkEnd w:id="533"/>
      <w:bookmarkEnd w:id="534"/>
      <w:bookmarkEnd w:id="535"/>
    </w:p>
    <w:p>
      <w:pPr>
        <w:ind w:firstLine="640"/>
        <w:rPr>
          <w:lang w:bidi="ar"/>
        </w:rPr>
      </w:pPr>
      <w:r>
        <w:rPr>
          <w:rFonts w:hint="eastAsia"/>
          <w:lang w:bidi="ar"/>
        </w:rPr>
        <w:t>继续加大乡村基础设施建设的支持力度，重点谋划建设高速公路、水利、电力、通信网络等区域性和跨区域重大基础设施建设工程。按照实施乡村建设行动统一部署，因地制宜推进农村厕所革命、生活垃圾和污水治理、村容村貌提升。推进“四好农村路”建设，推动交通项目更多向进村入户倾斜，因地制宜推进较大人口规模自然村（组）通硬化路，加强通村公路和村内主干道连接，加大农村产业路、旅游路建设力度。加强农村防洪、灌溉等中小型水利工程建设。统筹推进县镇村三级物流体系建设，实施“快递进村”工程。支持电网建设和乡村电气化提升工程实施。</w:t>
      </w:r>
    </w:p>
    <w:p>
      <w:pPr>
        <w:pStyle w:val="3"/>
        <w:rPr>
          <w:lang w:bidi="ar"/>
        </w:rPr>
      </w:pPr>
      <w:bookmarkStart w:id="536" w:name="_Toc2606"/>
      <w:r>
        <w:rPr>
          <w:rFonts w:hint="eastAsia"/>
          <w:lang w:bidi="ar"/>
        </w:rPr>
        <w:t>强化脱贫攻坚与乡村振兴有效衔接要素保障</w:t>
      </w:r>
      <w:bookmarkEnd w:id="536"/>
    </w:p>
    <w:p>
      <w:pPr>
        <w:ind w:firstLine="640"/>
        <w:rPr>
          <w:lang w:bidi="ar"/>
        </w:rPr>
      </w:pPr>
      <w:r>
        <w:rPr>
          <w:rFonts w:hint="eastAsia"/>
          <w:lang w:bidi="ar"/>
        </w:rPr>
        <w:t>按照国家、省、市等要求，集中财政、金融、土地、人才等关键要素，优先向重点镇（村）倾斜，优化帮扶资源配置，实现精准发力。</w:t>
      </w:r>
    </w:p>
    <w:p>
      <w:pPr>
        <w:pStyle w:val="4"/>
        <w:ind w:firstLine="643"/>
        <w:rPr>
          <w:rStyle w:val="80"/>
        </w:rPr>
      </w:pPr>
      <w:bookmarkStart w:id="537" w:name="_Toc111650459"/>
      <w:bookmarkStart w:id="538" w:name="_Toc12906"/>
      <w:bookmarkStart w:id="539" w:name="_Toc111192855"/>
      <w:bookmarkStart w:id="540" w:name="_Toc111818681"/>
      <w:bookmarkStart w:id="541" w:name="_Toc112145755"/>
      <w:bookmarkStart w:id="542" w:name="_Toc114128837"/>
      <w:bookmarkStart w:id="543" w:name="_Toc98702621"/>
      <w:r>
        <w:rPr>
          <w:rStyle w:val="80"/>
        </w:rPr>
        <w:t>做好财政投入政策衔接</w:t>
      </w:r>
      <w:bookmarkEnd w:id="537"/>
      <w:bookmarkEnd w:id="538"/>
      <w:bookmarkEnd w:id="539"/>
      <w:bookmarkEnd w:id="540"/>
      <w:bookmarkEnd w:id="541"/>
      <w:bookmarkEnd w:id="542"/>
      <w:bookmarkEnd w:id="543"/>
    </w:p>
    <w:p>
      <w:pPr>
        <w:ind w:firstLine="640"/>
        <w:rPr>
          <w:lang w:bidi="ar"/>
        </w:rPr>
      </w:pPr>
      <w:r>
        <w:rPr>
          <w:rStyle w:val="80"/>
        </w:rPr>
        <w:t>过渡期内在保持财政支持政策总体稳定的前提下，根据巩固拓展脱贫攻坚成果同乡村振兴有效衔接的需要，合理安排财政投入规模，优化支出结构，调整支持重点。保留并调整优化原财政专项扶贫资金，聚焦支持巩固拓展脱贫攻坚成果和乡村振兴，适当向</w:t>
      </w:r>
      <w:r>
        <w:rPr>
          <w:rStyle w:val="80"/>
          <w:rFonts w:hint="eastAsia"/>
        </w:rPr>
        <w:t>重点镇（村）</w:t>
      </w:r>
      <w:r>
        <w:rPr>
          <w:rStyle w:val="80"/>
        </w:rPr>
        <w:t>倾斜，并逐步提高用于产业发展的比例。通过现有资金支出渠道对农村低收入人口</w:t>
      </w:r>
      <w:r>
        <w:rPr>
          <w:rStyle w:val="80"/>
          <w:rFonts w:hint="eastAsia"/>
        </w:rPr>
        <w:t>进行</w:t>
      </w:r>
      <w:r>
        <w:rPr>
          <w:rStyle w:val="80"/>
        </w:rPr>
        <w:t>救助帮扶，过渡期内延续脱贫攻坚相关税收优惠政策。</w:t>
      </w:r>
    </w:p>
    <w:p>
      <w:pPr>
        <w:pStyle w:val="4"/>
        <w:ind w:left="-3" w:firstLine="643"/>
        <w:rPr>
          <w:lang w:bidi="ar"/>
        </w:rPr>
      </w:pPr>
      <w:bookmarkStart w:id="544" w:name="_Toc112145756"/>
      <w:bookmarkStart w:id="545" w:name="_Toc20381"/>
      <w:bookmarkStart w:id="546" w:name="_Toc111818682"/>
      <w:bookmarkStart w:id="547" w:name="_Toc98702622"/>
      <w:bookmarkStart w:id="548" w:name="_Toc111192856"/>
      <w:bookmarkStart w:id="549" w:name="_Toc114128838"/>
      <w:bookmarkStart w:id="550" w:name="_Toc111650460"/>
      <w:r>
        <w:rPr>
          <w:rFonts w:hint="eastAsia"/>
          <w:lang w:bidi="ar"/>
        </w:rPr>
        <w:t>做好金融服务政策衔接</w:t>
      </w:r>
      <w:bookmarkEnd w:id="544"/>
      <w:bookmarkEnd w:id="545"/>
      <w:bookmarkEnd w:id="546"/>
      <w:bookmarkEnd w:id="547"/>
      <w:bookmarkEnd w:id="548"/>
      <w:bookmarkEnd w:id="549"/>
      <w:bookmarkEnd w:id="550"/>
    </w:p>
    <w:p>
      <w:pPr>
        <w:ind w:firstLine="640"/>
        <w:rPr>
          <w:lang w:bidi="ar"/>
        </w:rPr>
      </w:pPr>
      <w:r>
        <w:rPr>
          <w:rFonts w:hint="eastAsia"/>
          <w:lang w:bidi="ar"/>
        </w:rPr>
        <w:t>进一步完善针对脱贫人口的小额信贷政策。对有较大贷款资金需求、符合贷款条件的对象，鼓励其申请创业担保贷款政策支持。加大对优势特色产业信贷和保险支持力度。鼓励各地因地制宜开发优势特色农产品保险。对脱贫区域继续实施企业上市“绿色通道”政策。探索农产品期货期权和农业保险联动机制。</w:t>
      </w:r>
    </w:p>
    <w:p>
      <w:pPr>
        <w:pStyle w:val="4"/>
        <w:ind w:left="-3" w:firstLine="643"/>
        <w:rPr>
          <w:lang w:bidi="ar"/>
        </w:rPr>
      </w:pPr>
      <w:bookmarkStart w:id="551" w:name="_Toc30138"/>
      <w:bookmarkStart w:id="552" w:name="_Toc111650461"/>
      <w:bookmarkStart w:id="553" w:name="_Toc112145757"/>
      <w:bookmarkStart w:id="554" w:name="_Toc111192857"/>
      <w:bookmarkStart w:id="555" w:name="_Toc98702623"/>
      <w:bookmarkStart w:id="556" w:name="_Toc111818683"/>
      <w:bookmarkStart w:id="557" w:name="_Toc114128839"/>
      <w:r>
        <w:rPr>
          <w:rFonts w:hint="eastAsia"/>
          <w:lang w:bidi="ar"/>
        </w:rPr>
        <w:t>做好土地支持政策衔接</w:t>
      </w:r>
      <w:bookmarkEnd w:id="551"/>
      <w:bookmarkEnd w:id="552"/>
      <w:bookmarkEnd w:id="553"/>
      <w:bookmarkEnd w:id="554"/>
      <w:bookmarkEnd w:id="555"/>
      <w:bookmarkEnd w:id="556"/>
      <w:bookmarkEnd w:id="557"/>
    </w:p>
    <w:p>
      <w:pPr>
        <w:ind w:firstLine="640"/>
        <w:rPr>
          <w:lang w:bidi="ar"/>
        </w:rPr>
      </w:pPr>
      <w:r>
        <w:rPr>
          <w:rFonts w:hint="eastAsia"/>
          <w:lang w:bidi="ar"/>
        </w:rPr>
        <w:t>坚持最严格耕地保护制度，强化耕地保护主体责任，严格控制非农建设占用耕地，坚决守住耕地红线。以国土空间规划为依据，按照应保尽保原则，新增建设用地计划指标优先保障巩固拓展脱贫攻坚成果和乡村振兴用地需要，继续实施城乡建设用地增减挂钩结余指标省内交易政策。</w:t>
      </w:r>
    </w:p>
    <w:p>
      <w:pPr>
        <w:pStyle w:val="4"/>
        <w:ind w:left="-3" w:firstLine="643"/>
        <w:rPr>
          <w:lang w:bidi="ar"/>
        </w:rPr>
      </w:pPr>
      <w:bookmarkStart w:id="558" w:name="_Toc111192858"/>
      <w:bookmarkStart w:id="559" w:name="_Toc98702624"/>
      <w:bookmarkStart w:id="560" w:name="_Toc114128840"/>
      <w:bookmarkStart w:id="561" w:name="_Toc112145758"/>
      <w:bookmarkStart w:id="562" w:name="_Toc111818684"/>
      <w:bookmarkStart w:id="563" w:name="_Toc111650462"/>
      <w:bookmarkStart w:id="564" w:name="_Toc3062"/>
      <w:r>
        <w:rPr>
          <w:rFonts w:hint="eastAsia"/>
          <w:lang w:bidi="ar"/>
        </w:rPr>
        <w:t>做好人才支持政策衔接</w:t>
      </w:r>
      <w:bookmarkEnd w:id="558"/>
      <w:bookmarkEnd w:id="559"/>
      <w:bookmarkEnd w:id="560"/>
      <w:bookmarkEnd w:id="561"/>
      <w:bookmarkEnd w:id="562"/>
      <w:bookmarkEnd w:id="563"/>
      <w:bookmarkEnd w:id="564"/>
    </w:p>
    <w:p>
      <w:pPr>
        <w:ind w:firstLine="640"/>
        <w:rPr>
          <w:lang w:bidi="ar"/>
        </w:rPr>
      </w:pPr>
      <w:r>
        <w:rPr>
          <w:rFonts w:hint="eastAsia"/>
          <w:lang w:bidi="ar"/>
        </w:rPr>
        <w:t>延续脱贫攻坚期间各项人才智力支持政策，建立健全引导各类人才服务乡村振兴长效机制，鼓励和引导各方面人才向基层流动。继续实施农村义务教育阶段教师特岗计划、中小学幼儿园教师国家级培训计划、乡村教师生活补助政策，优先满足高素质教师的补充需求。对农业科技推广人员探索“县管乡用、下沉到村”的新机制。支持脱贫户“两后生”接受职业教育，并按规定给予相应资助。</w:t>
      </w:r>
    </w:p>
    <w:p>
      <w:pPr>
        <w:pStyle w:val="3"/>
      </w:pPr>
      <w:bookmarkStart w:id="565" w:name="_Toc27260"/>
      <w:r>
        <w:rPr>
          <w:rFonts w:hint="eastAsia"/>
        </w:rPr>
        <w:t>开展“百县千乡万村”</w:t>
      </w:r>
      <w:r>
        <w:rPr>
          <w:rStyle w:val="42"/>
        </w:rPr>
        <w:footnoteReference w:id="18"/>
      </w:r>
      <w:r>
        <w:rPr>
          <w:rFonts w:hint="eastAsia"/>
        </w:rPr>
        <w:t>示范创建</w:t>
      </w:r>
      <w:bookmarkEnd w:id="565"/>
    </w:p>
    <w:p>
      <w:pPr>
        <w:ind w:firstLine="640"/>
        <w:rPr>
          <w:shd w:val="clear" w:color="auto" w:fill="FFFFFF"/>
        </w:rPr>
      </w:pPr>
      <w:r>
        <w:rPr>
          <w:rFonts w:hint="eastAsia"/>
          <w:shd w:val="clear" w:color="auto" w:fill="FFFFFF"/>
        </w:rPr>
        <w:t>立足井研县资源禀赋和发展基础，探索不同区域全面推进乡村振兴的组织方式、发展模式和要素集聚路径，聚力创建乡村振兴示范县及一批示范镇、示范村。</w:t>
      </w:r>
    </w:p>
    <w:p>
      <w:pPr>
        <w:pStyle w:val="4"/>
        <w:ind w:left="-3" w:firstLine="643"/>
        <w:rPr>
          <w:shd w:val="clear" w:color="auto" w:fill="FFFFFF"/>
        </w:rPr>
      </w:pPr>
      <w:bookmarkStart w:id="566" w:name="_Toc112145760"/>
      <w:bookmarkStart w:id="567" w:name="_Toc114128842"/>
      <w:bookmarkStart w:id="568" w:name="_Toc111192861"/>
      <w:bookmarkStart w:id="569" w:name="_Toc111650464"/>
      <w:bookmarkStart w:id="570" w:name="_Toc31340"/>
      <w:bookmarkStart w:id="571" w:name="_Toc111818686"/>
      <w:r>
        <w:rPr>
          <w:rFonts w:hint="eastAsia"/>
          <w:shd w:val="clear" w:color="auto" w:fill="FFFFFF"/>
        </w:rPr>
        <w:t>聚力创建国家级示范县</w:t>
      </w:r>
      <w:bookmarkEnd w:id="566"/>
      <w:bookmarkEnd w:id="567"/>
      <w:bookmarkEnd w:id="568"/>
      <w:bookmarkEnd w:id="569"/>
      <w:bookmarkEnd w:id="570"/>
      <w:bookmarkEnd w:id="571"/>
    </w:p>
    <w:p>
      <w:pPr>
        <w:ind w:firstLine="640"/>
      </w:pPr>
      <w:r>
        <w:rPr>
          <w:rFonts w:hint="eastAsia"/>
        </w:rPr>
        <w:t>持续巩固省级乡村振兴示范县创建成果，聚力创建国家级乡村振兴示范县。聚焦“北柑南粮”产业布局，推动农业生产品种培优、品质提升、品牌打造和标准化生产，引导资金、技术、人才等要素向农业产业园区集聚，健全科技人才服务机制，统筹山水林田湖沙草系统治理，稳步提升农村基础设施建设水平，不断改善农村人居环境，逐步实现县域教育、医疗、养老等基本公共服务便利可及，推广清单制、积分制等治理方式，持续推进农村移风易俗。</w:t>
      </w:r>
    </w:p>
    <w:p>
      <w:pPr>
        <w:pStyle w:val="4"/>
        <w:ind w:left="-3" w:firstLine="643"/>
        <w:rPr>
          <w:shd w:val="clear" w:color="auto" w:fill="FFFFFF"/>
        </w:rPr>
      </w:pPr>
      <w:bookmarkStart w:id="572" w:name="_Toc114128843"/>
      <w:bookmarkStart w:id="573" w:name="_Toc111818687"/>
      <w:bookmarkStart w:id="574" w:name="_Toc112145761"/>
      <w:bookmarkStart w:id="575" w:name="_Toc111650465"/>
      <w:bookmarkStart w:id="576" w:name="_Toc111192862"/>
      <w:bookmarkStart w:id="577" w:name="_Toc23174"/>
      <w:r>
        <w:rPr>
          <w:rFonts w:hint="eastAsia"/>
          <w:shd w:val="clear" w:color="auto" w:fill="FFFFFF"/>
        </w:rPr>
        <w:t>突出特色打造一批示范镇</w:t>
      </w:r>
      <w:bookmarkEnd w:id="572"/>
      <w:bookmarkEnd w:id="573"/>
      <w:bookmarkEnd w:id="574"/>
      <w:bookmarkEnd w:id="575"/>
      <w:bookmarkEnd w:id="576"/>
      <w:bookmarkEnd w:id="577"/>
    </w:p>
    <w:p>
      <w:pPr>
        <w:ind w:firstLine="640"/>
      </w:pPr>
      <w:r>
        <w:rPr>
          <w:rFonts w:hint="eastAsia"/>
        </w:rPr>
        <w:t>结合“两项改革”后半篇文章，统筹推进三大片区农业农村现代化与乡村全面振兴。重点发展“一镇一业”乡村产业，引进培育带动能力强的龙头企业，优化加工产能布局，建设标准化生产基地，推进产业集聚发展，大力培养高素质农民，保护修复乡村生态，增强镇（街道）统筹协调能力，逐步配套农村基础设施，发挥好镇（街道）服务带动作用。</w:t>
      </w:r>
    </w:p>
    <w:p>
      <w:pPr>
        <w:pStyle w:val="4"/>
        <w:ind w:left="-3" w:firstLine="643"/>
      </w:pPr>
      <w:bookmarkStart w:id="578" w:name="_Toc4905"/>
      <w:bookmarkStart w:id="579" w:name="_Toc112145762"/>
      <w:bookmarkStart w:id="580" w:name="_Toc111192863"/>
      <w:bookmarkStart w:id="581" w:name="_Toc111650466"/>
      <w:bookmarkStart w:id="582" w:name="_Toc111818688"/>
      <w:bookmarkStart w:id="583" w:name="_Toc114128844"/>
      <w:r>
        <w:rPr>
          <w:rFonts w:hint="eastAsia"/>
        </w:rPr>
        <w:t>集中打造一批特色示范村</w:t>
      </w:r>
      <w:bookmarkEnd w:id="578"/>
      <w:bookmarkEnd w:id="579"/>
      <w:bookmarkEnd w:id="580"/>
      <w:bookmarkEnd w:id="581"/>
      <w:bookmarkEnd w:id="582"/>
      <w:bookmarkEnd w:id="583"/>
    </w:p>
    <w:p>
      <w:pPr>
        <w:ind w:firstLine="640"/>
      </w:pPr>
      <w:r>
        <w:rPr>
          <w:rFonts w:hint="eastAsia"/>
        </w:rPr>
        <w:t>建设“一村一品”特色产业，打造一批小而精、特而美的特色产品，推行绿色化标准化生产，依托新型农业经营主体带动小农户持续增收，提高农民科技文化素质和就业技能，稳步推进乡村建设行动，因地制宜推进农村改厕、生活污水治理和生活垃圾处理，加强传统村落保护，持续改善村容村貌。完善村级综合服务设施，提供一门式办理、一站式服务，加强村规民约建设，提振农民群众精气神。</w:t>
      </w:r>
    </w:p>
    <w:tbl>
      <w:tblPr>
        <w:tblStyle w:val="34"/>
        <w:tblW w:w="82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D7D7D7" w:themeFill="background1" w:themeFillShade="D8"/>
            <w:vAlign w:val="bottom"/>
          </w:tcPr>
          <w:p>
            <w:pPr>
              <w:pStyle w:val="74"/>
            </w:pPr>
            <w:r>
              <w:rPr>
                <w:rFonts w:hint="eastAsia"/>
              </w:rPr>
              <w:t>专栏</w:t>
            </w:r>
            <w:r>
              <w:t>9</w:t>
            </w:r>
            <w:r>
              <w:rPr>
                <w:rFonts w:hint="eastAsia"/>
              </w:rPr>
              <w:t>：有效衔接全面乡村振兴重点项目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8296" w:type="dxa"/>
          </w:tcPr>
          <w:p>
            <w:pPr>
              <w:pStyle w:val="72"/>
              <w:ind w:firstLine="0" w:firstLineChars="0"/>
              <w:jc w:val="both"/>
            </w:pPr>
            <w:r>
              <w:rPr>
                <w:rFonts w:hint="eastAsia"/>
                <w:b/>
                <w:bCs w:val="0"/>
              </w:rPr>
              <w:t>1</w:t>
            </w:r>
            <w:r>
              <w:rPr>
                <w:b/>
                <w:bCs w:val="0"/>
              </w:rPr>
              <w:t xml:space="preserve">. </w:t>
            </w:r>
            <w:r>
              <w:rPr>
                <w:rFonts w:hint="eastAsia"/>
                <w:b/>
                <w:bCs w:val="0"/>
              </w:rPr>
              <w:t>“百县千乡万村”乡村振兴示范创建行动：</w:t>
            </w:r>
            <w:r>
              <w:rPr>
                <w:rFonts w:hint="eastAsia"/>
              </w:rPr>
              <w:t>立足各镇、村资源禀赋和特色，分层级推进示范县、镇、村创建，力争到2</w:t>
            </w:r>
            <w:r>
              <w:t>025</w:t>
            </w:r>
            <w:r>
              <w:rPr>
                <w:rFonts w:hint="eastAsia"/>
              </w:rPr>
              <w:t>年底之前成功创建国家级乡村振兴示范县，新增创建示范镇5个以上、示范村2</w:t>
            </w:r>
            <w:r>
              <w:t>0</w:t>
            </w:r>
            <w:r>
              <w:rPr>
                <w:rFonts w:hint="eastAsia"/>
              </w:rPr>
              <w:t>个以上。</w:t>
            </w:r>
          </w:p>
        </w:tc>
      </w:tr>
    </w:tbl>
    <w:p>
      <w:pPr>
        <w:ind w:firstLine="640"/>
      </w:pPr>
    </w:p>
    <w:p>
      <w:pPr>
        <w:pStyle w:val="2"/>
        <w:spacing w:before="217" w:after="217"/>
        <w:ind w:firstLine="849" w:firstLineChars="235"/>
        <w:rPr>
          <w:rFonts w:ascii="黑体" w:hAnsi="黑体"/>
          <w:szCs w:val="36"/>
        </w:rPr>
      </w:pPr>
      <w:bookmarkStart w:id="584" w:name="_Toc1116"/>
      <w:r>
        <w:rPr>
          <w:rFonts w:hint="eastAsia"/>
        </w:rPr>
        <w:t>全面深化农业农村改革，</w:t>
      </w:r>
      <w:r>
        <w:rPr>
          <w:rFonts w:hint="eastAsia" w:ascii="黑体" w:hAnsi="黑体"/>
          <w:szCs w:val="36"/>
        </w:rPr>
        <w:t>健全城乡融合发展体制机制</w:t>
      </w:r>
      <w:bookmarkEnd w:id="584"/>
    </w:p>
    <w:p>
      <w:pPr>
        <w:ind w:firstLine="640"/>
      </w:pPr>
      <w:r>
        <w:rPr>
          <w:rFonts w:hint="eastAsia"/>
        </w:rPr>
        <w:t>全面深化农业农村改革，打通城乡要素市场化配置体制机制障碍，推动城乡要素平等交换、双向流动，加快县域内城乡融合发展，推进农业对外开放合作，增强农业农村发展活力。</w:t>
      </w:r>
    </w:p>
    <w:p>
      <w:pPr>
        <w:pStyle w:val="3"/>
        <w:rPr>
          <w:shd w:val="clear" w:color="auto" w:fill="FFFFFF"/>
        </w:rPr>
      </w:pPr>
      <w:bookmarkStart w:id="585" w:name="_Toc11675"/>
      <w:r>
        <w:rPr>
          <w:rFonts w:hint="eastAsia"/>
          <w:shd w:val="clear" w:color="auto" w:fill="FFFFFF"/>
        </w:rPr>
        <w:t>深化农村土地制度改革</w:t>
      </w:r>
      <w:bookmarkEnd w:id="585"/>
    </w:p>
    <w:p>
      <w:pPr>
        <w:ind w:firstLine="640"/>
      </w:pPr>
      <w:r>
        <w:rPr>
          <w:rFonts w:hint="eastAsia"/>
        </w:rPr>
        <w:t>完善农村产权制度和要素市场化配置机制，充分激发农村发展内生动力；加强农村宅基地管理，提高农村宅基地管理水平；破除制约农业农村发展的制度障碍，逐步探索农村集体经营性建设用地入市制度。</w:t>
      </w:r>
    </w:p>
    <w:p>
      <w:pPr>
        <w:pStyle w:val="4"/>
        <w:ind w:left="-3" w:firstLine="643"/>
      </w:pPr>
      <w:bookmarkStart w:id="586" w:name="_Toc111650469"/>
      <w:bookmarkStart w:id="587" w:name="_Toc98702628"/>
      <w:bookmarkStart w:id="588" w:name="_Toc112145765"/>
      <w:bookmarkStart w:id="589" w:name="_Toc111192866"/>
      <w:bookmarkStart w:id="590" w:name="_Toc4299"/>
      <w:bookmarkStart w:id="591" w:name="_Toc111818691"/>
      <w:bookmarkStart w:id="592" w:name="_Toc114128847"/>
      <w:r>
        <w:rPr>
          <w:rFonts w:hint="eastAsia"/>
        </w:rPr>
        <w:t>稳慎推进宅基地改革试点</w:t>
      </w:r>
      <w:bookmarkEnd w:id="586"/>
      <w:bookmarkEnd w:id="587"/>
      <w:bookmarkEnd w:id="588"/>
      <w:bookmarkEnd w:id="589"/>
      <w:bookmarkEnd w:id="590"/>
      <w:bookmarkEnd w:id="591"/>
      <w:bookmarkEnd w:id="592"/>
    </w:p>
    <w:p>
      <w:pPr>
        <w:ind w:firstLine="643"/>
      </w:pPr>
      <w:r>
        <w:rPr>
          <w:rFonts w:hint="eastAsia"/>
          <w:b/>
          <w:bCs/>
        </w:rPr>
        <w:t>一是完善农村宅基地管理制度，做好房地一体的宅基地确权登记颁证工作。</w:t>
      </w:r>
      <w:r>
        <w:t>加快编制村庄规划，将宅基地和农房建设纳入规划管理范围，统筹安排农村各项土地利用活动，促进农村土地规范、有序和可持续利用。严格落实</w:t>
      </w:r>
      <w:r>
        <w:rPr>
          <w:rFonts w:hint="eastAsia" w:ascii="仿宋_GB2312"/>
        </w:rPr>
        <w:t>“</w:t>
      </w:r>
      <w:r>
        <w:t>一户一宅</w:t>
      </w:r>
      <w:r>
        <w:rPr>
          <w:rFonts w:hint="eastAsia"/>
          <w:lang w:eastAsia="zh-CN"/>
        </w:rPr>
        <w:t>”“</w:t>
      </w:r>
      <w:r>
        <w:rPr>
          <w:rFonts w:hint="eastAsia"/>
        </w:rPr>
        <w:t>建新拆旧</w:t>
      </w:r>
      <w:r>
        <w:rPr>
          <w:rFonts w:hint="eastAsia" w:ascii="仿宋_GB2312" w:hAnsi="仿宋"/>
        </w:rPr>
        <w:t>”</w:t>
      </w:r>
      <w:r>
        <w:rPr>
          <w:rFonts w:hint="eastAsia"/>
        </w:rPr>
        <w:t>政策要求</w:t>
      </w:r>
      <w:r>
        <w:t>，</w:t>
      </w:r>
      <w:r>
        <w:rPr>
          <w:rFonts w:hint="eastAsia"/>
        </w:rPr>
        <w:t>对历史形成的宅基地面积超标和</w:t>
      </w:r>
      <w:r>
        <w:rPr>
          <w:rFonts w:hint="eastAsia" w:ascii="仿宋_GB2312" w:hAnsi="仿宋"/>
        </w:rPr>
        <w:t>“</w:t>
      </w:r>
      <w:r>
        <w:rPr>
          <w:rFonts w:hint="eastAsia"/>
        </w:rPr>
        <w:t>一户多宅</w:t>
      </w:r>
      <w:r>
        <w:rPr>
          <w:rFonts w:hint="eastAsia" w:ascii="仿宋_GB2312" w:hAnsi="仿宋"/>
        </w:rPr>
        <w:t>”</w:t>
      </w:r>
      <w:r>
        <w:rPr>
          <w:rFonts w:hint="eastAsia"/>
        </w:rPr>
        <w:t>等问题，要按照有关政策规定分类进行认定和处置。</w:t>
      </w:r>
      <w:r>
        <w:t>以完善农村宅基地制度体系为重点，鼓励农民盘活农村闲置宅基地和农房资源，探索赋予宅基地使用权作为用益物权更加充分的权能。在充分保障农民宅基地用益物权、防止外部资本侵占控制</w:t>
      </w:r>
      <w:r>
        <w:rPr>
          <w:rFonts w:hint="eastAsia"/>
        </w:rPr>
        <w:t>、</w:t>
      </w:r>
      <w:r>
        <w:t>符合村庄规划和用地标准前提下，支持农村集体经济组织盘活利用空闲农房及宅基地，改造建设民宿、创客空间、休闲农业、乡村旅游等场所，提高闲散宅基地的使用效益。</w:t>
      </w:r>
    </w:p>
    <w:p>
      <w:pPr>
        <w:ind w:firstLine="643"/>
      </w:pPr>
      <w:r>
        <w:rPr>
          <w:rFonts w:hint="eastAsia"/>
          <w:b/>
          <w:bCs/>
        </w:rPr>
        <w:t>二是依法有序推进农村集体经营性建设用地入市。</w:t>
      </w:r>
      <w:bookmarkStart w:id="593" w:name="_Hlk57733015"/>
      <w:r>
        <w:rPr>
          <w:rFonts w:hint="eastAsia"/>
          <w:lang w:val="zh-CN"/>
        </w:rPr>
        <w:t>推进集体建设用地使用权及建筑物、构筑物所有权登记，加快完成农村集体建设用地使用权确权登记颁证。稳妥推进农村</w:t>
      </w:r>
      <w:r>
        <w:rPr>
          <w:lang w:val="zh-CN"/>
        </w:rPr>
        <w:t>集体经营性建设用地入市</w:t>
      </w:r>
      <w:r>
        <w:rPr>
          <w:rFonts w:hint="eastAsia"/>
          <w:lang w:val="zh-CN"/>
        </w:rPr>
        <w:t>，明确农村</w:t>
      </w:r>
      <w:r>
        <w:rPr>
          <w:lang w:val="zh-CN"/>
        </w:rPr>
        <w:t>集体经营性建设用地入市</w:t>
      </w:r>
      <w:r>
        <w:rPr>
          <w:rFonts w:hint="eastAsia"/>
          <w:lang w:val="zh-CN"/>
        </w:rPr>
        <w:t>的范围、主体和权能，完善市场交易规则和监管制度。允许村集体依法收回农民自愿退出的闲置宅基地、废弃的集体公益性建设用地，按照规划用途直接入市。完善转让、出租、抵押二级市场，建立增收收益合理分配机制。</w:t>
      </w:r>
      <w:bookmarkEnd w:id="593"/>
      <w:r>
        <w:rPr>
          <w:rFonts w:hint="eastAsia"/>
          <w:lang w:val="zh-CN"/>
        </w:rPr>
        <w:t>加强农村集体经营性建设用地入市风险监管和防控。</w:t>
      </w:r>
    </w:p>
    <w:p>
      <w:pPr>
        <w:pStyle w:val="4"/>
        <w:ind w:left="-3" w:firstLine="643"/>
      </w:pPr>
      <w:bookmarkStart w:id="594" w:name="_Toc111818692"/>
      <w:bookmarkStart w:id="595" w:name="_Toc2597"/>
      <w:bookmarkStart w:id="596" w:name="_Toc98702629"/>
      <w:bookmarkStart w:id="597" w:name="_Toc111192867"/>
      <w:bookmarkStart w:id="598" w:name="_Toc111650470"/>
      <w:bookmarkStart w:id="599" w:name="_Toc114128848"/>
      <w:bookmarkStart w:id="600" w:name="_Toc112145766"/>
      <w:r>
        <w:rPr>
          <w:rFonts w:hint="eastAsia"/>
        </w:rPr>
        <w:t>实施农村土地综合整治</w:t>
      </w:r>
      <w:bookmarkEnd w:id="594"/>
      <w:bookmarkEnd w:id="595"/>
      <w:bookmarkEnd w:id="596"/>
      <w:bookmarkEnd w:id="597"/>
      <w:bookmarkEnd w:id="598"/>
      <w:bookmarkEnd w:id="599"/>
      <w:bookmarkEnd w:id="600"/>
    </w:p>
    <w:p>
      <w:pPr>
        <w:ind w:firstLine="640"/>
      </w:pPr>
      <w:r>
        <w:rPr>
          <w:rFonts w:hint="eastAsia"/>
        </w:rPr>
        <w:t>实施农村土地综合整治，盘活存量农村集体建设用地。规范开展农村建设用地整理，优化农村建设用地布局，对布局散乱、条件落后的旧村庄科学实施改造，合理利用腾退老旧宅基地、村内废弃地和闲置地，统筹推进农村土地综合整治。引导农民集中居住，促进中心村和小城镇建设。强化对农民自建房的建设管理与指引，依法建立和完善农房报建管理程序，规范农村建设行为，提高农村建设用地效益。加大农村基础设施建设力度，促进村镇内部合理分区和公共服务设施合理布点，努力打造安居、康居、宜居和具有川南特色的乡村。规范实施农村旧住宅、废弃宅基地、空心村等闲置建设用地的拆旧复垦，将复垦腾退出来的建设用地指标优先用于保障所在村建设需要，节余部分以公开交易方式在县内流转，用于城镇建设。</w:t>
      </w:r>
    </w:p>
    <w:p>
      <w:pPr>
        <w:pStyle w:val="4"/>
        <w:ind w:left="-3" w:firstLine="643"/>
      </w:pPr>
      <w:bookmarkStart w:id="601" w:name="_Toc114128849"/>
      <w:bookmarkStart w:id="602" w:name="_Toc111650471"/>
      <w:bookmarkStart w:id="603" w:name="_Toc98702630"/>
      <w:bookmarkStart w:id="604" w:name="_Toc13892"/>
      <w:bookmarkStart w:id="605" w:name="_Toc111818693"/>
      <w:bookmarkStart w:id="606" w:name="_Toc112145767"/>
      <w:bookmarkStart w:id="607" w:name="_Toc111192868"/>
      <w:r>
        <w:rPr>
          <w:rFonts w:hint="eastAsia"/>
        </w:rPr>
        <w:t>有效盘活农村闲置资源</w:t>
      </w:r>
      <w:bookmarkEnd w:id="601"/>
      <w:bookmarkEnd w:id="602"/>
      <w:bookmarkEnd w:id="603"/>
      <w:bookmarkEnd w:id="604"/>
      <w:bookmarkEnd w:id="605"/>
      <w:bookmarkEnd w:id="606"/>
      <w:bookmarkEnd w:id="607"/>
    </w:p>
    <w:p>
      <w:pPr>
        <w:ind w:firstLine="643"/>
      </w:pPr>
      <w:r>
        <w:rPr>
          <w:rFonts w:hint="eastAsia"/>
          <w:b/>
          <w:bCs/>
        </w:rPr>
        <w:t>一是探索开展闲置农房盘活利用工作。</w:t>
      </w:r>
      <w:r>
        <w:rPr>
          <w:rFonts w:hint="eastAsia"/>
        </w:rPr>
        <w:t>稳慎开展农村宅基地</w:t>
      </w:r>
      <w:r>
        <w:rPr>
          <w:rFonts w:hint="eastAsia" w:ascii="仿宋_GB2312" w:hAnsi="仿宋"/>
        </w:rPr>
        <w:t>“</w:t>
      </w:r>
      <w:r>
        <w:rPr>
          <w:rFonts w:hint="eastAsia"/>
        </w:rPr>
        <w:t>三权分置</w:t>
      </w:r>
      <w:r>
        <w:rPr>
          <w:rFonts w:hint="eastAsia" w:ascii="仿宋_GB2312" w:hAnsi="仿宋"/>
        </w:rPr>
        <w:t>”</w:t>
      </w:r>
      <w:r>
        <w:rPr>
          <w:rFonts w:hint="eastAsia"/>
        </w:rPr>
        <w:t>制度改革，建立健全依法取得、节约利用、权属清晰、权能完整、流转有序、管理规范的农村宅基地制度。在符合规划、用途管制和尊重农民意愿前提下，优化村庄用地布局，有效利用乡村零星分散存量建设用地。通过激活利用闲置农房，发展民宿经济、乡村旅游、文化创意、养生养老、运动休闲等新产业新业态，吸引工商资本入乡，走特色经营之路，推动农业多功能拓展、实现三产融合发展。通过让农民以闲置农房出租、入股等方式，增加农民的财产性收入。开展修缮破损</w:t>
      </w:r>
      <w:r>
        <w:rPr>
          <w:rFonts w:hint="eastAsia" w:ascii="仿宋_GB2312" w:hAnsi="仿宋"/>
        </w:rPr>
        <w:t>“</w:t>
      </w:r>
      <w:r>
        <w:rPr>
          <w:rFonts w:hint="eastAsia"/>
        </w:rPr>
        <w:t>闲置房</w:t>
      </w:r>
      <w:r>
        <w:rPr>
          <w:rFonts w:hint="eastAsia" w:ascii="仿宋_GB2312" w:hAnsi="仿宋"/>
        </w:rPr>
        <w:t>”</w:t>
      </w:r>
      <w:r>
        <w:rPr>
          <w:rFonts w:hint="eastAsia"/>
        </w:rPr>
        <w:t>，整治散乱</w:t>
      </w:r>
      <w:r>
        <w:rPr>
          <w:rFonts w:hint="eastAsia" w:ascii="仿宋_GB2312" w:hAnsi="仿宋"/>
        </w:rPr>
        <w:t>“</w:t>
      </w:r>
      <w:r>
        <w:rPr>
          <w:rFonts w:hint="eastAsia"/>
        </w:rPr>
        <w:t>空倒房</w:t>
      </w:r>
      <w:r>
        <w:rPr>
          <w:rFonts w:hint="eastAsia" w:ascii="仿宋_GB2312" w:hAnsi="仿宋"/>
        </w:rPr>
        <w:t>”</w:t>
      </w:r>
      <w:r>
        <w:rPr>
          <w:rFonts w:hint="eastAsia"/>
        </w:rPr>
        <w:t>行动，有效激活一批闲置低效集体资产。鼓励村集体通过散收统租、合股合作、自主开发等多种途径，实现村级集体经济的可持续发展。</w:t>
      </w:r>
    </w:p>
    <w:p>
      <w:pPr>
        <w:ind w:firstLine="643"/>
      </w:pPr>
      <w:r>
        <w:rPr>
          <w:rFonts w:hint="eastAsia"/>
          <w:b/>
          <w:bCs/>
        </w:rPr>
        <w:t>二是保障进城落户农民土地合法权益。</w:t>
      </w:r>
      <w:r>
        <w:rPr>
          <w:rFonts w:hint="eastAsia"/>
        </w:rPr>
        <w:t>积极推进农村闲置宅基地激活利用改革，落实宅基地集体所有权，重点保障进城落户农民</w:t>
      </w:r>
      <w:r>
        <w:t>土地承包权、宅基地使用权、集体收益分配权</w:t>
      </w:r>
      <w:r>
        <w:rPr>
          <w:rFonts w:hint="eastAsia"/>
        </w:rPr>
        <w:t>，适度放活宅基地和农民房屋使用权，创新农村闲置资源盘活利用机制。探索建立宅基地使用权流转市场，强化政策监控，加强农民权益保障，</w:t>
      </w:r>
      <w:r>
        <w:t>引导进城落户农民依法自愿有偿转让相关权益。</w:t>
      </w:r>
    </w:p>
    <w:p>
      <w:pPr>
        <w:pStyle w:val="3"/>
      </w:pPr>
      <w:bookmarkStart w:id="608" w:name="_Toc9871"/>
      <w:r>
        <w:rPr>
          <w:rFonts w:hint="eastAsia"/>
        </w:rPr>
        <w:t>健全农业农村优先发展投入保障机制</w:t>
      </w:r>
      <w:bookmarkEnd w:id="608"/>
    </w:p>
    <w:p>
      <w:pPr>
        <w:ind w:firstLine="640"/>
      </w:pPr>
      <w:r>
        <w:rPr>
          <w:rFonts w:hint="eastAsia"/>
        </w:rPr>
        <w:t>把农业农村作为一般公共预算优先保障领域，健全财政支农投入稳定增长机制，持续加大公共财政对乡村振兴投入，确保投入力度不断增强、总量不断增加。完善涉农资金统筹整合长效机制，增加支持政策的组合加持力度。支持发行“三农”专项金融债券，结合本地实际以市场化方式设立乡村振兴基金。加大“三农”领域信贷支持力度，采取贷款贴息等财金互动政策措施，撬动金融资本投入乡村振兴发展。推行乡村振兴农业产业发展贷款风险补偿金制度，支持融资担保公司聚焦“三农”融资担保业务，合理降低担保费率。推广以奖代补政策，支持扩大地方优势特色农产品保险范围和规模，鼓励银行保险机构探索开发信用类金融支农产品和服务，有序引导社会资本投入乡村建设。</w:t>
      </w:r>
    </w:p>
    <w:p>
      <w:pPr>
        <w:pStyle w:val="3"/>
        <w:rPr>
          <w:shd w:val="clear" w:color="auto" w:fill="FFFFFF"/>
        </w:rPr>
      </w:pPr>
      <w:bookmarkStart w:id="609" w:name="_Toc41"/>
      <w:r>
        <w:rPr>
          <w:rFonts w:hint="eastAsia"/>
        </w:rPr>
        <w:t>加快推进县域内城乡融合发展</w:t>
      </w:r>
      <w:bookmarkEnd w:id="609"/>
    </w:p>
    <w:p>
      <w:pPr>
        <w:ind w:firstLine="640"/>
      </w:pPr>
      <w:r>
        <w:rPr>
          <w:rFonts w:hint="eastAsia"/>
        </w:rPr>
        <w:t>把县域作为城乡融合发展的重要切入点，加快健全城乡融合发展体制机制和政策体系，破除制约城乡要素自由流动、平等交换和公共资源合理配置的体制机制障碍，强化以工补农、以城带乡，加快形成新型工农城乡关系。</w:t>
      </w:r>
    </w:p>
    <w:p>
      <w:pPr>
        <w:pStyle w:val="4"/>
        <w:ind w:left="-3" w:firstLine="643"/>
      </w:pPr>
      <w:bookmarkStart w:id="610" w:name="_Toc98702637"/>
      <w:bookmarkStart w:id="611" w:name="_Toc111192875"/>
      <w:bookmarkStart w:id="612" w:name="_Toc111650477"/>
      <w:bookmarkStart w:id="613" w:name="_Toc111818699"/>
      <w:bookmarkStart w:id="614" w:name="_Toc114128852"/>
      <w:bookmarkStart w:id="615" w:name="_Toc112145770"/>
      <w:bookmarkStart w:id="616" w:name="_Toc6813"/>
      <w:r>
        <w:rPr>
          <w:rFonts w:hint="eastAsia"/>
        </w:rPr>
        <w:t>推动城乡</w:t>
      </w:r>
      <w:bookmarkEnd w:id="610"/>
      <w:bookmarkEnd w:id="611"/>
      <w:bookmarkEnd w:id="612"/>
      <w:bookmarkEnd w:id="613"/>
      <w:r>
        <w:rPr>
          <w:rFonts w:hint="eastAsia"/>
        </w:rPr>
        <w:t>深度融合发展</w:t>
      </w:r>
      <w:bookmarkEnd w:id="614"/>
      <w:bookmarkEnd w:id="615"/>
      <w:bookmarkEnd w:id="616"/>
    </w:p>
    <w:p>
      <w:pPr>
        <w:ind w:firstLine="640"/>
      </w:pPr>
      <w:r>
        <w:rPr>
          <w:rFonts w:hint="eastAsia"/>
        </w:rPr>
        <w:t>推进以县域为重要载体的城乡融合发展，加快形成工农互促、城乡互补、协调发展、共同繁荣的新型城乡关系。统筹县域产业、基础设施、基本农田、生态保护、城镇开发、村落分布等空间布局，提升县城发展质量。开展县乡村公共服务一体化试点示范，推动县乡村公共服务功能衔接互补，尽快实现公共资源按常住人口规模配置，把乡镇建设成为服务农民的中心区域，强化县乡村综合服务能力。积极推进产业振兴，壮大县域经济，每个镇（街道）明确一个主导产业，培育支柱产业。围绕东西部扶贫劳务协作、成渝劳务协作、农业季节性用工、重点企业用工等需求，储备一批适合农民工就业需求的岗位。推动在县域就业的农民工就地市民化，完善提升平等就业政策措施，进一步落实农民工与城镇职工平等就业、同工同酬制度。</w:t>
      </w:r>
    </w:p>
    <w:p>
      <w:pPr>
        <w:pStyle w:val="4"/>
        <w:ind w:left="-3" w:firstLine="643"/>
      </w:pPr>
      <w:bookmarkStart w:id="617" w:name="_Toc111192876"/>
      <w:bookmarkStart w:id="618" w:name="_Toc98702638"/>
      <w:bookmarkStart w:id="619" w:name="_Toc114128853"/>
      <w:bookmarkStart w:id="620" w:name="_Toc8554"/>
      <w:bookmarkStart w:id="621" w:name="_Toc111818700"/>
      <w:bookmarkStart w:id="622" w:name="_Toc111650478"/>
      <w:bookmarkStart w:id="623" w:name="_Toc112145771"/>
      <w:r>
        <w:rPr>
          <w:rFonts w:hint="eastAsia"/>
        </w:rPr>
        <w:t>加快县域内城乡融合发展</w:t>
      </w:r>
      <w:bookmarkEnd w:id="617"/>
      <w:bookmarkEnd w:id="618"/>
      <w:bookmarkEnd w:id="619"/>
      <w:bookmarkEnd w:id="620"/>
      <w:bookmarkEnd w:id="621"/>
      <w:bookmarkEnd w:id="622"/>
      <w:bookmarkEnd w:id="623"/>
    </w:p>
    <w:p>
      <w:pPr>
        <w:ind w:firstLine="643"/>
      </w:pPr>
      <w:r>
        <w:rPr>
          <w:rFonts w:hint="eastAsia"/>
          <w:b/>
          <w:bCs/>
        </w:rPr>
        <w:t>一是打造3个城乡融合单元。</w:t>
      </w:r>
      <w:r>
        <w:rPr>
          <w:rFonts w:hint="eastAsia"/>
        </w:rPr>
        <w:t>第一以都市近郊田园风光为主题，运用</w:t>
      </w:r>
      <w:r>
        <w:rPr>
          <w:rFonts w:hint="eastAsia" w:ascii="仿宋_GB2312"/>
        </w:rPr>
        <w:t>“</w:t>
      </w:r>
      <w:r>
        <w:rPr>
          <w:rFonts w:hint="eastAsia"/>
        </w:rPr>
        <w:t>街区+乡村振兴示范村+川西民居</w:t>
      </w:r>
      <w:r>
        <w:rPr>
          <w:rFonts w:hint="eastAsia" w:ascii="仿宋_GB2312"/>
        </w:rPr>
        <w:t>”</w:t>
      </w:r>
      <w:r>
        <w:rPr>
          <w:rFonts w:hint="eastAsia"/>
        </w:rPr>
        <w:t>模式，发展乡村体验、田园观光、生态康养、户外运动、特色美食等业态，打造研城街道城乡融合单元。第二以现代农业发展为主题，运用</w:t>
      </w:r>
      <w:r>
        <w:rPr>
          <w:rFonts w:hint="eastAsia" w:ascii="仿宋_GB2312"/>
        </w:rPr>
        <w:t>“</w:t>
      </w:r>
      <w:r>
        <w:rPr>
          <w:rFonts w:hint="eastAsia"/>
        </w:rPr>
        <w:t>农业产业园+乡村振兴示范村</w:t>
      </w:r>
      <w:r>
        <w:rPr>
          <w:rFonts w:hint="eastAsia" w:ascii="仿宋_GB2312"/>
        </w:rPr>
        <w:t>”</w:t>
      </w:r>
      <w:r>
        <w:rPr>
          <w:rFonts w:hint="eastAsia"/>
        </w:rPr>
        <w:t>模式，发展休闲农业、观光农业、农趣体验、农村电商等业态，打造集益柑橘产业城乡融合单元。第三以农耕民俗文化为主题，运用</w:t>
      </w:r>
      <w:r>
        <w:rPr>
          <w:rFonts w:hint="eastAsia" w:ascii="仿宋_GB2312"/>
        </w:rPr>
        <w:t>“</w:t>
      </w:r>
      <w:r>
        <w:rPr>
          <w:rFonts w:hint="eastAsia"/>
        </w:rPr>
        <w:t>雷畅故居+民俗文化+乡村振兴示范村</w:t>
      </w:r>
      <w:r>
        <w:rPr>
          <w:rFonts w:hint="eastAsia" w:ascii="仿宋_GB2312"/>
        </w:rPr>
        <w:t>”</w:t>
      </w:r>
      <w:r>
        <w:rPr>
          <w:rFonts w:hint="eastAsia"/>
        </w:rPr>
        <w:t>模式，发展乡村文化旅游、民俗体验等项目业态，打造千佛镇城乡融合单元。</w:t>
      </w:r>
    </w:p>
    <w:p>
      <w:pPr>
        <w:ind w:firstLine="643"/>
      </w:pPr>
      <w:r>
        <w:rPr>
          <w:rFonts w:hint="eastAsia"/>
          <w:b/>
          <w:bCs/>
        </w:rPr>
        <w:t>二是优化提升小城镇发展。</w:t>
      </w:r>
      <w:r>
        <w:rPr>
          <w:rFonts w:hint="eastAsia"/>
        </w:rPr>
        <w:t>充分发挥小城镇连接城乡的节点和纽带作用，完善产业扶持政策，加快基础设施、公共服务设施建设，提高小城镇对产业和人口的集聚力和承载力。强化产镇融合，在宝五镇发展农业物流园区，引导特色企业入园集聚，辐射带动周边镇（街道）农业产业发展，构建现代农业城乡产业融合链。加快东林镇、王村镇、三江镇等镇三产融合发展。</w:t>
      </w:r>
    </w:p>
    <w:p>
      <w:pPr>
        <w:pStyle w:val="3"/>
        <w:rPr>
          <w:shd w:val="clear" w:color="auto" w:fill="FFFFFF"/>
        </w:rPr>
      </w:pPr>
      <w:bookmarkStart w:id="624" w:name="_Toc26294"/>
      <w:r>
        <w:rPr>
          <w:rFonts w:hint="eastAsia"/>
          <w:shd w:val="clear" w:color="auto" w:fill="FFFFFF"/>
        </w:rPr>
        <w:t>创新发展新型农村集体经济</w:t>
      </w:r>
      <w:bookmarkEnd w:id="624"/>
    </w:p>
    <w:p>
      <w:pPr>
        <w:ind w:firstLine="640"/>
      </w:pPr>
      <w:r>
        <w:rPr>
          <w:rFonts w:hint="eastAsia"/>
        </w:rPr>
        <w:t>坚持因地制宜分类施策，立足自身资源资产地理区位等优势，探索集体资产所有权与经营权分离的运营机制，以低风险、可持续的方式放活经营权，通过自主经营、租赁、参股、联营、合作等方式创新农村集体经济实现形式。</w:t>
      </w:r>
    </w:p>
    <w:p>
      <w:pPr>
        <w:pStyle w:val="4"/>
        <w:ind w:left="-3" w:firstLine="643"/>
      </w:pPr>
      <w:bookmarkStart w:id="625" w:name="_Toc112145773"/>
      <w:bookmarkStart w:id="626" w:name="_Toc13605"/>
      <w:bookmarkStart w:id="627" w:name="_Toc114128855"/>
      <w:r>
        <w:rPr>
          <w:rFonts w:hint="eastAsia"/>
        </w:rPr>
        <w:t>规范村集体经济组织管理</w:t>
      </w:r>
      <w:bookmarkEnd w:id="625"/>
      <w:bookmarkEnd w:id="626"/>
      <w:bookmarkEnd w:id="627"/>
    </w:p>
    <w:p>
      <w:pPr>
        <w:ind w:firstLine="643"/>
      </w:pPr>
      <w:r>
        <w:rPr>
          <w:rFonts w:hint="eastAsia"/>
          <w:b/>
          <w:bCs/>
        </w:rPr>
        <w:t>一是深入推进农村集体产权制度改革。</w:t>
      </w:r>
      <w:r>
        <w:t>加快完善农村产权制度和要素市场化配置机制，充分激发农业农村发展内生动力。全面推进农村集体产权制度改革，开展农村集体资产清产核资、集体成员身份确定、集体经营性资产股份制改革和集体经济组织登记赋码等工作，努力构建归属清晰、权能完整、流转顺畅、保护严格的产权制度，切实保障农民财产权益。鼓励镇（街道）、村（</w:t>
      </w:r>
      <w:r>
        <w:rPr>
          <w:rFonts w:hint="eastAsia"/>
        </w:rPr>
        <w:t>社区</w:t>
      </w:r>
      <w:r>
        <w:t>）根据资源禀赋特点、自然环境和现实条件，以市场为导向，本着</w:t>
      </w:r>
      <w:r>
        <w:rPr>
          <w:rFonts w:hint="eastAsia" w:ascii="仿宋_GB2312" w:hAnsi="仿宋"/>
        </w:rPr>
        <w:t>“</w:t>
      </w:r>
      <w:r>
        <w:t>宜工则工、宜渔则渔、宜农则农</w:t>
      </w:r>
      <w:r>
        <w:rPr>
          <w:rFonts w:hint="eastAsia" w:ascii="仿宋_GB2312" w:hAnsi="仿宋"/>
        </w:rPr>
        <w:t>”</w:t>
      </w:r>
      <w:r>
        <w:t>的原则，大胆探索，因地制宜发展村级集体经济。</w:t>
      </w:r>
    </w:p>
    <w:p>
      <w:pPr>
        <w:ind w:firstLine="643"/>
      </w:pPr>
      <w:r>
        <w:rPr>
          <w:rFonts w:hint="eastAsia"/>
          <w:b/>
          <w:bCs/>
        </w:rPr>
        <w:t>二是积极培育村集体经济组织，推动村集体经济组织规范发展。</w:t>
      </w:r>
      <w:r>
        <w:rPr>
          <w:rFonts w:hint="eastAsia"/>
        </w:rPr>
        <w:t>全面规范建立农村集体经济组织，明确集体经济组织的市场主体地位，依法赋予市场主体资格。建立健全集体经济组织章程和管理制度，探索村民委员会事务和集体经济事务分离机制，鼓励农村集体经济组织以可支配的资源、资产、资金等要素为依托，组建股份公司和股份合作社、产业联合体、协会等各类合作经济组织，完成农村集体经营性资产股份合作制改革，发展壮大农村集体经济。加强农村产权流转管理服务平台建设，不断拓展农村产权流转管理服务平台功能，建立健全农村集体经济组织运作机制、民主议事机制和权力制衡机制，保障农村集体经济组织合法权利。</w:t>
      </w:r>
    </w:p>
    <w:p>
      <w:pPr>
        <w:pStyle w:val="4"/>
        <w:ind w:left="-3" w:firstLine="643"/>
      </w:pPr>
      <w:bookmarkStart w:id="628" w:name="_Toc11406"/>
      <w:bookmarkStart w:id="629" w:name="_Toc114128856"/>
      <w:bookmarkStart w:id="630" w:name="_Toc112145774"/>
      <w:r>
        <w:rPr>
          <w:rFonts w:hint="eastAsia"/>
        </w:rPr>
        <w:t>创新村集体经济发展模式</w:t>
      </w:r>
      <w:bookmarkEnd w:id="628"/>
      <w:bookmarkEnd w:id="629"/>
      <w:bookmarkEnd w:id="630"/>
    </w:p>
    <w:p>
      <w:pPr>
        <w:ind w:firstLine="640"/>
      </w:pPr>
      <w:r>
        <w:rPr>
          <w:rFonts w:hint="eastAsia"/>
        </w:rPr>
        <w:t>建立农村集体经济运行新机制，充分发挥农村集体经济组织管理集体资产、开发集体资源、发展集体经济、服务集体成员等作用。实施新一轮村级集体经济扶持行动，培育经济新增长点、产业新空间、项目新载体，</w:t>
      </w:r>
      <w:r>
        <w:rPr>
          <w:rFonts w:hint="eastAsia"/>
          <w:lang w:val="zh-CN"/>
        </w:rPr>
        <w:t>增强</w:t>
      </w:r>
      <w:r>
        <w:rPr>
          <w:rFonts w:hint="eastAsia" w:ascii="仿宋_GB2312" w:hAnsi="仿宋"/>
          <w:lang w:val="zh-CN"/>
        </w:rPr>
        <w:t>“</w:t>
      </w:r>
      <w:r>
        <w:rPr>
          <w:rFonts w:hint="eastAsia"/>
          <w:lang w:val="zh-CN"/>
        </w:rPr>
        <w:t>造血</w:t>
      </w:r>
      <w:r>
        <w:rPr>
          <w:rFonts w:hint="eastAsia" w:ascii="仿宋_GB2312" w:hAnsi="仿宋"/>
          <w:lang w:val="zh-CN"/>
        </w:rPr>
        <w:t>”</w:t>
      </w:r>
      <w:r>
        <w:rPr>
          <w:rFonts w:hint="eastAsia"/>
          <w:lang w:val="zh-CN"/>
        </w:rPr>
        <w:t>功能</w:t>
      </w:r>
      <w:r>
        <w:rPr>
          <w:rFonts w:hint="eastAsia"/>
        </w:rPr>
        <w:t>。</w:t>
      </w:r>
      <w:r>
        <w:rPr>
          <w:rFonts w:hint="eastAsia"/>
          <w:lang w:val="zh-CN"/>
        </w:rPr>
        <w:t>鼓励以镇村联建统营、股份合作等方式，发展</w:t>
      </w:r>
      <w:r>
        <w:rPr>
          <w:rFonts w:hint="eastAsia" w:ascii="仿宋_GB2312" w:hAnsi="仿宋"/>
          <w:lang w:val="zh-CN"/>
        </w:rPr>
        <w:t>“</w:t>
      </w:r>
      <w:r>
        <w:rPr>
          <w:rFonts w:hint="eastAsia"/>
          <w:lang w:val="zh-CN"/>
        </w:rPr>
        <w:t>飞地</w:t>
      </w:r>
      <w:r>
        <w:rPr>
          <w:rFonts w:hint="eastAsia" w:ascii="仿宋_GB2312" w:hAnsi="仿宋"/>
          <w:lang w:val="zh-CN"/>
        </w:rPr>
        <w:t>”</w:t>
      </w:r>
      <w:r>
        <w:rPr>
          <w:rFonts w:hint="eastAsia"/>
          <w:lang w:val="zh-CN"/>
        </w:rPr>
        <w:t>经济、物业经济和乡村产业。</w:t>
      </w:r>
      <w:r>
        <w:rPr>
          <w:rFonts w:hint="eastAsia"/>
        </w:rPr>
        <w:t>深化</w:t>
      </w:r>
      <w:r>
        <w:rPr>
          <w:rFonts w:hint="eastAsia" w:ascii="仿宋_GB2312" w:hAnsi="仿宋"/>
        </w:rPr>
        <w:t>“</w:t>
      </w:r>
      <w:r>
        <w:rPr>
          <w:rFonts w:hint="eastAsia"/>
        </w:rPr>
        <w:t>村企共建</w:t>
      </w:r>
      <w:r>
        <w:rPr>
          <w:rFonts w:hint="eastAsia" w:ascii="仿宋_GB2312" w:hAnsi="仿宋"/>
        </w:rPr>
        <w:t>”</w:t>
      </w:r>
      <w:r>
        <w:rPr>
          <w:rFonts w:hint="eastAsia"/>
        </w:rPr>
        <w:t>机制，鼓励村级商会、企业家以及社团等社会力量出智出资出力。</w:t>
      </w:r>
      <w:r>
        <w:rPr>
          <w:rFonts w:hint="eastAsia"/>
          <w:lang w:val="zh-CN"/>
        </w:rPr>
        <w:t>大力盘活村集体闲置办公用房、校舍、仓库、设备等资产，实现</w:t>
      </w:r>
      <w:r>
        <w:rPr>
          <w:rFonts w:hint="eastAsia" w:ascii="仿宋_GB2312" w:hAnsi="仿宋"/>
          <w:lang w:val="zh-CN"/>
        </w:rPr>
        <w:t>“</w:t>
      </w:r>
      <w:r>
        <w:rPr>
          <w:rFonts w:hint="eastAsia"/>
          <w:lang w:val="zh-CN"/>
        </w:rPr>
        <w:t>闲</w:t>
      </w:r>
      <w:r>
        <w:rPr>
          <w:rFonts w:hint="eastAsia" w:ascii="仿宋_GB2312" w:hAnsi="仿宋"/>
          <w:lang w:val="zh-CN"/>
        </w:rPr>
        <w:t>”</w:t>
      </w:r>
      <w:r>
        <w:rPr>
          <w:rFonts w:hint="eastAsia"/>
          <w:lang w:val="zh-CN"/>
        </w:rPr>
        <w:t>变</w:t>
      </w:r>
      <w:r>
        <w:rPr>
          <w:rFonts w:hint="eastAsia" w:ascii="仿宋_GB2312" w:hAnsi="仿宋"/>
          <w:lang w:val="zh-CN"/>
        </w:rPr>
        <w:t>“</w:t>
      </w:r>
      <w:r>
        <w:rPr>
          <w:rFonts w:hint="eastAsia"/>
          <w:lang w:val="zh-CN"/>
        </w:rPr>
        <w:t>宝</w:t>
      </w:r>
      <w:r>
        <w:rPr>
          <w:rFonts w:hint="eastAsia" w:ascii="仿宋_GB2312" w:hAnsi="仿宋"/>
          <w:lang w:val="zh-CN"/>
        </w:rPr>
        <w:t>”</w:t>
      </w:r>
      <w:r>
        <w:rPr>
          <w:rFonts w:hint="eastAsia"/>
          <w:lang w:val="zh-CN"/>
        </w:rPr>
        <w:t>。引导村集体面向市场发展服务型产业，鼓励村集体领办专业合作社。</w:t>
      </w:r>
      <w:r>
        <w:rPr>
          <w:rFonts w:hint="eastAsia"/>
        </w:rPr>
        <w:t>完善村级运行经费保障制度，探索将农业发展支出、保洁护绿、治安保安等公共服务和社会管理所需费用纳入公共财政保障范围，逐步减轻村集体投入压力。</w:t>
      </w:r>
      <w:r>
        <w:rPr>
          <w:rFonts w:hint="eastAsia" w:cs="仿宋_GB2312"/>
        </w:rPr>
        <w:t>到2025年，力争集体收益5万元以上的村占比达45%，村级集体经济总收入超2</w:t>
      </w:r>
      <w:r>
        <w:rPr>
          <w:rFonts w:cs="仿宋_GB2312"/>
        </w:rPr>
        <w:t>000</w:t>
      </w:r>
      <w:r>
        <w:rPr>
          <w:rFonts w:hint="eastAsia" w:cs="仿宋_GB2312"/>
        </w:rPr>
        <w:t>万元，</w:t>
      </w:r>
      <w:r>
        <w:rPr>
          <w:rFonts w:hint="eastAsia"/>
        </w:rPr>
        <w:t>基本实现合并村集体经济完全融合发展。</w:t>
      </w:r>
    </w:p>
    <w:p>
      <w:pPr>
        <w:pStyle w:val="4"/>
        <w:ind w:left="-3" w:firstLine="643"/>
      </w:pPr>
      <w:bookmarkStart w:id="631" w:name="_Toc9509"/>
      <w:bookmarkStart w:id="632" w:name="_Toc112145775"/>
      <w:bookmarkStart w:id="633" w:name="_Toc114128857"/>
      <w:r>
        <w:rPr>
          <w:rFonts w:hint="eastAsia"/>
        </w:rPr>
        <w:t>保障村集体经济成员收益</w:t>
      </w:r>
      <w:bookmarkEnd w:id="631"/>
      <w:bookmarkEnd w:id="632"/>
      <w:bookmarkEnd w:id="633"/>
    </w:p>
    <w:p>
      <w:pPr>
        <w:ind w:firstLine="640"/>
      </w:pPr>
      <w:r>
        <w:rPr>
          <w:rFonts w:hint="eastAsia"/>
          <w:lang w:val="zh-CN"/>
        </w:rPr>
        <w:t>加强集体资产管理，建设农村</w:t>
      </w:r>
      <w:r>
        <w:rPr>
          <w:rFonts w:hint="eastAsia" w:ascii="仿宋_GB2312" w:hAnsi="仿宋"/>
          <w:lang w:val="zh-CN"/>
        </w:rPr>
        <w:t>“</w:t>
      </w:r>
      <w:r>
        <w:rPr>
          <w:rFonts w:hint="eastAsia"/>
          <w:lang w:val="zh-CN"/>
        </w:rPr>
        <w:t>三资</w:t>
      </w:r>
      <w:r>
        <w:rPr>
          <w:rFonts w:hint="eastAsia" w:ascii="仿宋_GB2312" w:hAnsi="仿宋"/>
          <w:lang w:val="zh-CN"/>
        </w:rPr>
        <w:t>”</w:t>
      </w:r>
      <w:r>
        <w:rPr>
          <w:rFonts w:hint="eastAsia"/>
          <w:lang w:val="zh-CN"/>
        </w:rPr>
        <w:t>管理信息化平台，推进数字化管理，</w:t>
      </w:r>
      <w:r>
        <w:rPr>
          <w:rFonts w:hint="eastAsia" w:cs="仿宋_GB2312"/>
          <w:shd w:val="clear" w:color="auto" w:fill="FFFFFF"/>
        </w:rPr>
        <w:t>严格</w:t>
      </w:r>
      <w:r>
        <w:rPr>
          <w:rFonts w:hint="eastAsia"/>
        </w:rPr>
        <w:t>控制非生产性开支，严格控制村级向个人（企业）借款规模，严格控制村级建设项目数量和质量，严格防范新增债务</w:t>
      </w:r>
      <w:r>
        <w:rPr>
          <w:rFonts w:hint="eastAsia" w:cs="仿宋_GB2312"/>
          <w:shd w:val="clear" w:color="auto" w:fill="FFFFFF"/>
        </w:rPr>
        <w:t>。</w:t>
      </w:r>
      <w:r>
        <w:rPr>
          <w:rFonts w:hint="eastAsia"/>
        </w:rPr>
        <w:t>进一步深化农村集体经营性资产股份合作制改革，完善农民集体资产股份权能，探索农村集体经济组织成员对所持有的集体资产股份占有、收益、有偿退出及抵押、担保、继承权等更多的有效实现形式。</w:t>
      </w:r>
    </w:p>
    <w:p>
      <w:pPr>
        <w:pStyle w:val="3"/>
      </w:pPr>
      <w:bookmarkStart w:id="634" w:name="_Toc18972"/>
      <w:r>
        <w:rPr>
          <w:rFonts w:hint="eastAsia"/>
        </w:rPr>
        <w:t>深化农村集体产权制度改革</w:t>
      </w:r>
      <w:bookmarkEnd w:id="634"/>
    </w:p>
    <w:p>
      <w:pPr>
        <w:ind w:firstLine="640"/>
      </w:pPr>
      <w:r>
        <w:rPr>
          <w:rFonts w:hint="eastAsia"/>
        </w:rPr>
        <w:t>加快推进农村集体产权制度改革，积极盘活农村集体资产资源，推动农村资源变资产、资金变股金、农民变股东。有序开展集体成员身份确认、集体资产折股量化、股份合作制改革、集体经济组织登记赋码等工作，完成全县农村集体产权制度改革任务。鼓励村集体经济因地制宜发展农林产业、休闲农业和乡村旅游业，创办农村电商、代办代购、农贸市场、餐饮住宿、教育托管、养老等服务实体，领办农机农技、劳务输出、农产品销售、农资供应、储运加工等服务组织，为农户或其他农业经营主体提供生产生活服务，增加集体收入。发展壮大农村集体经济，不断完善合并镇村产业协作及融合发展机制，推进合并村集体经济融合发展试点，到2025年，力争创建成全省合并村集体经济融合发展试点先进县，培育先进村3个。持续深化供销合作社综合改革，深入实施供销合作社农业社会化服务惠农工程，拓展农业生产托管服务，强化农产品流通服务，发展社区综合服务。加强基层供销社建设，积极推进供销合作社、农村集体经济组织、农民合作社“三社”融合发展，发展村级供销社，做强乡镇供销社。</w:t>
      </w:r>
    </w:p>
    <w:p>
      <w:pPr>
        <w:pStyle w:val="3"/>
        <w:rPr>
          <w:shd w:val="clear" w:color="auto" w:fill="FFFFFF"/>
        </w:rPr>
      </w:pPr>
      <w:bookmarkStart w:id="635" w:name="_Toc28018"/>
      <w:r>
        <w:rPr>
          <w:rFonts w:hint="eastAsia"/>
          <w:shd w:val="clear" w:color="auto" w:fill="FFFFFF"/>
        </w:rPr>
        <w:t>推进农业对外开放</w:t>
      </w:r>
      <w:bookmarkEnd w:id="635"/>
    </w:p>
    <w:p>
      <w:pPr>
        <w:ind w:firstLine="640"/>
      </w:pPr>
      <w:r>
        <w:rPr>
          <w:rFonts w:hint="eastAsia"/>
        </w:rPr>
        <w:t>坚持统筹共谋、资源共享、优势互补、发展互惠基本原则，提高井研县农业农村对外开放合作水平，主动融入</w:t>
      </w:r>
      <w:r>
        <w:rPr>
          <w:rFonts w:hint="eastAsia" w:ascii="仿宋_GB2312" w:hAnsi="仿宋"/>
        </w:rPr>
        <w:t>“</w:t>
      </w:r>
      <w:r>
        <w:rPr>
          <w:rFonts w:hint="eastAsia"/>
        </w:rPr>
        <w:t>一带一路</w:t>
      </w:r>
      <w:r>
        <w:rPr>
          <w:rFonts w:hint="eastAsia" w:ascii="仿宋_GB2312" w:hAnsi="仿宋"/>
        </w:rPr>
        <w:t>”</w:t>
      </w:r>
      <w:r>
        <w:rPr>
          <w:rFonts w:hint="eastAsia" w:hAnsi="仿宋"/>
        </w:rPr>
        <w:t>建设</w:t>
      </w:r>
      <w:r>
        <w:rPr>
          <w:rFonts w:hint="eastAsia"/>
        </w:rPr>
        <w:t>、长江经济带发展、成渝双城经济圈建设等国家战略，坚持引进来与走出去相结合，拓展农村农业发展空间，提升农业发展活力，搭建区域间交流、投资贸易合作平台，推动特色优势农业产品、技术、标准、服务走出去。</w:t>
      </w:r>
    </w:p>
    <w:p>
      <w:pPr>
        <w:pStyle w:val="4"/>
        <w:ind w:left="-3" w:firstLine="643"/>
      </w:pPr>
      <w:bookmarkStart w:id="636" w:name="_Toc111818706"/>
      <w:bookmarkStart w:id="637" w:name="_Toc114128860"/>
      <w:bookmarkStart w:id="638" w:name="_Toc98702644"/>
      <w:bookmarkStart w:id="639" w:name="_Toc111650484"/>
      <w:bookmarkStart w:id="640" w:name="_Toc111192882"/>
      <w:bookmarkStart w:id="641" w:name="_Toc112145778"/>
      <w:bookmarkStart w:id="642" w:name="_Toc20852"/>
      <w:r>
        <w:rPr>
          <w:rFonts w:hint="eastAsia"/>
        </w:rPr>
        <w:t>积极融入成渝双城经济圈建设</w:t>
      </w:r>
      <w:bookmarkEnd w:id="636"/>
      <w:bookmarkEnd w:id="637"/>
      <w:bookmarkEnd w:id="638"/>
      <w:bookmarkEnd w:id="639"/>
      <w:bookmarkEnd w:id="640"/>
      <w:bookmarkEnd w:id="641"/>
      <w:bookmarkEnd w:id="642"/>
    </w:p>
    <w:p>
      <w:pPr>
        <w:ind w:firstLine="643"/>
      </w:pPr>
      <w:r>
        <w:rPr>
          <w:rFonts w:hint="eastAsia"/>
          <w:b/>
          <w:bCs/>
        </w:rPr>
        <w:t>一是主动融入成渝地区双城经济圈建设。</w:t>
      </w:r>
      <w:r>
        <w:rPr>
          <w:rFonts w:hint="eastAsia"/>
        </w:rPr>
        <w:t>聚焦成渝地区双城经济圈建设东南关键节点、</w:t>
      </w:r>
      <w:r>
        <w:rPr>
          <w:rFonts w:hint="eastAsia" w:ascii="仿宋_GB2312" w:hAnsi="仿宋"/>
        </w:rPr>
        <w:t>“</w:t>
      </w:r>
      <w:r>
        <w:rPr>
          <w:rFonts w:hint="eastAsia"/>
        </w:rPr>
        <w:t>乐山一级副中心城市</w:t>
      </w:r>
      <w:r>
        <w:rPr>
          <w:rFonts w:hint="eastAsia" w:ascii="仿宋_GB2312" w:hAnsi="仿宋"/>
        </w:rPr>
        <w:t>”</w:t>
      </w:r>
      <w:r>
        <w:rPr>
          <w:rFonts w:hint="eastAsia"/>
        </w:rPr>
        <w:t>和</w:t>
      </w:r>
      <w:r>
        <w:rPr>
          <w:rFonts w:hint="eastAsia" w:ascii="仿宋_GB2312" w:hAnsi="仿宋"/>
        </w:rPr>
        <w:t>“</w:t>
      </w:r>
      <w:r>
        <w:rPr>
          <w:rFonts w:hint="eastAsia"/>
        </w:rPr>
        <w:t>乐山融入双城桥头堡</w:t>
      </w:r>
      <w:r>
        <w:rPr>
          <w:rFonts w:hint="eastAsia" w:ascii="仿宋_GB2312" w:hAnsi="仿宋"/>
        </w:rPr>
        <w:t>”</w:t>
      </w:r>
      <w:r>
        <w:rPr>
          <w:rFonts w:hint="eastAsia"/>
        </w:rPr>
        <w:t>的发展定位，以建设西部经济核心增长极、区域创新创业中心为契机，重点深化与</w:t>
      </w:r>
      <w:r>
        <w:rPr>
          <w:rFonts w:hint="eastAsia" w:ascii="仿宋_GB2312" w:hAnsi="仿宋"/>
        </w:rPr>
        <w:t>“</w:t>
      </w:r>
      <w:r>
        <w:rPr>
          <w:rFonts w:hint="eastAsia"/>
        </w:rPr>
        <w:t>成渝经济圈</w:t>
      </w:r>
      <w:r>
        <w:rPr>
          <w:rFonts w:hint="eastAsia" w:ascii="仿宋_GB2312" w:hAnsi="仿宋"/>
        </w:rPr>
        <w:t>”</w:t>
      </w:r>
      <w:r>
        <w:rPr>
          <w:rFonts w:hint="eastAsia"/>
        </w:rPr>
        <w:t>城市的区域合作，</w:t>
      </w:r>
      <w:r>
        <w:t>扶持发展优质农产品生产基地和加工企业。探索与</w:t>
      </w:r>
      <w:r>
        <w:rPr>
          <w:rFonts w:hint="eastAsia"/>
        </w:rPr>
        <w:t>成渝地区</w:t>
      </w:r>
      <w:r>
        <w:t>实行统一的农产品安全标准。建立生产、加工、流通、销售全过程</w:t>
      </w:r>
      <w:r>
        <w:rPr>
          <w:rFonts w:hint="eastAsia"/>
        </w:rPr>
        <w:t>和</w:t>
      </w:r>
      <w:r>
        <w:t>一体化质量追踪制度。提高食用农产品安全监管信息化水平，建立健全信息通报、案件查处和事故应急联动机制，建立风险交流与信息发布制度。</w:t>
      </w:r>
    </w:p>
    <w:p>
      <w:pPr>
        <w:ind w:firstLine="643"/>
      </w:pPr>
      <w:r>
        <w:rPr>
          <w:rFonts w:hint="eastAsia"/>
          <w:b/>
          <w:bCs/>
        </w:rPr>
        <w:t>二是打造成渝地区优质农产品供应基地。</w:t>
      </w:r>
      <w:r>
        <w:rPr>
          <w:rFonts w:hint="eastAsia"/>
        </w:rPr>
        <w:t>围绕全省</w:t>
      </w:r>
      <w:r>
        <w:rPr>
          <w:rFonts w:hint="eastAsia" w:ascii="仿宋_GB2312" w:hAnsi="仿宋"/>
        </w:rPr>
        <w:t>“</w:t>
      </w:r>
      <w:r>
        <w:rPr>
          <w:rFonts w:hint="eastAsia"/>
        </w:rPr>
        <w:t>10＋3</w:t>
      </w:r>
      <w:r>
        <w:rPr>
          <w:rFonts w:hint="eastAsia" w:ascii="仿宋_GB2312" w:hAnsi="仿宋"/>
        </w:rPr>
        <w:t>”</w:t>
      </w:r>
      <w:r>
        <w:rPr>
          <w:rStyle w:val="42"/>
          <w:rFonts w:ascii="仿宋_GB2312" w:hAnsi="仿宋"/>
        </w:rPr>
        <w:footnoteReference w:id="19"/>
      </w:r>
      <w:r>
        <w:rPr>
          <w:rFonts w:hint="eastAsia"/>
        </w:rPr>
        <w:t>现代农业体系，深度融入成渝地区现代高效特色农业带建设，巩固提升柑橘、畜牧、粮油等特色产业优势，进一步扩规模、提品质、强品牌、延链条。突出高端化、绿色化、智能化、融合化发展方向，强化农业科技支撑，实施优质粮食工程，巩固提升生猪规模化标准化养殖水平，加快农产品物流集配中心、质量检测中心、中柑所新品种中试基地等</w:t>
      </w:r>
      <w:r>
        <w:rPr>
          <w:rFonts w:hint="eastAsia" w:ascii="仿宋_GB2312" w:hAnsi="仿宋"/>
        </w:rPr>
        <w:t>“</w:t>
      </w:r>
      <w:r>
        <w:rPr>
          <w:rFonts w:hint="eastAsia"/>
        </w:rPr>
        <w:t>两中心一基地</w:t>
      </w:r>
      <w:r>
        <w:rPr>
          <w:rFonts w:hint="eastAsia" w:ascii="仿宋_GB2312" w:hAnsi="仿宋"/>
        </w:rPr>
        <w:t>”</w:t>
      </w:r>
      <w:r>
        <w:rPr>
          <w:rFonts w:hint="eastAsia"/>
        </w:rPr>
        <w:t>建设，争创一批国省现代农业园区、特色优势农产品基地、国家优质粮油和商品猪战略保障基地。大力发展食品饮料、果肉果脯、兔干肉脯等农产品加工产业，做强农产品加工示范园区，建设成为成渝地区绿色、有机、无公害的农产品供应基地。</w:t>
      </w:r>
    </w:p>
    <w:p>
      <w:pPr>
        <w:pStyle w:val="4"/>
        <w:ind w:left="-3" w:firstLine="643"/>
      </w:pPr>
      <w:bookmarkStart w:id="643" w:name="_Toc111650485"/>
      <w:bookmarkStart w:id="644" w:name="_Toc27986"/>
      <w:bookmarkStart w:id="645" w:name="_Toc111818707"/>
      <w:bookmarkStart w:id="646" w:name="_Toc114128861"/>
      <w:bookmarkStart w:id="647" w:name="_Toc112145779"/>
      <w:bookmarkStart w:id="648" w:name="_Toc111192883"/>
      <w:bookmarkStart w:id="649" w:name="_Toc98702645"/>
      <w:r>
        <w:rPr>
          <w:rFonts w:hint="eastAsia"/>
        </w:rPr>
        <w:t>加强周边</w:t>
      </w:r>
      <w:r>
        <w:rPr>
          <w:rFonts w:hint="eastAsia"/>
          <w:lang w:eastAsia="zh-CN"/>
        </w:rPr>
        <w:t>区（县）</w:t>
      </w:r>
      <w:r>
        <w:rPr>
          <w:rFonts w:hint="eastAsia"/>
        </w:rPr>
        <w:t>产业深度合作交流</w:t>
      </w:r>
      <w:bookmarkEnd w:id="643"/>
      <w:bookmarkEnd w:id="644"/>
      <w:bookmarkEnd w:id="645"/>
      <w:bookmarkEnd w:id="646"/>
      <w:bookmarkEnd w:id="647"/>
      <w:bookmarkEnd w:id="648"/>
      <w:bookmarkEnd w:id="649"/>
    </w:p>
    <w:p>
      <w:pPr>
        <w:ind w:firstLine="643"/>
      </w:pPr>
      <w:r>
        <w:rPr>
          <w:rFonts w:hint="eastAsia"/>
          <w:b/>
          <w:bCs/>
        </w:rPr>
        <w:t>一是促进产业协同发展。</w:t>
      </w:r>
      <w:r>
        <w:rPr>
          <w:rFonts w:hint="eastAsia"/>
        </w:rPr>
        <w:t>依托柑橘、粮油、畜牧、水产等特色高效产业，强化与乐山市农业产业一体化发展，推进优质高产高效粮油保障基地以及柑橘百里产业环线等特色经作产业带建设。与周边</w:t>
      </w:r>
      <w:r>
        <w:rPr>
          <w:rFonts w:hint="eastAsia"/>
          <w:lang w:eastAsia="zh-CN"/>
        </w:rPr>
        <w:t>区（县）</w:t>
      </w:r>
      <w:r>
        <w:rPr>
          <w:rFonts w:hint="eastAsia"/>
        </w:rPr>
        <w:t>共同打造四川省晚熟柑橘产业集群，协同推进乡村休闲农业发展，打造成渝地区高品质</w:t>
      </w:r>
      <w:r>
        <w:rPr>
          <w:rFonts w:hint="eastAsia" w:ascii="仿宋_GB2312" w:hAnsi="仿宋"/>
        </w:rPr>
        <w:t>“</w:t>
      </w:r>
      <w:r>
        <w:rPr>
          <w:rFonts w:hint="eastAsia"/>
        </w:rPr>
        <w:t>果盘子</w:t>
      </w:r>
      <w:r>
        <w:rPr>
          <w:rFonts w:hint="eastAsia" w:ascii="仿宋_GB2312" w:hAnsi="仿宋"/>
        </w:rPr>
        <w:t>”</w:t>
      </w:r>
      <w:r>
        <w:rPr>
          <w:rFonts w:hint="eastAsia"/>
        </w:rPr>
        <w:t>和</w:t>
      </w:r>
      <w:r>
        <w:rPr>
          <w:rFonts w:hint="eastAsia" w:ascii="仿宋_GB2312" w:hAnsi="仿宋"/>
        </w:rPr>
        <w:t>“</w:t>
      </w:r>
      <w:r>
        <w:rPr>
          <w:rFonts w:hint="eastAsia"/>
        </w:rPr>
        <w:t>后花园</w:t>
      </w:r>
      <w:r>
        <w:rPr>
          <w:rFonts w:hint="eastAsia" w:ascii="仿宋_GB2312" w:hAnsi="仿宋"/>
        </w:rPr>
        <w:t>”</w:t>
      </w:r>
      <w:r>
        <w:rPr>
          <w:rFonts w:hint="eastAsia"/>
        </w:rPr>
        <w:t>。依托非物质文化遗产、传统村落、历史文化名镇等旅游资源，深化毗邻</w:t>
      </w:r>
      <w:r>
        <w:rPr>
          <w:rFonts w:hint="eastAsia"/>
          <w:lang w:eastAsia="zh-CN"/>
        </w:rPr>
        <w:t>区（县）</w:t>
      </w:r>
      <w:r>
        <w:rPr>
          <w:rFonts w:hint="eastAsia"/>
        </w:rPr>
        <w:t>旅游合作，统筹整合利用旅游资源，联合开展旅游主题推广活动。</w:t>
      </w:r>
    </w:p>
    <w:p>
      <w:pPr>
        <w:ind w:firstLine="643"/>
      </w:pPr>
      <w:r>
        <w:rPr>
          <w:rFonts w:hint="eastAsia"/>
          <w:b/>
          <w:bCs/>
        </w:rPr>
        <w:t>二是强化生态环境共保联治。</w:t>
      </w:r>
      <w:r>
        <w:rPr>
          <w:rFonts w:hint="eastAsia"/>
        </w:rPr>
        <w:t>强化</w:t>
      </w:r>
      <w:r>
        <w:rPr>
          <w:rFonts w:hint="eastAsia" w:ascii="仿宋_GB2312" w:hAnsi="仿宋"/>
        </w:rPr>
        <w:t>“</w:t>
      </w:r>
      <w:r>
        <w:rPr>
          <w:rFonts w:hint="eastAsia"/>
        </w:rPr>
        <w:t>上游意识</w:t>
      </w:r>
      <w:r>
        <w:rPr>
          <w:rFonts w:hint="eastAsia" w:ascii="仿宋_GB2312" w:hAnsi="仿宋"/>
        </w:rPr>
        <w:t>”</w:t>
      </w:r>
      <w:r>
        <w:rPr>
          <w:rFonts w:hint="eastAsia"/>
        </w:rPr>
        <w:t>，担起</w:t>
      </w:r>
      <w:r>
        <w:rPr>
          <w:rFonts w:hint="eastAsia" w:ascii="仿宋_GB2312" w:hAnsi="仿宋"/>
        </w:rPr>
        <w:t>“</w:t>
      </w:r>
      <w:r>
        <w:rPr>
          <w:rFonts w:hint="eastAsia"/>
        </w:rPr>
        <w:t>上游责任</w:t>
      </w:r>
      <w:r>
        <w:rPr>
          <w:rFonts w:hint="eastAsia" w:ascii="仿宋_GB2312" w:hAnsi="仿宋"/>
        </w:rPr>
        <w:t>”</w:t>
      </w:r>
      <w:r>
        <w:rPr>
          <w:rFonts w:hint="eastAsia"/>
        </w:rPr>
        <w:t>，坚定不移走生态优先、绿色发展之路，把</w:t>
      </w:r>
      <w:r>
        <w:rPr>
          <w:rFonts w:hint="eastAsia" w:ascii="仿宋_GB2312" w:hAnsi="仿宋"/>
        </w:rPr>
        <w:t>“</w:t>
      </w:r>
      <w:r>
        <w:rPr>
          <w:rFonts w:hint="eastAsia"/>
        </w:rPr>
        <w:t>绿色+</w:t>
      </w:r>
      <w:r>
        <w:rPr>
          <w:rFonts w:hint="eastAsia" w:ascii="仿宋_GB2312" w:hAnsi="仿宋"/>
        </w:rPr>
        <w:t>”</w:t>
      </w:r>
      <w:r>
        <w:rPr>
          <w:rFonts w:hint="eastAsia"/>
        </w:rPr>
        <w:t>融入经济社会发展，大力发展循环经济、绿色产业，建立完善生态环境监管大数据平台和智能环保服务支撑体系，理顺城乡污水管网建设管理体制。与周边县市区联手推进生态环境共保共治，共建大气污染联防联控工作机制，协同管护水源地、森林公园、湿地等重要生态空间和区域生态廊道、绿道。探索建立多元化生态保护补偿机制，实行水环境监管、监测、突发环境应急等联动机制，共同推进跨界河流污染联防联控。同时，加强生态环境保护跨区域、跨流域、跨学科重点问题研究和生态环境共性关键技术联合攻关。</w:t>
      </w:r>
    </w:p>
    <w:p>
      <w:pPr>
        <w:pStyle w:val="4"/>
        <w:ind w:left="-3" w:firstLine="643"/>
      </w:pPr>
      <w:bookmarkStart w:id="650" w:name="_Toc112145780"/>
      <w:bookmarkStart w:id="651" w:name="_Toc98702646"/>
      <w:bookmarkStart w:id="652" w:name="_Toc114128862"/>
      <w:bookmarkStart w:id="653" w:name="_Toc111818708"/>
      <w:bookmarkStart w:id="654" w:name="_Toc111650486"/>
      <w:bookmarkStart w:id="655" w:name="_Toc111192884"/>
      <w:bookmarkStart w:id="656" w:name="_Toc27705"/>
      <w:r>
        <w:rPr>
          <w:rFonts w:hint="eastAsia"/>
        </w:rPr>
        <w:t>探索创建农业对外合作新模式</w:t>
      </w:r>
      <w:bookmarkEnd w:id="650"/>
      <w:bookmarkEnd w:id="651"/>
      <w:bookmarkEnd w:id="652"/>
      <w:bookmarkEnd w:id="653"/>
      <w:bookmarkEnd w:id="654"/>
      <w:bookmarkEnd w:id="655"/>
      <w:bookmarkEnd w:id="656"/>
    </w:p>
    <w:p>
      <w:pPr>
        <w:ind w:firstLine="640"/>
      </w:pPr>
      <w:r>
        <w:t>以新时代</w:t>
      </w:r>
      <w:r>
        <w:rPr>
          <w:rFonts w:hint="eastAsia"/>
        </w:rPr>
        <w:t>成渝双城经济圈建设</w:t>
      </w:r>
      <w:r>
        <w:t>为契机，推动</w:t>
      </w:r>
      <w:r>
        <w:rPr>
          <w:rFonts w:hint="eastAsia"/>
        </w:rPr>
        <w:t>井研</w:t>
      </w:r>
      <w:r>
        <w:t>现代农业对外开放水平进一步提升，促进农产品</w:t>
      </w:r>
      <w:r>
        <w:rPr>
          <w:rFonts w:hint="eastAsia"/>
        </w:rPr>
        <w:t>走出去、农技术引进来</w:t>
      </w:r>
      <w:r>
        <w:t>。探索创建农业自由贸易试验区，打造区域范围内具有影响力的农产品交易集散中心、优质农产品供应和战略储备中心、农产品物流中心等重要平台。培育农产品出口企业和基地，充分发挥其在农产品生产、加工、贸易等方面的示范引领作用。鼓励企业积极参加国际认证和注册，规范农产品生产、加工、出口各环节管理，推动形成一批出口农产品品牌。培育农产品跨境电商。强化农产品对外营销促销工作，组织企业、行业协会等参加各类线上线下农业展会活动，支持鼓励企业开拓海外市场。</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522" w:type="dxa"/>
            <w:shd w:val="clear" w:color="auto" w:fill="D8D8D8" w:themeFill="background1" w:themeFillShade="D9"/>
            <w:vAlign w:val="center"/>
          </w:tcPr>
          <w:p>
            <w:pPr>
              <w:pStyle w:val="74"/>
            </w:pPr>
            <w:r>
              <w:rPr>
                <w:rFonts w:hint="eastAsia"/>
              </w:rPr>
              <w:t>专栏</w:t>
            </w:r>
            <w:r>
              <w:t>10</w:t>
            </w:r>
            <w:r>
              <w:rPr>
                <w:rFonts w:hint="eastAsia"/>
              </w:rPr>
              <w:t>：全面深化农业农村改革重点项目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Pr>
          <w:p>
            <w:pPr>
              <w:pStyle w:val="72"/>
              <w:ind w:firstLine="482"/>
            </w:pPr>
            <w:r>
              <w:rPr>
                <w:rFonts w:hint="eastAsia"/>
                <w:b/>
              </w:rPr>
              <w:t>1</w:t>
            </w:r>
            <w:r>
              <w:rPr>
                <w:b/>
              </w:rPr>
              <w:t xml:space="preserve">. </w:t>
            </w:r>
            <w:r>
              <w:rPr>
                <w:rFonts w:hint="eastAsia"/>
                <w:b/>
              </w:rPr>
              <w:t>村集体建设用地整理再利用项目：</w:t>
            </w:r>
            <w:r>
              <w:rPr>
                <w:rFonts w:hint="eastAsia"/>
              </w:rPr>
              <w:t>开展</w:t>
            </w:r>
            <w:r>
              <w:rPr>
                <w:rFonts w:hint="eastAsia"/>
                <w:lang w:val="en-US" w:eastAsia="zh-CN"/>
              </w:rPr>
              <w:t>农</w:t>
            </w:r>
            <w:r>
              <w:rPr>
                <w:rFonts w:hint="eastAsia"/>
              </w:rPr>
              <w:t>村宅基地改革，盘活村集体建设用地，利用“四荒”地、养殖水面、人文历史等资产资源，发展现代农业、休闲农业和乡村旅游等项目，激活农村集体经济，鼓励将农村集体资产、资源入股参与农村新产业新业态发展，拓宽集体经济发展途径。</w:t>
            </w:r>
          </w:p>
          <w:p>
            <w:pPr>
              <w:pStyle w:val="72"/>
              <w:ind w:firstLine="482"/>
            </w:pPr>
            <w:r>
              <w:rPr>
                <w:b/>
              </w:rPr>
              <w:t xml:space="preserve">2. </w:t>
            </w:r>
            <w:r>
              <w:rPr>
                <w:rFonts w:hint="eastAsia"/>
                <w:b/>
              </w:rPr>
              <w:t>农村产权交易平台提升项目：</w:t>
            </w:r>
            <w:r>
              <w:rPr>
                <w:rFonts w:hint="eastAsia"/>
              </w:rPr>
              <w:t>建设农村产权交易大厅，购置相关的设施设备，保障农民和农村集体经济组织的财产权益，推动农村生产要素合理流动和优化配置。</w:t>
            </w:r>
          </w:p>
          <w:p>
            <w:pPr>
              <w:pStyle w:val="72"/>
              <w:ind w:firstLine="482"/>
            </w:pPr>
            <w:r>
              <w:rPr>
                <w:b/>
              </w:rPr>
              <w:t xml:space="preserve">3. </w:t>
            </w:r>
            <w:r>
              <w:rPr>
                <w:rFonts w:hint="eastAsia"/>
                <w:b/>
              </w:rPr>
              <w:t>城乡融合发展先行区建设项目：</w:t>
            </w:r>
            <w:r>
              <w:t>在</w:t>
            </w:r>
            <w:r>
              <w:rPr>
                <w:rFonts w:hint="eastAsia"/>
              </w:rPr>
              <w:t>研城街道、集益镇、千佛镇</w:t>
            </w:r>
            <w:r>
              <w:t>等区域建设城乡融合发展先行区</w:t>
            </w:r>
            <w:r>
              <w:rPr>
                <w:rFonts w:hint="eastAsia"/>
              </w:rPr>
              <w:t>。</w:t>
            </w:r>
          </w:p>
          <w:p>
            <w:pPr>
              <w:pStyle w:val="72"/>
              <w:ind w:firstLine="482"/>
              <w:rPr>
                <w:szCs w:val="16"/>
              </w:rPr>
            </w:pPr>
            <w:r>
              <w:rPr>
                <w:b/>
              </w:rPr>
              <w:t xml:space="preserve">4. </w:t>
            </w:r>
            <w:r>
              <w:rPr>
                <w:rFonts w:hint="eastAsia"/>
                <w:b/>
              </w:rPr>
              <w:t>涉农综合行政执法改革工程：</w:t>
            </w:r>
            <w:r>
              <w:rPr>
                <w:rFonts w:hint="eastAsia"/>
              </w:rPr>
              <w:t>开展农产品安全风险隐患排查，督促企业严格执行质量管理、溯源系统应用等各项规章规定，切实规范农资市场秩序，对已取得经营资质的农资经营企业（户）加强监管。</w:t>
            </w:r>
          </w:p>
        </w:tc>
      </w:tr>
    </w:tbl>
    <w:p>
      <w:pPr>
        <w:ind w:firstLine="640"/>
      </w:pPr>
    </w:p>
    <w:p>
      <w:pPr>
        <w:pStyle w:val="2"/>
        <w:spacing w:before="217" w:after="217"/>
        <w:ind w:firstLine="708" w:firstLineChars="196"/>
        <w:rPr>
          <w:rFonts w:ascii="黑体" w:hAnsi="黑体"/>
          <w:szCs w:val="36"/>
        </w:rPr>
      </w:pPr>
      <w:bookmarkStart w:id="657" w:name="_Toc14703"/>
      <w:r>
        <w:rPr>
          <w:rFonts w:hint="eastAsia"/>
        </w:rPr>
        <w:t>健全规划落实机制，</w:t>
      </w:r>
      <w:r>
        <w:rPr>
          <w:rFonts w:hint="eastAsia" w:ascii="黑体" w:hAnsi="黑体"/>
          <w:szCs w:val="36"/>
        </w:rPr>
        <w:t>保障规划顺利实施</w:t>
      </w:r>
      <w:bookmarkEnd w:id="657"/>
    </w:p>
    <w:p>
      <w:pPr>
        <w:ind w:firstLine="640"/>
      </w:pPr>
      <w:r>
        <w:rPr>
          <w:rFonts w:hint="eastAsia"/>
        </w:rPr>
        <w:t>坚持农业农村优先发展总方针，更新发展理念，突出政策导向，强化保障措施，推进制度创新，促进各类资源要素向农业农村倾斜。把实现农业农村现代化摆在优先位置，坚持党的领导，更好履行政府职责，凝聚各方力量，促进农业高质高效、乡村宜居宜业、农民富裕富足。</w:t>
      </w:r>
    </w:p>
    <w:p>
      <w:pPr>
        <w:pStyle w:val="3"/>
      </w:pPr>
      <w:bookmarkStart w:id="658" w:name="_Toc28605"/>
      <w:bookmarkStart w:id="659" w:name="_Toc72231564"/>
      <w:r>
        <w:rPr>
          <w:rFonts w:hint="eastAsia"/>
        </w:rPr>
        <w:t>加强组织领导</w:t>
      </w:r>
      <w:bookmarkEnd w:id="658"/>
      <w:bookmarkEnd w:id="659"/>
    </w:p>
    <w:p>
      <w:pPr>
        <w:ind w:firstLine="640"/>
      </w:pPr>
      <w:r>
        <w:rPr>
          <w:rFonts w:hint="eastAsia"/>
        </w:rPr>
        <w:t>强化党组织的核心作用，落实农业农村优先发展总方针，提高领导能力和水平，坚持党总揽全局、协调各方，健全党委统一领导、政府负责、涉农部门统筹协调的农村工作领导体制，为实现农业农村现代化提供坚强保证。</w:t>
      </w:r>
    </w:p>
    <w:p>
      <w:pPr>
        <w:ind w:firstLine="643"/>
      </w:pPr>
      <w:r>
        <w:rPr>
          <w:rFonts w:hint="eastAsia"/>
          <w:b/>
          <w:bCs/>
        </w:rPr>
        <w:t>一是强化组织领导。</w:t>
      </w:r>
      <w:r>
        <w:rPr>
          <w:rFonts w:hint="eastAsia"/>
        </w:rPr>
        <w:t>成立井研县</w:t>
      </w:r>
      <w:r>
        <w:rPr>
          <w:rFonts w:hint="eastAsia" w:ascii="仿宋_GB2312" w:hAnsi="仿宋"/>
        </w:rPr>
        <w:t>“</w:t>
      </w:r>
      <w:r>
        <w:rPr>
          <w:rFonts w:hint="eastAsia"/>
        </w:rPr>
        <w:t>十四五</w:t>
      </w:r>
      <w:r>
        <w:rPr>
          <w:rFonts w:hint="eastAsia" w:ascii="仿宋_GB2312" w:hAnsi="仿宋"/>
        </w:rPr>
        <w:t>”</w:t>
      </w:r>
      <w:r>
        <w:rPr>
          <w:rFonts w:hint="eastAsia"/>
        </w:rPr>
        <w:t>农业农村现代化规划实施推进领导小组，由</w:t>
      </w:r>
      <w:r>
        <w:rPr>
          <w:rFonts w:hint="eastAsia"/>
          <w:lang w:eastAsia="zh-CN"/>
        </w:rPr>
        <w:t>县委、县政府</w:t>
      </w:r>
      <w:r>
        <w:rPr>
          <w:rFonts w:hint="eastAsia"/>
        </w:rPr>
        <w:t>分管领导担任组长，提高对加快推进农业农村现代化的认识，把推进农业农村现代化作为</w:t>
      </w:r>
      <w:r>
        <w:rPr>
          <w:rFonts w:hint="eastAsia" w:ascii="仿宋_GB2312" w:hAnsi="仿宋"/>
        </w:rPr>
        <w:t>“</w:t>
      </w:r>
      <w:r>
        <w:rPr>
          <w:rFonts w:hint="eastAsia"/>
        </w:rPr>
        <w:t>三农</w:t>
      </w:r>
      <w:r>
        <w:rPr>
          <w:rFonts w:hint="eastAsia" w:ascii="仿宋_GB2312" w:hAnsi="仿宋"/>
        </w:rPr>
        <w:t>”</w:t>
      </w:r>
      <w:r>
        <w:rPr>
          <w:rFonts w:hint="eastAsia"/>
        </w:rPr>
        <w:t>工作的首要任务，切实加强领导，统筹协调规划实施过程中的各项工作，明确各部门责任分工，确保规划的各项任务的组织、跟踪和落实。</w:t>
      </w:r>
    </w:p>
    <w:p>
      <w:pPr>
        <w:ind w:firstLine="643"/>
      </w:pPr>
      <w:r>
        <w:rPr>
          <w:rFonts w:hint="eastAsia"/>
          <w:b/>
          <w:bCs/>
        </w:rPr>
        <w:t>二是加强统筹协调。</w:t>
      </w:r>
      <w:r>
        <w:rPr>
          <w:rFonts w:hint="eastAsia"/>
        </w:rPr>
        <w:t>建立完善领导小组联席会议制度，加强综合协调，强化部门之间的信息交流与会商制度，搞好协调配合，</w:t>
      </w:r>
      <w:r>
        <w:rPr>
          <w:rFonts w:hint="eastAsia"/>
          <w:lang w:eastAsia="zh-CN"/>
        </w:rPr>
        <w:t>增强</w:t>
      </w:r>
      <w:r>
        <w:rPr>
          <w:rFonts w:hint="eastAsia"/>
        </w:rPr>
        <w:t>服务意识，形成工作合力，切实承担职责，及时解决存在的问题，提高服务效率，使</w:t>
      </w:r>
      <w:r>
        <w:rPr>
          <w:rFonts w:hint="eastAsia" w:ascii="仿宋_GB2312" w:hAnsi="仿宋"/>
        </w:rPr>
        <w:t>“</w:t>
      </w:r>
      <w:r>
        <w:rPr>
          <w:rFonts w:hint="eastAsia"/>
        </w:rPr>
        <w:t>十四五</w:t>
      </w:r>
      <w:r>
        <w:rPr>
          <w:rFonts w:hint="eastAsia" w:ascii="仿宋_GB2312" w:hAnsi="仿宋"/>
        </w:rPr>
        <w:t>”</w:t>
      </w:r>
      <w:r>
        <w:rPr>
          <w:rFonts w:hint="eastAsia"/>
        </w:rPr>
        <w:t>规划各项工作任务全面完成。</w:t>
      </w:r>
    </w:p>
    <w:p>
      <w:pPr>
        <w:ind w:firstLine="643"/>
      </w:pPr>
      <w:r>
        <w:rPr>
          <w:rFonts w:hint="eastAsia"/>
          <w:b/>
          <w:bCs/>
        </w:rPr>
        <w:t>三是严格督查考核。</w:t>
      </w:r>
      <w:r>
        <w:rPr>
          <w:rFonts w:hint="eastAsia"/>
        </w:rPr>
        <w:t>建立农业农村现代化监测评价体系，确保统计数据的权威、准确和及时，建立规范任务落实情况督促检查和第三方评价机制，健全科学规范的行政问责制度。加强农业农村现代化发展实施考核和激励约束力度，建立推进相关工作的实绩考核制度，推动各项目标任务按照时间节点和计划要求规范有序落地落实。</w:t>
      </w:r>
    </w:p>
    <w:p>
      <w:pPr>
        <w:pStyle w:val="3"/>
      </w:pPr>
      <w:bookmarkStart w:id="660" w:name="_Toc16374"/>
      <w:bookmarkStart w:id="661" w:name="_Toc72231565"/>
      <w:r>
        <w:rPr>
          <w:rFonts w:hint="eastAsia"/>
        </w:rPr>
        <w:t>强化政策支持</w:t>
      </w:r>
      <w:bookmarkEnd w:id="660"/>
      <w:bookmarkEnd w:id="661"/>
    </w:p>
    <w:p>
      <w:pPr>
        <w:ind w:firstLine="640"/>
      </w:pPr>
      <w:r>
        <w:rPr>
          <w:rFonts w:hint="eastAsia"/>
        </w:rPr>
        <w:t>以农为本，重点衔接乡村振兴的各项政策支撑，健全农业农村投入、农业机械化水平提升、人才引进、农村土地流转及重大农业项目落地等各项政策保障机制，推动城乡要素双向流动，保障</w:t>
      </w:r>
      <w:r>
        <w:rPr>
          <w:rFonts w:hint="eastAsia" w:ascii="仿宋_GB2312" w:hAnsi="仿宋"/>
        </w:rPr>
        <w:t>“</w:t>
      </w:r>
      <w:r>
        <w:rPr>
          <w:rFonts w:hint="eastAsia"/>
        </w:rPr>
        <w:t>十四五</w:t>
      </w:r>
      <w:r>
        <w:rPr>
          <w:rFonts w:hint="eastAsia" w:ascii="仿宋_GB2312" w:hAnsi="仿宋"/>
        </w:rPr>
        <w:t>”</w:t>
      </w:r>
      <w:r>
        <w:rPr>
          <w:rFonts w:hint="eastAsia"/>
        </w:rPr>
        <w:t>农业农村现代化发展。</w:t>
      </w:r>
    </w:p>
    <w:p>
      <w:pPr>
        <w:ind w:firstLine="643"/>
      </w:pPr>
      <w:r>
        <w:rPr>
          <w:rFonts w:hint="eastAsia"/>
          <w:b/>
          <w:bCs/>
        </w:rPr>
        <w:t>一是完善农业支持保护政策。</w:t>
      </w:r>
      <w:r>
        <w:rPr>
          <w:rFonts w:hint="eastAsia"/>
        </w:rPr>
        <w:t>落实中央、省级和市级农业支持保护补贴、农机具购置补贴，完善林果等生产扶持政策。加大对适度规模经营的扶持力度，稳妥推进农业补贴改革，优化补贴支持方向，确定补贴范围、补贴额度，解决运行经费。进一步拓宽财政支农资金的渠道，持续增加农业基础设施建设、农业综合开发投入，完善促进农业科技进步、加强农民技能培训的投入机制，强化对农业结构调整、农业投入品等的支持。</w:t>
      </w:r>
    </w:p>
    <w:p>
      <w:pPr>
        <w:ind w:firstLine="643"/>
      </w:pPr>
      <w:r>
        <w:rPr>
          <w:rFonts w:hint="eastAsia"/>
          <w:b/>
          <w:bCs/>
        </w:rPr>
        <w:t>二是强化科技人才支撑。</w:t>
      </w:r>
      <w:r>
        <w:rPr>
          <w:rFonts w:hint="eastAsia"/>
        </w:rPr>
        <w:t>依托高校院所专家和科研团队，强化人才流动，加强技术指导和人才培训，为当地培养</w:t>
      </w:r>
      <w:r>
        <w:rPr>
          <w:rFonts w:hint="eastAsia" w:ascii="仿宋_GB2312" w:hAnsi="仿宋"/>
        </w:rPr>
        <w:t>“</w:t>
      </w:r>
      <w:r>
        <w:rPr>
          <w:rFonts w:hint="eastAsia"/>
        </w:rPr>
        <w:t>留得住</w:t>
      </w:r>
      <w:r>
        <w:rPr>
          <w:rFonts w:hint="eastAsia" w:ascii="仿宋_GB2312" w:hAnsi="仿宋"/>
        </w:rPr>
        <w:t>”</w:t>
      </w:r>
      <w:r>
        <w:rPr>
          <w:rFonts w:hint="eastAsia"/>
        </w:rPr>
        <w:t>的本地人才、乡土专家，解决现代农业发展中面临的各项技术性问题。实施</w:t>
      </w:r>
      <w:r>
        <w:rPr>
          <w:rFonts w:hint="eastAsia" w:ascii="仿宋_GB2312" w:hAnsi="仿宋"/>
        </w:rPr>
        <w:t>“</w:t>
      </w:r>
      <w:r>
        <w:rPr>
          <w:rFonts w:hint="eastAsia"/>
        </w:rPr>
        <w:t>科技特派员千人进千村行动</w:t>
      </w:r>
      <w:r>
        <w:rPr>
          <w:rFonts w:hint="eastAsia" w:ascii="仿宋_GB2312" w:hAnsi="仿宋"/>
        </w:rPr>
        <w:t>”</w:t>
      </w:r>
      <w:r>
        <w:rPr>
          <w:rFonts w:hint="eastAsia"/>
        </w:rPr>
        <w:t>，发挥好新引进博（硕）研究生在实施乡村振兴战略中的作用，引导和鼓励大学生返乡创业兴业，带领脱贫户发展产业，促进农村地区大众创业、万众创新。</w:t>
      </w:r>
    </w:p>
    <w:p>
      <w:pPr>
        <w:ind w:firstLine="643"/>
      </w:pPr>
      <w:r>
        <w:rPr>
          <w:rFonts w:hint="eastAsia"/>
          <w:b/>
          <w:bCs/>
        </w:rPr>
        <w:t>三是多举措保障重大农业项目用地。</w:t>
      </w:r>
      <w:r>
        <w:rPr>
          <w:rFonts w:hint="eastAsia"/>
        </w:rPr>
        <w:t>结合国土空间规划编制，调整优化土地资源配置，确保重大产业项目依法依规用地，争取重大农业项目用地需求纳入国土空间规划；通过土地整理，结合特色镇（街道）建设优化调配用地空间；以高标准农田新（改）建推进为契机，落实农业生产设施、附属设施及配套设施用地，支持设施农业健康发展。</w:t>
      </w:r>
    </w:p>
    <w:p>
      <w:pPr>
        <w:pStyle w:val="3"/>
      </w:pPr>
      <w:bookmarkStart w:id="662" w:name="_Toc20238"/>
      <w:bookmarkStart w:id="663" w:name="_Toc72231566"/>
      <w:r>
        <w:rPr>
          <w:rFonts w:hint="eastAsia"/>
        </w:rPr>
        <w:t>落实项目支撑</w:t>
      </w:r>
      <w:bookmarkEnd w:id="662"/>
      <w:bookmarkEnd w:id="663"/>
    </w:p>
    <w:p>
      <w:pPr>
        <w:ind w:firstLine="640"/>
      </w:pPr>
      <w:r>
        <w:rPr>
          <w:rFonts w:hint="eastAsia"/>
        </w:rPr>
        <w:t>科学规划为先导，一张蓝图绘到底，久久为功搞建设，牢固树立大抓项目、狠抓落实的工作导向，以项目建设为抓手推动各项决策部署落到实处，以重点项目为载体，支撑农业农村高质量发展。</w:t>
      </w:r>
    </w:p>
    <w:p>
      <w:pPr>
        <w:ind w:firstLine="643"/>
      </w:pPr>
      <w:r>
        <w:rPr>
          <w:rFonts w:hint="eastAsia"/>
          <w:b/>
          <w:bCs/>
        </w:rPr>
        <w:t>一是建立重点项目库。</w:t>
      </w:r>
      <w:r>
        <w:rPr>
          <w:rFonts w:hint="eastAsia"/>
        </w:rPr>
        <w:t>围绕规划目标和主要任务，积极推进一批全局性、基础性、战略性、造血型重点项目建设，作为规划实施的重要支撑。在基础产业发展、基础设施建设、农林和水利等领域谋划实施一批重点项目。加强重点项目储备，有序推进重点项目建设，形成</w:t>
      </w:r>
      <w:r>
        <w:rPr>
          <w:rFonts w:hint="eastAsia" w:ascii="仿宋_GB2312" w:hAnsi="仿宋"/>
        </w:rPr>
        <w:t>“</w:t>
      </w:r>
      <w:r>
        <w:rPr>
          <w:rFonts w:hint="eastAsia"/>
        </w:rPr>
        <w:t>储备一批、开工一批、建设一批、竣工一批</w:t>
      </w:r>
      <w:r>
        <w:rPr>
          <w:rFonts w:hint="eastAsia" w:ascii="仿宋_GB2312" w:hAnsi="仿宋"/>
        </w:rPr>
        <w:t>”</w:t>
      </w:r>
      <w:r>
        <w:rPr>
          <w:rFonts w:hint="eastAsia"/>
        </w:rPr>
        <w:t>的循环发展态势。力争更多项目纳入省、市重点项目计划。</w:t>
      </w:r>
    </w:p>
    <w:p>
      <w:pPr>
        <w:ind w:firstLine="643"/>
      </w:pPr>
      <w:r>
        <w:rPr>
          <w:rFonts w:hint="eastAsia"/>
          <w:b/>
          <w:bCs/>
        </w:rPr>
        <w:t>二是建立重点项目推进机制。</w:t>
      </w:r>
      <w:r>
        <w:rPr>
          <w:rFonts w:hint="eastAsia"/>
        </w:rPr>
        <w:t>抓好项目落地，建立重点项目推进机制，坚持</w:t>
      </w:r>
      <w:r>
        <w:rPr>
          <w:rFonts w:hint="eastAsia" w:ascii="仿宋_GB2312" w:hAnsi="仿宋"/>
        </w:rPr>
        <w:t>“</w:t>
      </w:r>
      <w:r>
        <w:rPr>
          <w:rFonts w:hint="eastAsia"/>
        </w:rPr>
        <w:t>重点突出、设置合理</w:t>
      </w:r>
      <w:r>
        <w:rPr>
          <w:rFonts w:hint="eastAsia" w:ascii="仿宋_GB2312" w:hAnsi="仿宋"/>
        </w:rPr>
        <w:t>”</w:t>
      </w:r>
      <w:r>
        <w:rPr>
          <w:rFonts w:hint="eastAsia"/>
        </w:rPr>
        <w:t>，确定路线图、时间表、任务书、责任状。健全项目管理体制机制，加大项目前期工作力度，按基本建设程序切实加强重点项目策划、招商、融资、报批报建等前期工作，扎实做好前期论证，提高项目建设方案科学性，保障项目前期工作进度和质量；建立项目推进责任制度，严格执行项目法人制、资本金制、招投标制、工程监理制、合同管理制等制度，完善项目管理目标考核、定期报告、督察督办等制度，规范项目管理。</w:t>
      </w:r>
    </w:p>
    <w:p>
      <w:pPr>
        <w:ind w:firstLine="643"/>
      </w:pPr>
      <w:r>
        <w:rPr>
          <w:rFonts w:hint="eastAsia"/>
          <w:b/>
          <w:bCs/>
        </w:rPr>
        <w:t>三是实行项目动态管理制度。</w:t>
      </w:r>
      <w:r>
        <w:rPr>
          <w:rFonts w:hint="eastAsia"/>
        </w:rPr>
        <w:t>建立适应全县农业和农村现代化发展需要的重点项目数据库，确保项目来源充足，力争更多项目纳入省、市重点项目计划；推行适时滚动调整，按照</w:t>
      </w:r>
      <w:r>
        <w:rPr>
          <w:rFonts w:hint="eastAsia"/>
          <w:lang w:eastAsia="zh-CN"/>
        </w:rPr>
        <w:t>县委、县政府</w:t>
      </w:r>
      <w:r>
        <w:rPr>
          <w:rFonts w:hint="eastAsia"/>
        </w:rPr>
        <w:t>部署做好重点项目规划的优化和滚动调整，体现重点项目计划的科学性和严肃性；抓好洽谈项目、签约项目、开工项目的跟踪和落实，积极协调项目建设中出现的困难和问题，确保项目早日建成投入使用。</w:t>
      </w:r>
    </w:p>
    <w:p>
      <w:pPr>
        <w:ind w:firstLine="643"/>
      </w:pPr>
      <w:r>
        <w:rPr>
          <w:rFonts w:hint="eastAsia"/>
          <w:b/>
          <w:bCs/>
        </w:rPr>
        <w:t>四是实施项目公示制度。</w:t>
      </w:r>
      <w:r>
        <w:rPr>
          <w:rFonts w:hint="eastAsia"/>
        </w:rPr>
        <w:t>积极推行投资项目后评估，完善责任追究制度，提高项目决策水平。在科学定位、合理规划、瞄准目标、凝练方向、突出重点的基础上，公示项目的建设意义、建设内容、经费预算、设备购置、预期总体建设目标以及项目节点安排等。</w:t>
      </w:r>
    </w:p>
    <w:p>
      <w:pPr>
        <w:pStyle w:val="3"/>
      </w:pPr>
      <w:bookmarkStart w:id="664" w:name="_Toc22256"/>
      <w:bookmarkStart w:id="665" w:name="_Toc72231567"/>
      <w:r>
        <w:rPr>
          <w:rFonts w:hint="eastAsia"/>
        </w:rPr>
        <w:t>健全投入机制</w:t>
      </w:r>
      <w:bookmarkEnd w:id="664"/>
      <w:bookmarkEnd w:id="665"/>
    </w:p>
    <w:p>
      <w:pPr>
        <w:ind w:firstLine="640"/>
        <w:rPr>
          <w:rFonts w:ascii="仿宋_GB2312"/>
        </w:rPr>
      </w:pPr>
      <w:r>
        <w:rPr>
          <w:rFonts w:hint="eastAsia" w:ascii="仿宋_GB2312"/>
        </w:rPr>
        <w:t>结合现代农业建设重点任务，建立健全农业投入稳定、多元的</w:t>
      </w:r>
      <w:r>
        <w:rPr>
          <w:rFonts w:hint="eastAsia" w:ascii="仿宋_GB2312" w:hAnsi="微软雅黑" w:cs="微软雅黑"/>
        </w:rPr>
        <w:t>增</w:t>
      </w:r>
      <w:r>
        <w:rPr>
          <w:rFonts w:hint="eastAsia" w:ascii="仿宋_GB2312"/>
        </w:rPr>
        <w:t>长机制，加大有效投入，增加财政预算安排，不断</w:t>
      </w:r>
      <w:r>
        <w:rPr>
          <w:rFonts w:hint="eastAsia" w:ascii="仿宋_GB2312" w:hAnsi="微软雅黑" w:cs="微软雅黑"/>
        </w:rPr>
        <w:t>增强</w:t>
      </w:r>
      <w:r>
        <w:rPr>
          <w:rFonts w:hint="eastAsia" w:ascii="仿宋_GB2312"/>
        </w:rPr>
        <w:t>农业发展后劲。</w:t>
      </w:r>
    </w:p>
    <w:p>
      <w:pPr>
        <w:ind w:firstLine="643"/>
      </w:pPr>
      <w:r>
        <w:rPr>
          <w:rFonts w:hint="eastAsia"/>
          <w:b/>
          <w:bCs/>
        </w:rPr>
        <w:t>一是确保财政投入持续增长。</w:t>
      </w:r>
      <w:r>
        <w:rPr>
          <w:rFonts w:hint="eastAsia"/>
        </w:rPr>
        <w:t>依托政策支持，使财政支农投入总量明显增加，增幅明显提升，比例明显提高。建立健全农业农村现代化发展财政投入保障制度，公共财政更大力度向</w:t>
      </w:r>
      <w:r>
        <w:rPr>
          <w:rFonts w:hint="eastAsia" w:ascii="仿宋_GB2312" w:hAnsi="仿宋"/>
        </w:rPr>
        <w:t>“</w:t>
      </w:r>
      <w:r>
        <w:rPr>
          <w:rFonts w:hint="eastAsia"/>
        </w:rPr>
        <w:t>三农</w:t>
      </w:r>
      <w:r>
        <w:rPr>
          <w:rFonts w:hint="eastAsia" w:ascii="仿宋_GB2312" w:hAnsi="仿宋"/>
        </w:rPr>
        <w:t>”</w:t>
      </w:r>
      <w:r>
        <w:rPr>
          <w:rFonts w:hint="eastAsia"/>
        </w:rPr>
        <w:t>倾斜，确保财政投入与农业农村现代化目标任务相适应。对中央、省、市出台的各项支农惠农扶持政策，不折不扣落实到位，让农民真正得到实惠。发挥政府在支持现代农业重大科技攻关、技术推广体系、农业基础设施建设中的主导作用，认真研究粮食增产提质、农村基础设施建设、改善民生等方面政策，有的放矢编制申报项目，多争取上级支持。</w:t>
      </w:r>
    </w:p>
    <w:p>
      <w:pPr>
        <w:ind w:firstLine="643"/>
      </w:pPr>
      <w:r>
        <w:rPr>
          <w:rFonts w:hint="eastAsia"/>
          <w:b/>
          <w:bCs/>
        </w:rPr>
        <w:t>二是吸引资本拓宽融资渠道。</w:t>
      </w:r>
      <w:r>
        <w:rPr>
          <w:rFonts w:hint="eastAsia"/>
        </w:rPr>
        <w:t>吸引社会资本投资农业农村建设，因地制宜、因势利导，加大农业产业招大引强力度，利用外来资金、规模和管理推动全县农业农村现代化发展。通过财政资金撬动金融和社会资本，盘活农村资产资源，吸收各类文创、农业企业投资，为高品质乡村建设注入强劲发展动力，拓宽乡村建设视野，凝聚乡村振兴人才。通过政府与社会资本合作、政府购买服务、担保贴息、以奖代补、民办公助、风险补偿等措施，带动金融和社会资本投向农业农村，发挥财政资金的引导和杠杆作用。</w:t>
      </w:r>
    </w:p>
    <w:p>
      <w:pPr>
        <w:ind w:firstLine="643"/>
      </w:pPr>
      <w:r>
        <w:rPr>
          <w:rFonts w:hint="eastAsia"/>
          <w:b/>
          <w:bCs/>
        </w:rPr>
        <w:t>三是完善金融服务水平。</w:t>
      </w:r>
      <w:r>
        <w:rPr>
          <w:rFonts w:hint="eastAsia"/>
        </w:rPr>
        <w:t>提高金融服务水平，把更多金融资源配置到农村经济社会发展的重点领域和薄弱环节，更好满足乡村振兴多样化金融需求。建立</w:t>
      </w:r>
      <w:r>
        <w:rPr>
          <w:rFonts w:hint="eastAsia" w:ascii="仿宋_GB2312"/>
        </w:rPr>
        <w:t>“信贷+担保+保险”</w:t>
      </w:r>
      <w:r>
        <w:rPr>
          <w:rFonts w:hint="eastAsia"/>
        </w:rPr>
        <w:t>支持体系，推进</w:t>
      </w:r>
      <w:r>
        <w:rPr>
          <w:rFonts w:hint="eastAsia" w:ascii="仿宋_GB2312" w:hAnsi="仿宋"/>
        </w:rPr>
        <w:t>“</w:t>
      </w:r>
      <w:r>
        <w:rPr>
          <w:rFonts w:hint="eastAsia"/>
        </w:rPr>
        <w:t>农信担</w:t>
      </w:r>
      <w:r>
        <w:rPr>
          <w:rFonts w:hint="eastAsia" w:ascii="仿宋_GB2312" w:hAnsi="仿宋"/>
        </w:rPr>
        <w:t>”</w:t>
      </w:r>
      <w:r>
        <w:rPr>
          <w:rFonts w:hint="eastAsia"/>
        </w:rPr>
        <w:t>服务网络向基层延伸，重点解决农户、农业龙头企业、农民专业合作社发展过程中贷款难、担保难问题。创新农业保险机制，扩大农业保险品种覆盖面，创新开展土地流转保险试点。</w:t>
      </w:r>
    </w:p>
    <w:p>
      <w:pPr>
        <w:ind w:firstLine="643"/>
      </w:pPr>
      <w:r>
        <w:rPr>
          <w:rFonts w:hint="eastAsia"/>
          <w:b/>
          <w:bCs/>
        </w:rPr>
        <w:t>四是整合资本发挥最大效益。</w:t>
      </w:r>
      <w:r>
        <w:rPr>
          <w:rFonts w:hint="eastAsia"/>
        </w:rPr>
        <w:t>按照</w:t>
      </w:r>
      <w:r>
        <w:rPr>
          <w:rFonts w:hint="eastAsia" w:ascii="仿宋_GB2312" w:hAnsi="仿宋"/>
        </w:rPr>
        <w:t>“</w:t>
      </w:r>
      <w:r>
        <w:rPr>
          <w:rFonts w:hint="eastAsia"/>
        </w:rPr>
        <w:t>渠道不变、管理不变、定向使用、各计其功</w:t>
      </w:r>
      <w:r>
        <w:rPr>
          <w:rFonts w:hint="eastAsia" w:ascii="仿宋_GB2312" w:hAnsi="仿宋"/>
        </w:rPr>
        <w:t>”</w:t>
      </w:r>
      <w:r>
        <w:rPr>
          <w:rFonts w:hint="eastAsia"/>
        </w:rPr>
        <w:t>原则，整合各类财政资金，集中力量办大事，同时发挥财政资金的引导和杠杆作用，加大政策性金融机构支农力度，引导社会投入。发挥贷款机构功能，增加信贷投入，为农业发展注入内在动力和活力。</w:t>
      </w:r>
    </w:p>
    <w:p>
      <w:pPr>
        <w:pStyle w:val="3"/>
      </w:pPr>
      <w:bookmarkStart w:id="666" w:name="_Toc17022"/>
      <w:r>
        <w:rPr>
          <w:rFonts w:hint="eastAsia"/>
        </w:rPr>
        <w:t>完善管护机制</w:t>
      </w:r>
      <w:bookmarkEnd w:id="666"/>
    </w:p>
    <w:p>
      <w:pPr>
        <w:ind w:firstLine="640"/>
      </w:pPr>
      <w:r>
        <w:rPr>
          <w:rFonts w:hint="eastAsia"/>
        </w:rPr>
        <w:t>为进一步规范农业农村项目建后工程管护工作，确保正常运转，长期发挥效益，结合本县实际，建立完善管护机制。</w:t>
      </w:r>
    </w:p>
    <w:p>
      <w:pPr>
        <w:ind w:firstLine="643"/>
      </w:pPr>
      <w:r>
        <w:rPr>
          <w:rFonts w:hint="eastAsia"/>
          <w:b/>
          <w:bCs/>
        </w:rPr>
        <w:t>一是完善高标准农田建后管护机制。</w:t>
      </w:r>
      <w:r>
        <w:rPr>
          <w:rFonts w:hint="eastAsia"/>
        </w:rPr>
        <w:t>按照“建管结合、综合施策”的原则，建立高标准农田管护制度，要求高标准农田原则上全部用于粮食生产，对不同类型工程，按照管护制度，签订管护合同，安排专人负责工程的管护，对已建成的高标准农田设施设备（包括田间道路、田间水利设施、灌排渠道、引水输水管道、下田通道、机耕桥、提灌站、涵管等）进行管理、维护、养护等工作，确保工程建成后发挥长效作用。成立整治巡查督导组，对高标准农田建设管护开展跟踪问效，切实推动工作落地落细落实，</w:t>
      </w:r>
      <w:r>
        <w:rPr>
          <w:rFonts w:hint="eastAsia"/>
          <w:highlight w:val="none"/>
        </w:rPr>
        <w:t>加大高标准农田</w:t>
      </w:r>
      <w:r>
        <w:rPr>
          <w:rFonts w:hint="eastAsia"/>
          <w:highlight w:val="none"/>
          <w:lang w:val="en-US" w:eastAsia="zh-CN"/>
        </w:rPr>
        <w:t>建设后</w:t>
      </w:r>
      <w:r>
        <w:rPr>
          <w:rFonts w:hint="eastAsia"/>
          <w:highlight w:val="none"/>
        </w:rPr>
        <w:t>撂荒处罚力度，</w:t>
      </w:r>
      <w:r>
        <w:rPr>
          <w:rFonts w:hint="eastAsia"/>
        </w:rPr>
        <w:t>明确撂荒处罚办法，对撂荒农田，根据情况，取消补贴或收回发包。广泛宣传处罚办法，引导群众有序使用和管护高标准农田，保持高标准农田设施发挥项目原设计功能和经济社会效益，不断提高农产品有效供给能力，夯实粮食安全基础。</w:t>
      </w:r>
    </w:p>
    <w:p>
      <w:pPr>
        <w:pStyle w:val="16"/>
        <w:ind w:firstLine="643"/>
        <w:rPr>
          <w:rFonts w:ascii="Times New Roman" w:hAnsi="Times New Roman"/>
          <w:szCs w:val="22"/>
        </w:rPr>
      </w:pPr>
      <w:r>
        <w:rPr>
          <w:rFonts w:hint="eastAsia"/>
          <w:b/>
          <w:bCs/>
        </w:rPr>
        <w:t>二是完善农田水利建设项目管护机制。</w:t>
      </w:r>
      <w:r>
        <w:rPr>
          <w:rFonts w:hint="eastAsia"/>
        </w:rPr>
        <w:t>针对农田水利管护成立领导小组，</w:t>
      </w:r>
      <w:r>
        <w:rPr>
          <w:rFonts w:hint="eastAsia" w:ascii="Times New Roman" w:hAnsi="Times New Roman"/>
          <w:szCs w:val="22"/>
        </w:rPr>
        <w:t>要求相关灌区管理单位、受益乡镇及水利工程管理单位建立和完善春灌用水管水组织机构，健全和完善各种用水规章制度，做好机构、人员及措施的落实工作。抓好各类水利工程的岁修及水毁工程的修复整治和渠道的疏淘工作，全面检修工程设备。管理单位对各级渠道的闸门、机电设备等工程设施进行全面检查和维修，及时消除隐患，确保工程设备正常运行，为调水输水畅通提供良好的工程保障。合理制定用水计划，科学调水。按照高效调水、节约用水的原则，督促和指导各管理单位及早谋划，根据各乡镇实际制定配水计划及农田灌溉安排，细化放水计划，确保灌溉用水。进一步加强用水指导。管理单位、受益乡镇及水利工程管理单位精心组织护水队伍，落实24小时送水护水措施，协调各乡镇、村组用水调度，杜绝浪费水资源现象发生，积极化解用水矛盾纠纷，做到节约用水、和谐用水。</w:t>
      </w:r>
    </w:p>
    <w:p>
      <w:pPr>
        <w:pStyle w:val="16"/>
        <w:ind w:firstLine="643"/>
      </w:pPr>
      <w:r>
        <w:rPr>
          <w:rFonts w:hint="eastAsia"/>
          <w:b/>
          <w:bCs/>
        </w:rPr>
        <w:t>三是建立完善“巡查+考核+管护”机制，全面压实工作责任。</w:t>
      </w:r>
      <w:r>
        <w:rPr>
          <w:rFonts w:hint="eastAsia"/>
        </w:rPr>
        <w:t>完善建立镇村两级巡查制度。镇级划分三个巡查网格，组成巡查队，每周将网格开展巡查，网格每两个月轮换一次，引导合理竞争；村班子成员组成村级巡查队，实施划片包干管理，每天对保洁员工作情况进行巡视，实现网格化管理不留死角。完善建立日常考核机制，将人居环境作为考核的重要指标，采取随机抽查、交叉检查、12345投诉举报等形式对村日常管护进行考核打分，增强村级开展工作的紧迫感和积极性。完善建立公共设施管护制度，合理布局村级集中堆草地，加强对垃圾桶等公共设施管护力度，建立全镇统一采购、更换、维修机制，配套制定损坏公共设施的村规民约，维护好公共设施。</w:t>
      </w:r>
    </w:p>
    <w:p>
      <w:pPr>
        <w:pStyle w:val="3"/>
      </w:pPr>
      <w:bookmarkStart w:id="667" w:name="_Toc72231568"/>
      <w:bookmarkStart w:id="668" w:name="_Toc20005"/>
      <w:r>
        <w:rPr>
          <w:rFonts w:hint="eastAsia"/>
        </w:rPr>
        <w:t>加强宣传引导</w:t>
      </w:r>
      <w:bookmarkEnd w:id="667"/>
      <w:bookmarkEnd w:id="668"/>
    </w:p>
    <w:p>
      <w:pPr>
        <w:ind w:firstLine="640"/>
      </w:pPr>
      <w:r>
        <w:rPr>
          <w:rFonts w:hint="eastAsia"/>
        </w:rPr>
        <w:t>完善农民引导参与机制，充分尊重群众意愿，拓宽参与渠道，通过先建后补、以工代赈、以奖代补、</w:t>
      </w:r>
      <w:r>
        <w:rPr>
          <w:rFonts w:hint="eastAsia" w:ascii="仿宋_GB2312" w:hAnsi="仿宋"/>
        </w:rPr>
        <w:t>“</w:t>
      </w:r>
      <w:r>
        <w:rPr>
          <w:rFonts w:hint="eastAsia"/>
        </w:rPr>
        <w:t>一事一议</w:t>
      </w:r>
      <w:r>
        <w:rPr>
          <w:rFonts w:hint="eastAsia" w:ascii="仿宋_GB2312" w:hAnsi="仿宋"/>
        </w:rPr>
        <w:t>”</w:t>
      </w:r>
      <w:r>
        <w:rPr>
          <w:rFonts w:hint="eastAsia"/>
        </w:rPr>
        <w:t>等方式，在基础设施建设、产业发展、农产品市场开拓上，引导农民和村级组织全程参与，使广大农民有效参与农业农村发展的决策和监督。依托网络直播、小视频等新媒介和广播、电视等传统宣传媒介，广泛宣传农业农村相关政策和生动实践经验，选择群众满意、社会认可的正面典型作深度报道，推广好经验、好做法，提振精气神，弘扬正能量，营造全社会关心支持农业农村的良好氛围，形成群策群力、共建共享的农业农村发展新格局。</w:t>
      </w:r>
    </w:p>
    <w:p>
      <w:pPr>
        <w:widowControl/>
        <w:adjustRightInd/>
        <w:snapToGrid/>
        <w:spacing w:line="240" w:lineRule="auto"/>
        <w:ind w:firstLine="0" w:firstLineChars="0"/>
        <w:jc w:val="left"/>
        <w:sectPr>
          <w:headerReference r:id="rId16" w:type="default"/>
          <w:footerReference r:id="rId17" w:type="default"/>
          <w:pgSz w:w="11906" w:h="16838"/>
          <w:pgMar w:top="1531" w:right="1588" w:bottom="1418" w:left="1701" w:header="680" w:footer="907" w:gutter="0"/>
          <w:pgNumType w:start="1"/>
          <w:cols w:space="425" w:num="1"/>
          <w:docGrid w:type="lines" w:linePitch="435" w:charSpace="0"/>
        </w:sectPr>
      </w:pPr>
    </w:p>
    <w:p>
      <w:pPr>
        <w:pStyle w:val="2"/>
        <w:pageBreakBefore w:val="0"/>
        <w:numPr>
          <w:ilvl w:val="0"/>
          <w:numId w:val="0"/>
        </w:numPr>
        <w:spacing w:before="217" w:after="217"/>
        <w:rPr>
          <w:szCs w:val="52"/>
        </w:rPr>
      </w:pPr>
      <w:bookmarkStart w:id="669" w:name="_Toc79489140"/>
      <w:bookmarkStart w:id="670" w:name="_Toc89109723"/>
      <w:bookmarkStart w:id="671" w:name="_Toc87520232"/>
      <w:bookmarkStart w:id="672" w:name="_Toc95909196"/>
      <w:bookmarkStart w:id="673" w:name="_Toc87620128"/>
      <w:bookmarkStart w:id="674" w:name="_Toc91085786"/>
      <w:bookmarkStart w:id="675" w:name="_Toc89069083"/>
      <w:bookmarkStart w:id="676" w:name="_Toc109303166"/>
      <w:bookmarkStart w:id="677" w:name="_Toc87603974"/>
      <w:bookmarkStart w:id="678" w:name="_Toc89873862"/>
      <w:bookmarkStart w:id="679" w:name="_Toc79046218"/>
      <w:bookmarkStart w:id="680" w:name="_Toc94443981"/>
      <w:bookmarkStart w:id="681" w:name="_Toc75797310"/>
      <w:bookmarkStart w:id="682" w:name="_Toc30832"/>
      <w:r>
        <w:rPr>
          <w:rFonts w:hint="eastAsia"/>
          <w:szCs w:val="52"/>
        </w:rPr>
        <w:t>附件1：《井研县“十四五”推进农业农村现代化规划》</w:t>
      </w:r>
      <w:bookmarkEnd w:id="669"/>
      <w:bookmarkEnd w:id="670"/>
      <w:bookmarkEnd w:id="671"/>
      <w:bookmarkEnd w:id="672"/>
      <w:bookmarkEnd w:id="673"/>
      <w:bookmarkEnd w:id="674"/>
      <w:bookmarkEnd w:id="675"/>
      <w:bookmarkEnd w:id="676"/>
      <w:bookmarkEnd w:id="677"/>
      <w:bookmarkEnd w:id="678"/>
      <w:bookmarkEnd w:id="679"/>
      <w:bookmarkEnd w:id="680"/>
      <w:bookmarkEnd w:id="681"/>
      <w:bookmarkStart w:id="683" w:name="_Toc70341591"/>
      <w:bookmarkStart w:id="684" w:name="_Toc109303167"/>
      <w:bookmarkStart w:id="685" w:name="_Toc69833274"/>
      <w:bookmarkStart w:id="686" w:name="_Toc79046219"/>
      <w:bookmarkStart w:id="687" w:name="_Toc450062905"/>
      <w:bookmarkStart w:id="688" w:name="_Toc79489141"/>
      <w:r>
        <w:rPr>
          <w:rFonts w:hint="eastAsia"/>
          <w:szCs w:val="52"/>
        </w:rPr>
        <w:t>环境影响评价报告</w:t>
      </w:r>
      <w:bookmarkEnd w:id="682"/>
      <w:bookmarkEnd w:id="683"/>
      <w:bookmarkEnd w:id="684"/>
      <w:bookmarkEnd w:id="685"/>
      <w:bookmarkEnd w:id="686"/>
      <w:bookmarkEnd w:id="687"/>
      <w:bookmarkEnd w:id="688"/>
    </w:p>
    <w:p>
      <w:pPr>
        <w:ind w:firstLine="640"/>
        <w:rPr>
          <w:rFonts w:ascii="仿宋_GB2312" w:hAnsi="仿宋_GB2312" w:cs="仿宋_GB2312"/>
        </w:rPr>
      </w:pPr>
      <w:r>
        <w:rPr>
          <w:rFonts w:hint="eastAsia" w:ascii="仿宋_GB2312" w:hAnsi="仿宋_GB2312" w:cs="仿宋_GB2312"/>
        </w:rPr>
        <w:t>农业生态环境是农业农村经济发展的基础，直接关系到农业农村的兴衰。深入分析全县农业农村环境现状，科学研判农业农村环境发展趋势，实事求是分析实施重大工程项目对环境的影响，提出影响控制措施，</w:t>
      </w:r>
      <w:r>
        <w:rPr>
          <w:rFonts w:hint="eastAsia" w:ascii="仿宋_GB2312" w:hAnsi="仿宋_GB2312" w:cs="仿宋_GB2312"/>
          <w:lang w:eastAsia="zh-CN"/>
        </w:rPr>
        <w:t>作出评价</w:t>
      </w:r>
      <w:r>
        <w:rPr>
          <w:rFonts w:hint="eastAsia" w:ascii="仿宋_GB2312" w:hAnsi="仿宋_GB2312" w:cs="仿宋_GB2312"/>
        </w:rPr>
        <w:t>结论。</w:t>
      </w:r>
    </w:p>
    <w:p>
      <w:pPr>
        <w:spacing w:before="87" w:beforeLines="20" w:line="240" w:lineRule="auto"/>
        <w:ind w:firstLine="0" w:firstLineChars="0"/>
        <w:jc w:val="center"/>
        <w:rPr>
          <w:rFonts w:ascii="黑体" w:hAnsi="黑体" w:eastAsia="黑体"/>
          <w:b/>
          <w:bCs/>
        </w:rPr>
      </w:pPr>
      <w:bookmarkStart w:id="689" w:name="_Toc89109725"/>
      <w:bookmarkStart w:id="690" w:name="_Toc89873864"/>
      <w:bookmarkStart w:id="691" w:name="_Toc87520234"/>
      <w:bookmarkStart w:id="692" w:name="_Toc95909198"/>
      <w:bookmarkStart w:id="693" w:name="_Toc75797312"/>
      <w:bookmarkStart w:id="694" w:name="_Toc91085788"/>
      <w:bookmarkStart w:id="695" w:name="_Toc89069085"/>
      <w:bookmarkStart w:id="696" w:name="_Toc87620130"/>
      <w:bookmarkStart w:id="697" w:name="_Toc79046220"/>
      <w:bookmarkStart w:id="698" w:name="_Toc87517166"/>
      <w:bookmarkStart w:id="699" w:name="_Toc79489142"/>
      <w:bookmarkStart w:id="700" w:name="_Toc105447045"/>
      <w:bookmarkStart w:id="701" w:name="_Toc109303168"/>
      <w:bookmarkStart w:id="702" w:name="_Toc87603976"/>
      <w:bookmarkStart w:id="703" w:name="_Toc106200162"/>
      <w:bookmarkStart w:id="704" w:name="_Toc94443983"/>
      <w:r>
        <w:rPr>
          <w:rFonts w:hint="eastAsia" w:ascii="黑体" w:hAnsi="黑体" w:eastAsia="黑体"/>
          <w:b/>
          <w:bCs/>
        </w:rPr>
        <w:t xml:space="preserve">第一章 </w:t>
      </w:r>
      <w:r>
        <w:rPr>
          <w:rFonts w:ascii="黑体" w:hAnsi="黑体" w:eastAsia="黑体"/>
          <w:b/>
          <w:bCs/>
        </w:rPr>
        <w:t xml:space="preserve"> </w:t>
      </w:r>
      <w:r>
        <w:rPr>
          <w:rFonts w:hint="eastAsia" w:ascii="黑体" w:hAnsi="黑体" w:eastAsia="黑体"/>
          <w:b/>
          <w:bCs/>
        </w:rPr>
        <w:t>农业农村环境现状</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ind w:firstLine="643"/>
        <w:rPr>
          <w:rFonts w:ascii="仿宋_GB2312" w:hAnsi="仿宋_GB2312" w:cs="仿宋_GB2312"/>
        </w:rPr>
      </w:pPr>
      <w:r>
        <w:rPr>
          <w:rFonts w:hint="eastAsia" w:ascii="仿宋_GB2312" w:hAnsi="仿宋_GB2312" w:cs="仿宋_GB2312"/>
          <w:b/>
          <w:bCs/>
        </w:rPr>
        <w:t>（一）农业农村环境总体现状。</w:t>
      </w:r>
      <w:r>
        <w:rPr>
          <w:rFonts w:hint="eastAsia" w:ascii="仿宋_GB2312" w:hAnsi="仿宋_GB2312" w:cs="仿宋_GB2312"/>
        </w:rPr>
        <w:t>全县农业资源环境禀赋良好，农业生态环境优势明显，全年四季分明，雨量充沛，日照充足，气候温和，农业面源污染和畜牧业点源污染均在可控范围之内，化肥、农药、饲料、兽药以及添加剂使用都按照有关规定使用，畜禽粪便排放和治理总体上严格按照环保有关要求进行治理，农业整体环境步入友好性循环生产状态，当前全县农业环境质量现状总体较好。</w:t>
      </w:r>
    </w:p>
    <w:p>
      <w:pPr>
        <w:ind w:firstLine="643"/>
        <w:rPr>
          <w:rFonts w:ascii="仿宋_GB2312" w:hAnsi="仿宋_GB2312" w:cs="仿宋_GB2312"/>
          <w:highlight w:val="yellow"/>
        </w:rPr>
      </w:pPr>
      <w:r>
        <w:rPr>
          <w:rFonts w:hint="eastAsia" w:ascii="仿宋_GB2312" w:hAnsi="仿宋_GB2312" w:cs="仿宋_GB2312"/>
          <w:b/>
          <w:bCs/>
        </w:rPr>
        <w:t>（二）农业生产环境治理现状。</w:t>
      </w:r>
      <w:r>
        <w:rPr>
          <w:rFonts w:hint="eastAsia" w:ascii="仿宋_GB2312" w:hAnsi="仿宋_GB2312" w:cs="仿宋_GB2312"/>
        </w:rPr>
        <w:t>近年来，全县加快推进畜禽粪污资源化利用整县推进项目，完成120家规模化养殖场改造建设任务、3家有机肥厂改造、大沼项目设计年收集处理畜禽养殖粪污27.4万吨。全县243家规模养殖场粪污设施设备配备率达100%。畜禽粪污资源化利用率提高到了</w:t>
      </w:r>
      <w:r>
        <w:rPr>
          <w:rFonts w:ascii="仿宋_GB2312" w:hAnsi="仿宋_GB2312" w:cs="仿宋_GB2312"/>
        </w:rPr>
        <w:t>95</w:t>
      </w:r>
      <w:r>
        <w:rPr>
          <w:rFonts w:hint="eastAsia" w:ascii="仿宋_GB2312" w:hAnsi="仿宋_GB2312" w:cs="仿宋_GB2312"/>
        </w:rPr>
        <w:t>%。在全县再生资源回收门市等设立废旧农膜回收点27个，加强农业固废物回收处理，为回收废弃农膜提供便利。2021年废旧农膜回收利用率达到87.6%，农作物秸秆综合利用率达92%。</w:t>
      </w:r>
    </w:p>
    <w:p>
      <w:pPr>
        <w:ind w:firstLine="643"/>
        <w:rPr>
          <w:rFonts w:ascii="仿宋_GB2312" w:hAnsi="仿宋_GB2312" w:cs="仿宋_GB2312"/>
        </w:rPr>
      </w:pPr>
      <w:r>
        <w:rPr>
          <w:rFonts w:hint="eastAsia" w:ascii="仿宋_GB2312" w:hAnsi="仿宋_GB2312" w:cs="仿宋_GB2312"/>
          <w:b/>
          <w:bCs/>
        </w:rPr>
        <w:t>（三）农村人居环境整治现状。</w:t>
      </w:r>
      <w:r>
        <w:rPr>
          <w:rFonts w:hint="eastAsia" w:ascii="仿宋_GB2312" w:hAnsi="仿宋_GB2312" w:cs="仿宋_GB2312"/>
        </w:rPr>
        <w:t>截至目前，全县生活垃圾收集转运处置率达100%，覆盖了15个镇（街道）的</w:t>
      </w:r>
      <w:r>
        <w:rPr>
          <w:rFonts w:ascii="仿宋_GB2312" w:hAnsi="仿宋_GB2312" w:cs="仿宋_GB2312"/>
        </w:rPr>
        <w:t>96</w:t>
      </w:r>
      <w:r>
        <w:rPr>
          <w:rFonts w:hint="eastAsia" w:ascii="仿宋_GB2312" w:hAnsi="仿宋_GB2312" w:cs="仿宋_GB2312"/>
        </w:rPr>
        <w:t>个村（社区），形成了“户分类、村收集、镇转运、县处理”的城乡垃圾一体化处理模式，农村生活垃圾收集率达到85%以上，无害化处理率达100%。全县农村卫生厕所达标率提升至90%以上（95.8%），有独立、管理良好、干净整洁、粪污得到有效处理的农村公共厕所村占比100%。全县生活污水得到有效处理的村占比35%。乡村风貌不断改善，建成“美丽四川·宜居乡村”91个，市级以上幸福美丽新村44个。</w:t>
      </w:r>
    </w:p>
    <w:p>
      <w:pPr>
        <w:spacing w:before="87" w:beforeLines="20" w:line="240" w:lineRule="auto"/>
        <w:ind w:firstLine="0" w:firstLineChars="0"/>
        <w:jc w:val="center"/>
        <w:rPr>
          <w:rFonts w:ascii="黑体" w:hAnsi="黑体" w:eastAsia="黑体"/>
          <w:b/>
          <w:bCs/>
        </w:rPr>
      </w:pPr>
      <w:bookmarkStart w:id="705" w:name="_Toc95909199"/>
      <w:bookmarkStart w:id="706" w:name="_Toc109303169"/>
      <w:bookmarkStart w:id="707" w:name="_Toc87620131"/>
      <w:bookmarkStart w:id="708" w:name="_Toc87517167"/>
      <w:bookmarkStart w:id="709" w:name="_Toc105447046"/>
      <w:bookmarkStart w:id="710" w:name="_Toc106200163"/>
      <w:bookmarkStart w:id="711" w:name="_Toc87603977"/>
      <w:bookmarkStart w:id="712" w:name="_Toc91085789"/>
      <w:bookmarkStart w:id="713" w:name="_Toc87520235"/>
      <w:bookmarkStart w:id="714" w:name="_Toc79489143"/>
      <w:bookmarkStart w:id="715" w:name="_Toc89109726"/>
      <w:bookmarkStart w:id="716" w:name="_Toc89873865"/>
      <w:bookmarkStart w:id="717" w:name="_Toc89069086"/>
      <w:bookmarkStart w:id="718" w:name="_Toc79046221"/>
      <w:bookmarkStart w:id="719" w:name="_Toc75797313"/>
      <w:bookmarkStart w:id="720" w:name="_Toc94443984"/>
      <w:r>
        <w:rPr>
          <w:rFonts w:hint="eastAsia" w:ascii="黑体" w:hAnsi="黑体" w:eastAsia="黑体"/>
          <w:b/>
          <w:bCs/>
        </w:rPr>
        <w:t xml:space="preserve">第二章 </w:t>
      </w:r>
      <w:r>
        <w:rPr>
          <w:rFonts w:ascii="黑体" w:hAnsi="黑体" w:eastAsia="黑体"/>
          <w:b/>
          <w:bCs/>
        </w:rPr>
        <w:t xml:space="preserve"> </w:t>
      </w:r>
      <w:r>
        <w:rPr>
          <w:rFonts w:hint="eastAsia" w:ascii="黑体" w:hAnsi="黑体" w:eastAsia="黑体"/>
          <w:b/>
          <w:bCs/>
        </w:rPr>
        <w:t>农业农村环境趋势</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ind w:firstLine="643"/>
        <w:rPr>
          <w:rFonts w:ascii="仿宋_GB2312" w:hAnsi="仿宋_GB2312" w:cs="仿宋_GB2312"/>
        </w:rPr>
      </w:pPr>
      <w:r>
        <w:rPr>
          <w:rFonts w:hint="eastAsia" w:ascii="仿宋_GB2312" w:hAnsi="仿宋_GB2312" w:cs="仿宋_GB2312"/>
          <w:b/>
          <w:bCs/>
        </w:rPr>
        <w:t>（一）农业农村环境总体趋势。</w:t>
      </w:r>
      <w:r>
        <w:rPr>
          <w:rFonts w:hint="eastAsia" w:ascii="仿宋_GB2312" w:hAnsi="仿宋_GB2312" w:cs="仿宋_GB2312"/>
        </w:rPr>
        <w:t>重点实施农村人居环境整治“五大提升行动”，农村“厕所革命”、农村生活污水治理、农村生活垃圾治理、面源污染治理、村容村貌提升。各镇（街道）因地制宜，精准施策，创新打造出一批可借鉴、可推广的样板典范，为全县农村人居环境整治工作提供了新的路径，井研县农业农村生态环境总体向好，人居品质有效提升，农民群众获得感幸福感将不断增强。</w:t>
      </w:r>
    </w:p>
    <w:p>
      <w:pPr>
        <w:ind w:firstLine="643"/>
        <w:rPr>
          <w:rFonts w:ascii="仿宋_GB2312" w:hAnsi="仿宋_GB2312" w:cs="仿宋_GB2312"/>
          <w:highlight w:val="yellow"/>
        </w:rPr>
      </w:pPr>
      <w:r>
        <w:rPr>
          <w:rFonts w:hint="eastAsia" w:ascii="仿宋_GB2312" w:hAnsi="仿宋_GB2312" w:cs="仿宋_GB2312"/>
          <w:b/>
          <w:bCs/>
        </w:rPr>
        <w:t>（二）农业农村产业发展致污趋势。</w:t>
      </w:r>
      <w:r>
        <w:rPr>
          <w:rFonts w:hint="eastAsia" w:ascii="仿宋_GB2312" w:hAnsi="仿宋_GB2312" w:cs="仿宋_GB2312"/>
        </w:rPr>
        <w:t>在发展粮油、柑橘等种植业的同时，为了追求高效益、高产出，可能存在过量使用农用化学投入品以及产品质量安全风险，乡村旅游业等业态的发展亦将对环境带来一定的影响。因此，在考虑农业农村产业发展取得经济效益的同时，要按照“一控两减三基本”要求，大力推广清洁生产技术和环境友好技术，发展环境友好型企业和生态循环农业，推动农业持续健康发展。</w:t>
      </w:r>
    </w:p>
    <w:p>
      <w:pPr>
        <w:spacing w:before="87" w:beforeLines="20" w:line="240" w:lineRule="auto"/>
        <w:ind w:firstLine="0" w:firstLineChars="0"/>
        <w:jc w:val="center"/>
        <w:rPr>
          <w:rFonts w:ascii="黑体" w:hAnsi="黑体" w:eastAsia="黑体"/>
          <w:b/>
          <w:bCs/>
        </w:rPr>
      </w:pPr>
      <w:bookmarkStart w:id="721" w:name="_Toc79046222"/>
      <w:bookmarkStart w:id="722" w:name="_Toc106200164"/>
      <w:bookmarkStart w:id="723" w:name="_Toc109303170"/>
      <w:bookmarkStart w:id="724" w:name="_Toc91085790"/>
      <w:bookmarkStart w:id="725" w:name="_Toc94443985"/>
      <w:bookmarkStart w:id="726" w:name="_Toc87620132"/>
      <w:bookmarkStart w:id="727" w:name="_Toc87517168"/>
      <w:bookmarkStart w:id="728" w:name="_Toc79489144"/>
      <w:bookmarkStart w:id="729" w:name="_Toc105447047"/>
      <w:bookmarkStart w:id="730" w:name="_Toc89109727"/>
      <w:bookmarkStart w:id="731" w:name="_Toc87520236"/>
      <w:bookmarkStart w:id="732" w:name="_Toc95909200"/>
      <w:bookmarkStart w:id="733" w:name="_Toc75797314"/>
      <w:bookmarkStart w:id="734" w:name="_Toc89873866"/>
      <w:bookmarkStart w:id="735" w:name="_Toc89069087"/>
      <w:bookmarkStart w:id="736" w:name="_Toc87603978"/>
      <w:r>
        <w:rPr>
          <w:rFonts w:hint="eastAsia" w:ascii="黑体" w:hAnsi="黑体" w:eastAsia="黑体"/>
          <w:b/>
          <w:bCs/>
        </w:rPr>
        <w:t xml:space="preserve">第三章 </w:t>
      </w:r>
      <w:r>
        <w:rPr>
          <w:rFonts w:ascii="黑体" w:hAnsi="黑体" w:eastAsia="黑体"/>
          <w:b/>
          <w:bCs/>
        </w:rPr>
        <w:t xml:space="preserve"> </w:t>
      </w:r>
      <w:r>
        <w:rPr>
          <w:rFonts w:hint="eastAsia" w:ascii="黑体" w:hAnsi="黑体" w:eastAsia="黑体"/>
          <w:b/>
          <w:bCs/>
        </w:rPr>
        <w:t>实施规划环境影响</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ind w:firstLine="643"/>
      </w:pPr>
      <w:r>
        <w:rPr>
          <w:rFonts w:hint="eastAsia"/>
          <w:b/>
          <w:bCs/>
        </w:rPr>
        <w:t>（一）与相关规划协调性分析。</w:t>
      </w:r>
      <w:r>
        <w:rPr>
          <w:rFonts w:hint="eastAsia"/>
        </w:rPr>
        <w:t>《井研县“十四五”推进农业农村现代化规划》（以下简称《规划》）全面贯彻中央和四川省优先发展农业农村，全面推进乡村振兴的精神，科学分析了“十四五”农业农村现代化发展面临的机遇与挑战，提出了“十四五”农业农村发展的工作重点，对全县农业和农村经济社会全面、协调、可持续发展、农业农村现代化目标的实现具有积极促进作用。《规划》与水利、交通、环保、文旅等领域的“十四五”专项规划进行了对接，规划之间不存在矛盾和冲突。《规划》项目符合《四川省人民政府关于印发四川省主体功能区规划的通知》（川府发〔2013〕16 号）、《四川省国家重点生态功能区产业准入负面清单（第一批）（试行）的通知》（川发改规划〔2017〕407号）的相关开发原则和保障措施要求。</w:t>
      </w:r>
    </w:p>
    <w:p>
      <w:pPr>
        <w:ind w:firstLine="643"/>
        <w:rPr>
          <w:rFonts w:ascii="仿宋_GB2312" w:hAnsi="仿宋_GB2312" w:cs="仿宋_GB2312"/>
        </w:rPr>
      </w:pPr>
      <w:r>
        <w:rPr>
          <w:rFonts w:hint="eastAsia" w:ascii="仿宋_GB2312" w:hAnsi="仿宋_GB2312" w:cs="仿宋_GB2312"/>
          <w:b/>
          <w:bCs/>
        </w:rPr>
        <w:t>（二）各环境要素影响分析。</w:t>
      </w:r>
      <w:r>
        <w:rPr>
          <w:rFonts w:hint="eastAsia" w:ascii="仿宋_GB2312" w:hAnsi="仿宋_GB2312" w:cs="仿宋_GB2312"/>
        </w:rPr>
        <w:t>对水环境的影响，少部分农户散养尤其是水禽河流放养，会对水环境造成一定污染。对土壤环境的影响，因增施有机肥特别是人粪尿，可能造成土壤盐分积累及地下水硝酸盐的积累。对大气环境的影响，集中处理生活污水也会带来恶臭类物质，秸秆气化会导致空气中焦油类物质增加。对固废环境的影响，污水处理设施运行产生的污泥囤积，秸秆气化设施运行产生的飞灰积累也会对环境产生一定的影响。对其他环境要素的影响，本规划实施，通过推广沼气、太阳能等生物能源，减少森林砍伐，增强了森林水源涵养、洪水蓄调、水土保持与气候调节能力。</w:t>
      </w:r>
    </w:p>
    <w:p>
      <w:pPr>
        <w:spacing w:before="87" w:beforeLines="20" w:line="240" w:lineRule="auto"/>
        <w:ind w:firstLine="0" w:firstLineChars="0"/>
        <w:jc w:val="center"/>
        <w:rPr>
          <w:rFonts w:ascii="黑体" w:hAnsi="黑体" w:eastAsia="黑体"/>
          <w:b/>
          <w:bCs/>
        </w:rPr>
      </w:pPr>
      <w:bookmarkStart w:id="737" w:name="_Toc87603979"/>
      <w:bookmarkStart w:id="738" w:name="_Toc89069088"/>
      <w:bookmarkStart w:id="739" w:name="_Toc106200165"/>
      <w:bookmarkStart w:id="740" w:name="_Toc89873867"/>
      <w:bookmarkStart w:id="741" w:name="_Toc95909201"/>
      <w:bookmarkStart w:id="742" w:name="_Toc79489145"/>
      <w:bookmarkStart w:id="743" w:name="_Toc87620133"/>
      <w:bookmarkStart w:id="744" w:name="_Toc89109728"/>
      <w:bookmarkStart w:id="745" w:name="_Toc79046223"/>
      <w:bookmarkStart w:id="746" w:name="_Toc75797315"/>
      <w:bookmarkStart w:id="747" w:name="_Toc105447048"/>
      <w:bookmarkStart w:id="748" w:name="_Toc94443986"/>
      <w:bookmarkStart w:id="749" w:name="_Toc91085791"/>
      <w:bookmarkStart w:id="750" w:name="_Toc109303171"/>
      <w:bookmarkStart w:id="751" w:name="_Toc87520237"/>
      <w:bookmarkStart w:id="752" w:name="_Toc87517169"/>
      <w:r>
        <w:rPr>
          <w:rFonts w:hint="eastAsia" w:ascii="黑体" w:hAnsi="黑体" w:eastAsia="黑体"/>
          <w:b/>
          <w:bCs/>
        </w:rPr>
        <w:t xml:space="preserve">第四章 </w:t>
      </w:r>
      <w:r>
        <w:rPr>
          <w:rFonts w:ascii="黑体" w:hAnsi="黑体" w:eastAsia="黑体"/>
          <w:b/>
          <w:bCs/>
        </w:rPr>
        <w:t xml:space="preserve"> </w:t>
      </w:r>
      <w:r>
        <w:rPr>
          <w:rFonts w:hint="eastAsia" w:ascii="黑体" w:hAnsi="黑体" w:eastAsia="黑体"/>
          <w:b/>
          <w:bCs/>
        </w:rPr>
        <w:t>环境影响控制措施</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ind w:firstLine="643"/>
        <w:rPr>
          <w:rFonts w:ascii="仿宋_GB2312" w:hAnsi="仿宋_GB2312" w:cs="仿宋_GB2312"/>
        </w:rPr>
      </w:pPr>
      <w:r>
        <w:rPr>
          <w:rFonts w:hint="eastAsia" w:ascii="仿宋_GB2312" w:hAnsi="仿宋_GB2312" w:cs="仿宋_GB2312"/>
          <w:b/>
          <w:bCs/>
        </w:rPr>
        <w:t>（一）污染控制法</w:t>
      </w:r>
      <w:r>
        <w:rPr>
          <w:rFonts w:hint="eastAsia" w:ascii="仿宋_GB2312" w:hAnsi="仿宋_GB2312" w:cs="仿宋_GB2312"/>
          <w:b/>
          <w:bCs/>
          <w:lang w:eastAsia="zh-CN"/>
        </w:rPr>
        <w:t>治</w:t>
      </w:r>
      <w:r>
        <w:rPr>
          <w:rFonts w:hint="eastAsia" w:ascii="仿宋_GB2312" w:hAnsi="仿宋_GB2312" w:cs="仿宋_GB2312"/>
          <w:b/>
          <w:bCs/>
        </w:rPr>
        <w:t>化。</w:t>
      </w:r>
      <w:r>
        <w:rPr>
          <w:rFonts w:hint="eastAsia" w:ascii="仿宋_GB2312" w:hAnsi="仿宋_GB2312" w:cs="仿宋_GB2312"/>
        </w:rPr>
        <w:t>深入贯彻落实《畜禽规模养殖污染防治条例》《畜禽养殖污染防治管理办法》等畜禽污染防治相关法律法规，积极推广《畜禽粪便还田技术规范》《畜禽粪便无害化处理技术规范》等相关技术标准，加强从法律法规、技术标准等层面上推进畜禽粪便控制的程序化和科学化。</w:t>
      </w:r>
    </w:p>
    <w:p>
      <w:pPr>
        <w:ind w:firstLine="643"/>
        <w:rPr>
          <w:rFonts w:ascii="仿宋_GB2312" w:hAnsi="仿宋_GB2312" w:cs="仿宋_GB2312"/>
        </w:rPr>
      </w:pPr>
      <w:r>
        <w:rPr>
          <w:rFonts w:hint="eastAsia" w:ascii="仿宋_GB2312" w:hAnsi="仿宋_GB2312" w:cs="仿宋_GB2312"/>
          <w:b/>
          <w:bCs/>
        </w:rPr>
        <w:t>（二）粪便利用资源化。</w:t>
      </w:r>
      <w:r>
        <w:rPr>
          <w:rFonts w:hint="eastAsia" w:ascii="仿宋_GB2312" w:hAnsi="仿宋_GB2312" w:cs="仿宋_GB2312"/>
        </w:rPr>
        <w:t>大力提升畜禽粪便资源化利用水平，积极研究畜禽粪便饲料化利用技术，探索和总结畜禽粪便“变废为宝”的资源化技术，出台粪便资源化利用的刺激措施和优惠政策，引导和支持畜禽养殖场集中处理中心和有机肥料厂等建设。</w:t>
      </w:r>
    </w:p>
    <w:p>
      <w:pPr>
        <w:pStyle w:val="16"/>
        <w:ind w:firstLine="643"/>
      </w:pPr>
      <w:r>
        <w:rPr>
          <w:rFonts w:hint="eastAsia"/>
          <w:b/>
          <w:bCs/>
        </w:rPr>
        <w:t>（三）农废回收全域化。</w:t>
      </w:r>
      <w:r>
        <w:rPr>
          <w:rFonts w:hint="eastAsia"/>
        </w:rPr>
        <w:t>增强相关从业者对于化肥、农药包装袋、废旧农膜等农业生产废弃物的回收利用意识，建立健全农废回收点建设，确保相关废弃物不造成二次污染，持续净化乡村生产生活环境。</w:t>
      </w:r>
    </w:p>
    <w:p>
      <w:pPr>
        <w:ind w:firstLine="643"/>
        <w:rPr>
          <w:rFonts w:ascii="仿宋_GB2312" w:hAnsi="仿宋_GB2312" w:cs="仿宋_GB2312"/>
        </w:rPr>
      </w:pPr>
      <w:r>
        <w:rPr>
          <w:rFonts w:hint="eastAsia" w:ascii="仿宋_GB2312" w:hAnsi="仿宋_GB2312" w:cs="仿宋_GB2312"/>
          <w:b/>
          <w:bCs/>
        </w:rPr>
        <w:t>（四）河流监管常态化。</w:t>
      </w:r>
      <w:r>
        <w:rPr>
          <w:rFonts w:hint="eastAsia" w:ascii="仿宋_GB2312" w:hAnsi="仿宋_GB2312" w:cs="仿宋_GB2312"/>
        </w:rPr>
        <w:t>针对目前全县环境治理的主要河流，围绕可能影响河流水质的畜禽养殖污染环节，加强对存在具有污染河流风险的养殖场的日常监控。</w:t>
      </w:r>
    </w:p>
    <w:p>
      <w:pPr>
        <w:spacing w:before="87" w:beforeLines="20" w:line="240" w:lineRule="auto"/>
        <w:ind w:firstLine="0" w:firstLineChars="0"/>
        <w:jc w:val="center"/>
        <w:rPr>
          <w:rFonts w:ascii="黑体" w:hAnsi="黑体" w:eastAsia="黑体"/>
          <w:b/>
          <w:bCs/>
        </w:rPr>
      </w:pPr>
      <w:bookmarkStart w:id="753" w:name="_Toc91085792"/>
      <w:bookmarkStart w:id="754" w:name="_Toc87620134"/>
      <w:bookmarkStart w:id="755" w:name="_Toc109303172"/>
      <w:bookmarkStart w:id="756" w:name="_Toc89069089"/>
      <w:bookmarkStart w:id="757" w:name="_Toc87603980"/>
      <w:bookmarkStart w:id="758" w:name="_Toc87520238"/>
      <w:bookmarkStart w:id="759" w:name="_Toc89873868"/>
      <w:bookmarkStart w:id="760" w:name="_Toc79489146"/>
      <w:bookmarkStart w:id="761" w:name="_Toc75797316"/>
      <w:bookmarkStart w:id="762" w:name="_Toc94443987"/>
      <w:bookmarkStart w:id="763" w:name="_Toc105447049"/>
      <w:bookmarkStart w:id="764" w:name="_Toc87517170"/>
      <w:bookmarkStart w:id="765" w:name="_Toc89109729"/>
      <w:bookmarkStart w:id="766" w:name="_Toc106200166"/>
      <w:bookmarkStart w:id="767" w:name="_Toc79046224"/>
      <w:bookmarkStart w:id="768" w:name="_Toc95909202"/>
      <w:r>
        <w:rPr>
          <w:rFonts w:hint="eastAsia" w:ascii="黑体" w:hAnsi="黑体" w:eastAsia="黑体"/>
          <w:b/>
          <w:bCs/>
        </w:rPr>
        <w:t xml:space="preserve">第五章 </w:t>
      </w:r>
      <w:r>
        <w:rPr>
          <w:rFonts w:ascii="黑体" w:hAnsi="黑体" w:eastAsia="黑体"/>
          <w:b/>
          <w:bCs/>
        </w:rPr>
        <w:t xml:space="preserve"> 环境影响评价结论</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ind w:firstLine="640"/>
        <w:rPr>
          <w:rFonts w:ascii="仿宋_GB2312" w:hAnsi="仿宋_GB2312" w:cs="仿宋_GB2312"/>
        </w:rPr>
        <w:sectPr>
          <w:headerReference r:id="rId18" w:type="default"/>
          <w:footerReference r:id="rId19" w:type="default"/>
          <w:pgSz w:w="11906" w:h="16838"/>
          <w:pgMar w:top="1531" w:right="1588" w:bottom="1418" w:left="1701" w:header="680" w:footer="907" w:gutter="0"/>
          <w:cols w:space="425" w:num="1"/>
          <w:docGrid w:type="lines" w:linePitch="435" w:charSpace="0"/>
        </w:sectPr>
      </w:pPr>
      <w:r>
        <w:rPr>
          <w:rFonts w:hint="eastAsia" w:ascii="仿宋_GB2312" w:hAnsi="仿宋_GB2312" w:cs="仿宋_GB2312"/>
        </w:rPr>
        <w:t>规划实施始终坚持生态文明建设主线，将经济社会发展、农民增收致富与生态</w:t>
      </w:r>
      <w:r>
        <w:rPr>
          <w:rFonts w:hint="eastAsia" w:ascii="仿宋_GB2312" w:hAnsi="仿宋_GB2312" w:cs="仿宋_GB2312"/>
          <w:lang w:val="en-US" w:eastAsia="zh-CN"/>
        </w:rPr>
        <w:t>文明</w:t>
      </w:r>
      <w:r>
        <w:rPr>
          <w:rFonts w:hint="eastAsia" w:ascii="仿宋_GB2312" w:hAnsi="仿宋_GB2312" w:cs="仿宋_GB2312"/>
        </w:rPr>
        <w:t>建设、环境友好技术推广紧密结合，将产业发展与环境建设保护措施相配套。通过大力推进乡村生态振兴，推动农村垃圾污水治理和农村厕所改造，深化农业种植养殖业污染防治工作，深入实施化肥、农药使用量零增长行动，强化畜禽养殖污染治理和粪污资源化利用，积极推进标准化水产养殖池塘改造等，大大降低了对环境的负面影响，有利于全县农业农村经济的可持续发展。</w:t>
      </w:r>
    </w:p>
    <w:p>
      <w:pPr>
        <w:pStyle w:val="2"/>
        <w:pageBreakBefore w:val="0"/>
        <w:numPr>
          <w:ilvl w:val="0"/>
          <w:numId w:val="0"/>
        </w:numPr>
        <w:spacing w:before="0" w:beforeLines="0" w:after="0" w:afterLines="0" w:line="240" w:lineRule="auto"/>
        <w:jc w:val="left"/>
        <w:rPr>
          <w:szCs w:val="52"/>
        </w:rPr>
      </w:pPr>
      <w:bookmarkStart w:id="769" w:name="_Toc10561"/>
      <w:r>
        <w:rPr>
          <w:rFonts w:hint="eastAsia"/>
          <w:szCs w:val="52"/>
        </w:rPr>
        <w:t>附件</w:t>
      </w:r>
      <w:r>
        <w:rPr>
          <w:szCs w:val="52"/>
        </w:rPr>
        <w:t>2</w:t>
      </w:r>
      <w:r>
        <w:rPr>
          <w:rFonts w:hint="eastAsia"/>
          <w:szCs w:val="52"/>
        </w:rPr>
        <w:t>：井研县“十四五”推动农业农村现代化规划项目汇总表</w:t>
      </w:r>
      <w:bookmarkEnd w:id="769"/>
    </w:p>
    <w:tbl>
      <w:tblPr>
        <w:tblStyle w:val="33"/>
        <w:tblpPr w:leftFromText="180" w:rightFromText="180" w:vertAnchor="text" w:horzAnchor="page" w:tblpX="1401" w:tblpY="860"/>
        <w:tblOverlap w:val="never"/>
        <w:tblW w:w="143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6"/>
        <w:gridCol w:w="1215"/>
        <w:gridCol w:w="2260"/>
        <w:gridCol w:w="6991"/>
        <w:gridCol w:w="1133"/>
        <w:gridCol w:w="1185"/>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476" w:type="dxa"/>
            <w:shd w:val="clear" w:color="auto" w:fill="auto"/>
            <w:tcMar>
              <w:top w:w="15" w:type="dxa"/>
              <w:left w:w="15" w:type="dxa"/>
              <w:bottom w:w="0" w:type="dxa"/>
              <w:right w:w="15" w:type="dxa"/>
            </w:tcMar>
            <w:vAlign w:val="center"/>
          </w:tcPr>
          <w:p>
            <w:pPr>
              <w:pStyle w:val="57"/>
              <w:rPr>
                <w:b/>
                <w:bCs/>
              </w:rPr>
            </w:pPr>
            <w:r>
              <w:rPr>
                <w:rFonts w:hint="eastAsia"/>
                <w:b/>
                <w:bCs/>
              </w:rPr>
              <w:t>序号</w:t>
            </w:r>
          </w:p>
        </w:tc>
        <w:tc>
          <w:tcPr>
            <w:tcW w:w="1215" w:type="dxa"/>
            <w:shd w:val="clear" w:color="auto" w:fill="auto"/>
            <w:tcMar>
              <w:top w:w="15" w:type="dxa"/>
              <w:left w:w="15" w:type="dxa"/>
              <w:bottom w:w="0" w:type="dxa"/>
              <w:right w:w="15" w:type="dxa"/>
            </w:tcMar>
            <w:vAlign w:val="center"/>
          </w:tcPr>
          <w:p>
            <w:pPr>
              <w:pStyle w:val="57"/>
              <w:rPr>
                <w:b/>
                <w:bCs/>
              </w:rPr>
            </w:pPr>
            <w:r>
              <w:rPr>
                <w:rFonts w:hint="eastAsia"/>
                <w:b/>
                <w:bCs/>
              </w:rPr>
              <w:t>工作内容</w:t>
            </w:r>
          </w:p>
        </w:tc>
        <w:tc>
          <w:tcPr>
            <w:tcW w:w="2260" w:type="dxa"/>
            <w:shd w:val="clear" w:color="auto" w:fill="auto"/>
            <w:tcMar>
              <w:top w:w="15" w:type="dxa"/>
              <w:left w:w="15" w:type="dxa"/>
              <w:bottom w:w="0" w:type="dxa"/>
              <w:right w:w="15" w:type="dxa"/>
            </w:tcMar>
            <w:vAlign w:val="center"/>
          </w:tcPr>
          <w:p>
            <w:pPr>
              <w:pStyle w:val="57"/>
              <w:rPr>
                <w:b/>
                <w:bCs/>
              </w:rPr>
            </w:pPr>
            <w:r>
              <w:rPr>
                <w:rFonts w:hint="eastAsia"/>
                <w:b/>
                <w:bCs/>
              </w:rPr>
              <w:t>项目名称</w:t>
            </w:r>
          </w:p>
        </w:tc>
        <w:tc>
          <w:tcPr>
            <w:tcW w:w="6991" w:type="dxa"/>
            <w:shd w:val="clear" w:color="auto" w:fill="auto"/>
            <w:tcMar>
              <w:top w:w="15" w:type="dxa"/>
              <w:left w:w="15" w:type="dxa"/>
              <w:bottom w:w="0" w:type="dxa"/>
              <w:right w:w="15" w:type="dxa"/>
            </w:tcMar>
            <w:vAlign w:val="center"/>
          </w:tcPr>
          <w:p>
            <w:pPr>
              <w:pStyle w:val="57"/>
              <w:rPr>
                <w:b/>
                <w:bCs/>
              </w:rPr>
            </w:pPr>
            <w:r>
              <w:rPr>
                <w:rFonts w:hint="eastAsia"/>
                <w:b/>
                <w:bCs/>
              </w:rPr>
              <w:t>建设规模及内容</w:t>
            </w:r>
          </w:p>
        </w:tc>
        <w:tc>
          <w:tcPr>
            <w:tcW w:w="1133" w:type="dxa"/>
            <w:shd w:val="clear" w:color="auto" w:fill="auto"/>
            <w:tcMar>
              <w:top w:w="15" w:type="dxa"/>
              <w:left w:w="15" w:type="dxa"/>
              <w:bottom w:w="0" w:type="dxa"/>
              <w:right w:w="15" w:type="dxa"/>
            </w:tcMar>
            <w:vAlign w:val="center"/>
          </w:tcPr>
          <w:p>
            <w:pPr>
              <w:pStyle w:val="57"/>
              <w:rPr>
                <w:b/>
                <w:bCs/>
              </w:rPr>
            </w:pPr>
            <w:r>
              <w:rPr>
                <w:rFonts w:hint="eastAsia"/>
                <w:b/>
                <w:bCs/>
              </w:rPr>
              <w:t>建设时限</w:t>
            </w:r>
          </w:p>
        </w:tc>
        <w:tc>
          <w:tcPr>
            <w:tcW w:w="1185" w:type="dxa"/>
            <w:shd w:val="clear" w:color="auto" w:fill="auto"/>
            <w:tcMar>
              <w:top w:w="15" w:type="dxa"/>
              <w:left w:w="15" w:type="dxa"/>
              <w:bottom w:w="0" w:type="dxa"/>
              <w:right w:w="15" w:type="dxa"/>
            </w:tcMar>
            <w:vAlign w:val="center"/>
          </w:tcPr>
          <w:p>
            <w:pPr>
              <w:pStyle w:val="57"/>
              <w:rPr>
                <w:b/>
                <w:bCs/>
              </w:rPr>
            </w:pPr>
            <w:r>
              <w:rPr>
                <w:rFonts w:hint="eastAsia"/>
                <w:b/>
                <w:bCs/>
              </w:rPr>
              <w:t>投资估算</w:t>
            </w:r>
          </w:p>
          <w:p>
            <w:pPr>
              <w:pStyle w:val="57"/>
              <w:rPr>
                <w:rFonts w:eastAsia="仿宋_GB2312"/>
              </w:rPr>
            </w:pPr>
            <w:r>
              <w:rPr>
                <w:rFonts w:hint="eastAsia"/>
                <w:b/>
                <w:bCs/>
              </w:rPr>
              <w:t>（万元）</w:t>
            </w:r>
          </w:p>
        </w:tc>
        <w:tc>
          <w:tcPr>
            <w:tcW w:w="1129" w:type="dxa"/>
            <w:shd w:val="clear" w:color="auto" w:fill="auto"/>
            <w:tcMar>
              <w:top w:w="15" w:type="dxa"/>
              <w:left w:w="15" w:type="dxa"/>
              <w:bottom w:w="0" w:type="dxa"/>
              <w:right w:w="15" w:type="dxa"/>
            </w:tcMar>
            <w:vAlign w:val="center"/>
          </w:tcPr>
          <w:p>
            <w:pPr>
              <w:pStyle w:val="57"/>
              <w:rPr>
                <w:b/>
                <w:bCs/>
              </w:rPr>
            </w:pPr>
            <w:r>
              <w:rPr>
                <w:rFonts w:hint="eastAsia"/>
                <w:b/>
                <w:bCs/>
              </w:rPr>
              <w:t>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2" w:hRule="atLeast"/>
        </w:trPr>
        <w:tc>
          <w:tcPr>
            <w:tcW w:w="476" w:type="dxa"/>
            <w:shd w:val="clear" w:color="auto" w:fill="auto"/>
            <w:tcMar>
              <w:top w:w="15" w:type="dxa"/>
              <w:left w:w="15" w:type="dxa"/>
              <w:bottom w:w="0" w:type="dxa"/>
              <w:right w:w="15" w:type="dxa"/>
            </w:tcMar>
            <w:vAlign w:val="center"/>
          </w:tcPr>
          <w:p>
            <w:pPr>
              <w:pStyle w:val="57"/>
              <w:rPr>
                <w:b/>
                <w:bCs/>
              </w:rPr>
            </w:pPr>
            <w:r>
              <w:rPr>
                <w:rFonts w:hint="eastAsia"/>
                <w:b/>
                <w:bCs/>
              </w:rPr>
              <w:t>1</w:t>
            </w:r>
          </w:p>
        </w:tc>
        <w:tc>
          <w:tcPr>
            <w:tcW w:w="1215" w:type="dxa"/>
            <w:vMerge w:val="restart"/>
            <w:shd w:val="clear" w:color="auto" w:fill="auto"/>
            <w:tcMar>
              <w:top w:w="15" w:type="dxa"/>
              <w:left w:w="15" w:type="dxa"/>
              <w:bottom w:w="0" w:type="dxa"/>
              <w:right w:w="15" w:type="dxa"/>
            </w:tcMar>
            <w:vAlign w:val="center"/>
          </w:tcPr>
          <w:p>
            <w:pPr>
              <w:pStyle w:val="57"/>
            </w:pPr>
            <w:r>
              <w:rPr>
                <w:rFonts w:hint="eastAsia"/>
              </w:rPr>
              <w:t>重要农产品保障</w:t>
            </w:r>
          </w:p>
        </w:tc>
        <w:tc>
          <w:tcPr>
            <w:tcW w:w="2260" w:type="dxa"/>
            <w:shd w:val="clear" w:color="auto" w:fill="auto"/>
            <w:tcMar>
              <w:top w:w="15" w:type="dxa"/>
              <w:left w:w="15" w:type="dxa"/>
              <w:bottom w:w="0" w:type="dxa"/>
              <w:right w:w="15" w:type="dxa"/>
            </w:tcMar>
            <w:vAlign w:val="center"/>
          </w:tcPr>
          <w:p>
            <w:pPr>
              <w:pStyle w:val="57"/>
            </w:pPr>
            <w:r>
              <w:rPr>
                <w:rFonts w:hint="eastAsia"/>
              </w:rPr>
              <w:t>优质粮食提升工程</w:t>
            </w:r>
          </w:p>
        </w:tc>
        <w:tc>
          <w:tcPr>
            <w:tcW w:w="6991" w:type="dxa"/>
            <w:shd w:val="clear" w:color="auto" w:fill="auto"/>
            <w:tcMar>
              <w:top w:w="15" w:type="dxa"/>
              <w:left w:w="15" w:type="dxa"/>
              <w:bottom w:w="0" w:type="dxa"/>
              <w:right w:w="15" w:type="dxa"/>
            </w:tcMar>
            <w:vAlign w:val="center"/>
          </w:tcPr>
          <w:p>
            <w:pPr>
              <w:pStyle w:val="57"/>
            </w:pPr>
            <w:r>
              <w:rPr>
                <w:rFonts w:hint="eastAsia"/>
              </w:rPr>
              <w:t>建成38万亩粮食生产功能区。统筹布局粮食生产、加工、储备、流通等能力建设，完善粮食质量安全检验检测体系和粮食产后服务体系，进一步开展粮油绿色高质高效创建工作，加大“稻香杯”优质稻生产与推广，促进粮油绿色生产，推动粮油产业高质量发展示范县建设。</w:t>
            </w:r>
          </w:p>
        </w:tc>
        <w:tc>
          <w:tcPr>
            <w:tcW w:w="1133" w:type="dxa"/>
            <w:shd w:val="clear" w:color="auto" w:fill="auto"/>
            <w:tcMar>
              <w:top w:w="15" w:type="dxa"/>
              <w:left w:w="15" w:type="dxa"/>
              <w:bottom w:w="0" w:type="dxa"/>
              <w:right w:w="15" w:type="dxa"/>
            </w:tcMar>
            <w:vAlign w:val="center"/>
          </w:tcPr>
          <w:p>
            <w:pPr>
              <w:pStyle w:val="57"/>
            </w:pPr>
            <w:r>
              <w:rPr>
                <w:rFonts w:hint="eastAsia"/>
              </w:rPr>
              <w:t>2021-2025</w:t>
            </w:r>
          </w:p>
        </w:tc>
        <w:tc>
          <w:tcPr>
            <w:tcW w:w="1185" w:type="dxa"/>
            <w:shd w:val="clear" w:color="auto" w:fill="auto"/>
            <w:tcMar>
              <w:top w:w="15" w:type="dxa"/>
              <w:left w:w="15" w:type="dxa"/>
              <w:bottom w:w="0" w:type="dxa"/>
              <w:right w:w="15" w:type="dxa"/>
            </w:tcMar>
            <w:vAlign w:val="center"/>
          </w:tcPr>
          <w:p>
            <w:pPr>
              <w:pStyle w:val="57"/>
            </w:pPr>
            <w:r>
              <w:rPr>
                <w:rFonts w:hint="eastAsia"/>
              </w:rPr>
              <w:t>15000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6" w:hRule="atLeast"/>
        </w:trPr>
        <w:tc>
          <w:tcPr>
            <w:tcW w:w="476" w:type="dxa"/>
            <w:shd w:val="clear" w:color="auto" w:fill="auto"/>
            <w:tcMar>
              <w:top w:w="15" w:type="dxa"/>
              <w:left w:w="15" w:type="dxa"/>
              <w:bottom w:w="0" w:type="dxa"/>
              <w:right w:w="15" w:type="dxa"/>
            </w:tcMar>
            <w:vAlign w:val="center"/>
          </w:tcPr>
          <w:p>
            <w:pPr>
              <w:pStyle w:val="57"/>
              <w:rPr>
                <w:b/>
                <w:bCs/>
              </w:rPr>
            </w:pPr>
            <w:r>
              <w:rPr>
                <w:rFonts w:hint="eastAsia"/>
                <w:b/>
                <w:bCs/>
              </w:rPr>
              <w:t>2</w:t>
            </w:r>
          </w:p>
        </w:tc>
        <w:tc>
          <w:tcPr>
            <w:tcW w:w="1215" w:type="dxa"/>
            <w:vMerge w:val="continue"/>
            <w:shd w:val="clear" w:color="auto" w:fill="auto"/>
            <w:vAlign w:val="center"/>
          </w:tcPr>
          <w:p>
            <w:pPr>
              <w:pStyle w:val="57"/>
            </w:pPr>
          </w:p>
        </w:tc>
        <w:tc>
          <w:tcPr>
            <w:tcW w:w="2260" w:type="dxa"/>
            <w:shd w:val="clear" w:color="auto" w:fill="auto"/>
            <w:tcMar>
              <w:top w:w="15" w:type="dxa"/>
              <w:left w:w="15" w:type="dxa"/>
              <w:bottom w:w="0" w:type="dxa"/>
              <w:right w:w="15" w:type="dxa"/>
            </w:tcMar>
            <w:vAlign w:val="center"/>
          </w:tcPr>
          <w:p>
            <w:pPr>
              <w:pStyle w:val="57"/>
            </w:pPr>
            <w:r>
              <w:rPr>
                <w:rFonts w:hint="eastAsia"/>
              </w:rPr>
              <w:t>耕地资源保护与质量提升工程</w:t>
            </w:r>
          </w:p>
        </w:tc>
        <w:tc>
          <w:tcPr>
            <w:tcW w:w="6991" w:type="dxa"/>
            <w:shd w:val="clear" w:color="auto" w:fill="auto"/>
            <w:tcMar>
              <w:top w:w="15" w:type="dxa"/>
              <w:left w:w="15" w:type="dxa"/>
              <w:bottom w:w="0" w:type="dxa"/>
              <w:right w:w="15" w:type="dxa"/>
            </w:tcMar>
            <w:vAlign w:val="center"/>
          </w:tcPr>
          <w:p>
            <w:pPr>
              <w:pStyle w:val="57"/>
            </w:pPr>
            <w:r>
              <w:rPr>
                <w:rFonts w:hint="eastAsia"/>
              </w:rPr>
              <w:t>推广秸秆直接还田，施用有机肥，改良酸化土壤，提升耕地质量。推行稻油、稻菜等轮作模式，稳步推进耕地轮作休耕制度试点。到2025年，全县耕地质量年平均提升0.06个等级以上。</w:t>
            </w:r>
          </w:p>
        </w:tc>
        <w:tc>
          <w:tcPr>
            <w:tcW w:w="1133" w:type="dxa"/>
            <w:shd w:val="clear" w:color="auto" w:fill="auto"/>
            <w:tcMar>
              <w:top w:w="15" w:type="dxa"/>
              <w:left w:w="15" w:type="dxa"/>
              <w:bottom w:w="0" w:type="dxa"/>
              <w:right w:w="15" w:type="dxa"/>
            </w:tcMar>
            <w:vAlign w:val="center"/>
          </w:tcPr>
          <w:p>
            <w:pPr>
              <w:pStyle w:val="57"/>
            </w:pPr>
            <w:r>
              <w:rPr>
                <w:rFonts w:hint="eastAsia"/>
              </w:rPr>
              <w:t>2021-2025</w:t>
            </w:r>
          </w:p>
        </w:tc>
        <w:tc>
          <w:tcPr>
            <w:tcW w:w="1185" w:type="dxa"/>
            <w:shd w:val="clear" w:color="auto" w:fill="auto"/>
            <w:tcMar>
              <w:top w:w="15" w:type="dxa"/>
              <w:left w:w="15" w:type="dxa"/>
              <w:bottom w:w="0" w:type="dxa"/>
              <w:right w:w="15" w:type="dxa"/>
            </w:tcMar>
            <w:vAlign w:val="center"/>
          </w:tcPr>
          <w:p>
            <w:pPr>
              <w:pStyle w:val="57"/>
            </w:pPr>
            <w:r>
              <w:rPr>
                <w:rFonts w:hint="eastAsia"/>
              </w:rPr>
              <w:t>8</w:t>
            </w:r>
            <w:r>
              <w:t>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8" w:hRule="atLeast"/>
        </w:trPr>
        <w:tc>
          <w:tcPr>
            <w:tcW w:w="476" w:type="dxa"/>
            <w:shd w:val="clear" w:color="auto" w:fill="auto"/>
            <w:tcMar>
              <w:top w:w="15" w:type="dxa"/>
              <w:left w:w="15" w:type="dxa"/>
              <w:bottom w:w="0" w:type="dxa"/>
              <w:right w:w="15" w:type="dxa"/>
            </w:tcMar>
            <w:vAlign w:val="center"/>
          </w:tcPr>
          <w:p>
            <w:pPr>
              <w:pStyle w:val="57"/>
              <w:rPr>
                <w:b/>
                <w:bCs/>
              </w:rPr>
            </w:pPr>
            <w:r>
              <w:rPr>
                <w:rFonts w:hint="eastAsia"/>
                <w:b/>
                <w:bCs/>
              </w:rPr>
              <w:t>3</w:t>
            </w:r>
          </w:p>
        </w:tc>
        <w:tc>
          <w:tcPr>
            <w:tcW w:w="1215" w:type="dxa"/>
            <w:vMerge w:val="continue"/>
            <w:shd w:val="clear" w:color="auto" w:fill="auto"/>
            <w:vAlign w:val="center"/>
          </w:tcPr>
          <w:p>
            <w:pPr>
              <w:pStyle w:val="57"/>
            </w:pPr>
          </w:p>
        </w:tc>
        <w:tc>
          <w:tcPr>
            <w:tcW w:w="2260" w:type="dxa"/>
            <w:shd w:val="clear" w:color="auto" w:fill="auto"/>
            <w:tcMar>
              <w:top w:w="15" w:type="dxa"/>
              <w:left w:w="15" w:type="dxa"/>
              <w:bottom w:w="0" w:type="dxa"/>
              <w:right w:w="15" w:type="dxa"/>
            </w:tcMar>
            <w:vAlign w:val="center"/>
          </w:tcPr>
          <w:p>
            <w:pPr>
              <w:pStyle w:val="57"/>
            </w:pPr>
            <w:r>
              <w:rPr>
                <w:rFonts w:hint="eastAsia"/>
              </w:rPr>
              <w:t>高标准农田新（改）建项目</w:t>
            </w:r>
          </w:p>
        </w:tc>
        <w:tc>
          <w:tcPr>
            <w:tcW w:w="6991" w:type="dxa"/>
            <w:shd w:val="clear" w:color="auto" w:fill="auto"/>
            <w:tcMar>
              <w:top w:w="15" w:type="dxa"/>
              <w:left w:w="15" w:type="dxa"/>
              <w:bottom w:w="0" w:type="dxa"/>
              <w:right w:w="15" w:type="dxa"/>
            </w:tcMar>
            <w:vAlign w:val="center"/>
          </w:tcPr>
          <w:p>
            <w:pPr>
              <w:pStyle w:val="57"/>
            </w:pPr>
            <w:r>
              <w:rPr>
                <w:rFonts w:hint="eastAsia"/>
              </w:rPr>
              <w:t>实施土地平整、农田宜机化改造、水利灌排设施、田间道路、高效节水灌溉示范、科技服务等建设工程。“十四五”时期，全县新（改）建高标准农田22.88万亩，进一步提升农业生产基础能力。</w:t>
            </w:r>
          </w:p>
        </w:tc>
        <w:tc>
          <w:tcPr>
            <w:tcW w:w="1133" w:type="dxa"/>
            <w:shd w:val="clear" w:color="auto" w:fill="auto"/>
            <w:tcMar>
              <w:top w:w="15" w:type="dxa"/>
              <w:left w:w="15" w:type="dxa"/>
              <w:bottom w:w="0" w:type="dxa"/>
              <w:right w:w="15" w:type="dxa"/>
            </w:tcMar>
            <w:vAlign w:val="center"/>
          </w:tcPr>
          <w:p>
            <w:pPr>
              <w:pStyle w:val="57"/>
            </w:pPr>
            <w:r>
              <w:rPr>
                <w:rFonts w:hint="eastAsia"/>
              </w:rPr>
              <w:t>2021-2025</w:t>
            </w:r>
          </w:p>
        </w:tc>
        <w:tc>
          <w:tcPr>
            <w:tcW w:w="1185" w:type="dxa"/>
            <w:shd w:val="clear" w:color="auto" w:fill="auto"/>
            <w:tcMar>
              <w:top w:w="15" w:type="dxa"/>
              <w:left w:w="15" w:type="dxa"/>
              <w:bottom w:w="0" w:type="dxa"/>
              <w:right w:w="15" w:type="dxa"/>
            </w:tcMar>
            <w:vAlign w:val="center"/>
          </w:tcPr>
          <w:p>
            <w:pPr>
              <w:pStyle w:val="57"/>
            </w:pPr>
            <w:r>
              <w:rPr>
                <w:rFonts w:hint="eastAsia"/>
              </w:rPr>
              <w:t>36000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476" w:type="dxa"/>
            <w:shd w:val="clear" w:color="auto" w:fill="auto"/>
            <w:tcMar>
              <w:top w:w="15" w:type="dxa"/>
              <w:left w:w="15" w:type="dxa"/>
              <w:bottom w:w="0" w:type="dxa"/>
              <w:right w:w="15" w:type="dxa"/>
            </w:tcMar>
            <w:vAlign w:val="center"/>
          </w:tcPr>
          <w:p>
            <w:pPr>
              <w:pStyle w:val="57"/>
              <w:rPr>
                <w:b/>
                <w:bCs/>
              </w:rPr>
            </w:pPr>
            <w:r>
              <w:rPr>
                <w:rFonts w:hint="eastAsia"/>
                <w:b/>
                <w:bCs/>
              </w:rPr>
              <w:t>4</w:t>
            </w:r>
          </w:p>
        </w:tc>
        <w:tc>
          <w:tcPr>
            <w:tcW w:w="1215" w:type="dxa"/>
            <w:vMerge w:val="continue"/>
            <w:shd w:val="clear" w:color="auto" w:fill="auto"/>
            <w:vAlign w:val="center"/>
          </w:tcPr>
          <w:p>
            <w:pPr>
              <w:pStyle w:val="57"/>
            </w:pPr>
          </w:p>
        </w:tc>
        <w:tc>
          <w:tcPr>
            <w:tcW w:w="2260" w:type="dxa"/>
            <w:shd w:val="clear" w:color="auto" w:fill="auto"/>
            <w:tcMar>
              <w:top w:w="15" w:type="dxa"/>
              <w:left w:w="15" w:type="dxa"/>
              <w:bottom w:w="0" w:type="dxa"/>
              <w:right w:w="15" w:type="dxa"/>
            </w:tcMar>
            <w:vAlign w:val="center"/>
          </w:tcPr>
          <w:p>
            <w:pPr>
              <w:pStyle w:val="57"/>
            </w:pPr>
            <w:r>
              <w:rPr>
                <w:rFonts w:hint="eastAsia"/>
              </w:rPr>
              <w:t>智慧灌溉工程建设项目</w:t>
            </w:r>
          </w:p>
        </w:tc>
        <w:tc>
          <w:tcPr>
            <w:tcW w:w="6991" w:type="dxa"/>
            <w:shd w:val="clear" w:color="auto" w:fill="auto"/>
            <w:tcMar>
              <w:top w:w="15" w:type="dxa"/>
              <w:left w:w="15" w:type="dxa"/>
              <w:bottom w:w="0" w:type="dxa"/>
              <w:right w:w="15" w:type="dxa"/>
            </w:tcMar>
            <w:vAlign w:val="center"/>
          </w:tcPr>
          <w:p>
            <w:pPr>
              <w:pStyle w:val="57"/>
            </w:pPr>
            <w:r>
              <w:rPr>
                <w:rFonts w:hint="eastAsia"/>
              </w:rPr>
              <w:t>建设从水</w:t>
            </w:r>
            <w:r>
              <w:rPr>
                <w:rFonts w:hint="eastAsia" w:ascii="宋体" w:hAnsi="宋体" w:cs="宋体"/>
              </w:rPr>
              <w:t>源、输水、配水、灌水全过程自动化、数字化节水工程10个，配套建设高效节水农业示范区和水肥一体化示范点。</w:t>
            </w:r>
          </w:p>
        </w:tc>
        <w:tc>
          <w:tcPr>
            <w:tcW w:w="1133" w:type="dxa"/>
            <w:shd w:val="clear" w:color="auto" w:fill="auto"/>
            <w:tcMar>
              <w:top w:w="15" w:type="dxa"/>
              <w:left w:w="15" w:type="dxa"/>
              <w:bottom w:w="0" w:type="dxa"/>
              <w:right w:w="15" w:type="dxa"/>
            </w:tcMar>
            <w:vAlign w:val="center"/>
          </w:tcPr>
          <w:p>
            <w:pPr>
              <w:pStyle w:val="57"/>
            </w:pPr>
            <w:r>
              <w:rPr>
                <w:rFonts w:hint="eastAsia"/>
              </w:rPr>
              <w:t>2022-2024</w:t>
            </w:r>
          </w:p>
        </w:tc>
        <w:tc>
          <w:tcPr>
            <w:tcW w:w="1185" w:type="dxa"/>
            <w:shd w:val="clear" w:color="auto" w:fill="auto"/>
            <w:tcMar>
              <w:top w:w="15" w:type="dxa"/>
              <w:left w:w="15" w:type="dxa"/>
              <w:bottom w:w="0" w:type="dxa"/>
              <w:right w:w="15" w:type="dxa"/>
            </w:tcMar>
            <w:vAlign w:val="center"/>
          </w:tcPr>
          <w:p>
            <w:pPr>
              <w:pStyle w:val="57"/>
            </w:pPr>
            <w:r>
              <w:rPr>
                <w:rFonts w:hint="eastAsia"/>
              </w:rPr>
              <w:t>6000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476" w:type="dxa"/>
            <w:shd w:val="clear" w:color="auto" w:fill="auto"/>
            <w:tcMar>
              <w:top w:w="15" w:type="dxa"/>
              <w:left w:w="15" w:type="dxa"/>
              <w:bottom w:w="0" w:type="dxa"/>
              <w:right w:w="15" w:type="dxa"/>
            </w:tcMar>
            <w:vAlign w:val="center"/>
          </w:tcPr>
          <w:p>
            <w:pPr>
              <w:pStyle w:val="57"/>
              <w:rPr>
                <w:b/>
                <w:bCs/>
              </w:rPr>
            </w:pPr>
            <w:r>
              <w:rPr>
                <w:rFonts w:hint="eastAsia"/>
                <w:b/>
                <w:bCs/>
              </w:rPr>
              <w:t>5</w:t>
            </w:r>
          </w:p>
        </w:tc>
        <w:tc>
          <w:tcPr>
            <w:tcW w:w="1215" w:type="dxa"/>
            <w:vMerge w:val="continue"/>
            <w:shd w:val="clear" w:color="auto" w:fill="auto"/>
            <w:vAlign w:val="center"/>
          </w:tcPr>
          <w:p>
            <w:pPr>
              <w:pStyle w:val="57"/>
            </w:pPr>
          </w:p>
        </w:tc>
        <w:tc>
          <w:tcPr>
            <w:tcW w:w="2260" w:type="dxa"/>
            <w:shd w:val="clear" w:color="auto" w:fill="auto"/>
            <w:tcMar>
              <w:top w:w="15" w:type="dxa"/>
              <w:left w:w="15" w:type="dxa"/>
              <w:bottom w:w="0" w:type="dxa"/>
              <w:right w:w="15" w:type="dxa"/>
            </w:tcMar>
            <w:vAlign w:val="center"/>
          </w:tcPr>
          <w:p>
            <w:pPr>
              <w:pStyle w:val="57"/>
            </w:pPr>
            <w:r>
              <w:rPr>
                <w:rFonts w:hint="eastAsia"/>
              </w:rPr>
              <w:t>农作物病虫害应急防治中心及监测点</w:t>
            </w:r>
          </w:p>
        </w:tc>
        <w:tc>
          <w:tcPr>
            <w:tcW w:w="6991" w:type="dxa"/>
            <w:shd w:val="clear" w:color="auto" w:fill="auto"/>
            <w:tcMar>
              <w:top w:w="15" w:type="dxa"/>
              <w:left w:w="15" w:type="dxa"/>
              <w:bottom w:w="0" w:type="dxa"/>
              <w:right w:w="15" w:type="dxa"/>
            </w:tcMar>
            <w:vAlign w:val="center"/>
          </w:tcPr>
          <w:p>
            <w:pPr>
              <w:pStyle w:val="57"/>
            </w:pPr>
            <w:r>
              <w:rPr>
                <w:rFonts w:hint="eastAsia" w:ascii="宋体" w:hAnsi="宋体" w:cs="宋体"/>
              </w:rPr>
              <w:t>建设一个农作物实验、应急防控中心；同时设置60个田间病虫监测点（其中10个重点监测点，50个常规监测点）。</w:t>
            </w:r>
          </w:p>
        </w:tc>
        <w:tc>
          <w:tcPr>
            <w:tcW w:w="1133" w:type="dxa"/>
            <w:shd w:val="clear" w:color="auto" w:fill="auto"/>
            <w:tcMar>
              <w:top w:w="15" w:type="dxa"/>
              <w:left w:w="15" w:type="dxa"/>
              <w:bottom w:w="0" w:type="dxa"/>
              <w:right w:w="15" w:type="dxa"/>
            </w:tcMar>
            <w:vAlign w:val="center"/>
          </w:tcPr>
          <w:p>
            <w:pPr>
              <w:pStyle w:val="57"/>
            </w:pPr>
            <w:r>
              <w:rPr>
                <w:rFonts w:hint="eastAsia"/>
              </w:rPr>
              <w:t>2021-2023</w:t>
            </w:r>
          </w:p>
        </w:tc>
        <w:tc>
          <w:tcPr>
            <w:tcW w:w="1185" w:type="dxa"/>
            <w:shd w:val="clear" w:color="auto" w:fill="auto"/>
            <w:tcMar>
              <w:top w:w="15" w:type="dxa"/>
              <w:left w:w="15" w:type="dxa"/>
              <w:bottom w:w="0" w:type="dxa"/>
              <w:right w:w="15" w:type="dxa"/>
            </w:tcMar>
            <w:vAlign w:val="center"/>
          </w:tcPr>
          <w:p>
            <w:pPr>
              <w:pStyle w:val="57"/>
            </w:pPr>
            <w:r>
              <w:rPr>
                <w:rFonts w:hint="eastAsia"/>
              </w:rPr>
              <w:t>5000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trPr>
        <w:tc>
          <w:tcPr>
            <w:tcW w:w="12075" w:type="dxa"/>
            <w:gridSpan w:val="5"/>
            <w:shd w:val="clear" w:color="auto" w:fill="auto"/>
            <w:tcMar>
              <w:top w:w="15" w:type="dxa"/>
              <w:left w:w="15" w:type="dxa"/>
              <w:bottom w:w="0" w:type="dxa"/>
              <w:right w:w="15" w:type="dxa"/>
            </w:tcMar>
            <w:vAlign w:val="center"/>
          </w:tcPr>
          <w:p>
            <w:pPr>
              <w:pStyle w:val="57"/>
            </w:pPr>
            <w:r>
              <w:rPr>
                <w:rFonts w:hint="eastAsia"/>
              </w:rPr>
              <w:t>小计</w:t>
            </w:r>
          </w:p>
        </w:tc>
        <w:tc>
          <w:tcPr>
            <w:tcW w:w="1185" w:type="dxa"/>
            <w:shd w:val="clear" w:color="auto" w:fill="auto"/>
            <w:tcMar>
              <w:top w:w="15" w:type="dxa"/>
              <w:left w:w="15" w:type="dxa"/>
              <w:bottom w:w="0" w:type="dxa"/>
              <w:right w:w="15" w:type="dxa"/>
            </w:tcMar>
            <w:vAlign w:val="center"/>
          </w:tcPr>
          <w:p>
            <w:pPr>
              <w:pStyle w:val="57"/>
            </w:pPr>
            <w:r>
              <w:rPr>
                <w:rFonts w:hint="eastAsia"/>
              </w:rPr>
              <w:t>70000</w:t>
            </w:r>
          </w:p>
        </w:tc>
        <w:tc>
          <w:tcPr>
            <w:tcW w:w="1129" w:type="dxa"/>
            <w:shd w:val="clear" w:color="auto" w:fill="auto"/>
            <w:tcMar>
              <w:top w:w="15" w:type="dxa"/>
              <w:left w:w="15" w:type="dxa"/>
              <w:bottom w:w="0" w:type="dxa"/>
              <w:right w:w="15" w:type="dxa"/>
            </w:tcMar>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4" w:hRule="atLeast"/>
        </w:trPr>
        <w:tc>
          <w:tcPr>
            <w:tcW w:w="476" w:type="dxa"/>
            <w:shd w:val="clear" w:color="auto" w:fill="auto"/>
            <w:tcMar>
              <w:top w:w="15" w:type="dxa"/>
              <w:left w:w="15" w:type="dxa"/>
              <w:bottom w:w="0" w:type="dxa"/>
              <w:right w:w="15" w:type="dxa"/>
            </w:tcMar>
            <w:vAlign w:val="center"/>
          </w:tcPr>
          <w:p>
            <w:pPr>
              <w:pStyle w:val="57"/>
              <w:rPr>
                <w:b/>
                <w:bCs/>
              </w:rPr>
            </w:pPr>
            <w:r>
              <w:rPr>
                <w:b/>
                <w:bCs/>
              </w:rPr>
              <w:t>6</w:t>
            </w:r>
          </w:p>
        </w:tc>
        <w:tc>
          <w:tcPr>
            <w:tcW w:w="1215" w:type="dxa"/>
            <w:vMerge w:val="restart"/>
            <w:shd w:val="clear" w:color="auto" w:fill="auto"/>
            <w:vAlign w:val="center"/>
          </w:tcPr>
          <w:p>
            <w:pPr>
              <w:pStyle w:val="57"/>
            </w:pPr>
            <w:r>
              <w:rPr>
                <w:rFonts w:hint="eastAsia"/>
              </w:rPr>
              <w:t>四大产业新高地</w:t>
            </w:r>
          </w:p>
        </w:tc>
        <w:tc>
          <w:tcPr>
            <w:tcW w:w="2260" w:type="dxa"/>
            <w:shd w:val="clear" w:color="auto" w:fill="auto"/>
            <w:tcMar>
              <w:top w:w="15" w:type="dxa"/>
              <w:left w:w="15" w:type="dxa"/>
              <w:bottom w:w="0" w:type="dxa"/>
              <w:right w:w="15" w:type="dxa"/>
            </w:tcMar>
            <w:vAlign w:val="center"/>
          </w:tcPr>
          <w:p>
            <w:pPr>
              <w:pStyle w:val="57"/>
            </w:pPr>
            <w:r>
              <w:rPr>
                <w:rFonts w:hint="eastAsia"/>
              </w:rPr>
              <w:t>百里粮油走廊园区建设项目</w:t>
            </w:r>
          </w:p>
        </w:tc>
        <w:tc>
          <w:tcPr>
            <w:tcW w:w="6991" w:type="dxa"/>
            <w:shd w:val="clear" w:color="auto" w:fill="auto"/>
            <w:tcMar>
              <w:top w:w="15" w:type="dxa"/>
              <w:left w:w="15" w:type="dxa"/>
              <w:bottom w:w="0" w:type="dxa"/>
              <w:right w:w="15" w:type="dxa"/>
            </w:tcMar>
            <w:vAlign w:val="center"/>
          </w:tcPr>
          <w:p>
            <w:pPr>
              <w:pStyle w:val="57"/>
            </w:pPr>
            <w:r>
              <w:rPr>
                <w:rFonts w:hint="eastAsia"/>
              </w:rPr>
              <w:t>围绕“一廊、一核、七片、三心”规划思路，建成高标粮油基地15万亩，健康“稻鱼”水产2.5万亩；配套产业道路175公里，完善水、电、讯等基础设施，配套农商互联、农事服务、农业固废回收处置、专家大院等科技、加工、服务、示范现代农业产业链条基地。</w:t>
            </w:r>
          </w:p>
        </w:tc>
        <w:tc>
          <w:tcPr>
            <w:tcW w:w="1133" w:type="dxa"/>
            <w:shd w:val="clear" w:color="auto" w:fill="auto"/>
            <w:tcMar>
              <w:top w:w="15" w:type="dxa"/>
              <w:left w:w="15" w:type="dxa"/>
              <w:bottom w:w="0" w:type="dxa"/>
              <w:right w:w="15" w:type="dxa"/>
            </w:tcMar>
            <w:vAlign w:val="center"/>
          </w:tcPr>
          <w:p>
            <w:pPr>
              <w:pStyle w:val="57"/>
            </w:pPr>
            <w:r>
              <w:rPr>
                <w:rFonts w:hint="eastAsia"/>
              </w:rPr>
              <w:t>2022-2025</w:t>
            </w:r>
          </w:p>
        </w:tc>
        <w:tc>
          <w:tcPr>
            <w:tcW w:w="1185" w:type="dxa"/>
            <w:shd w:val="clear" w:color="auto" w:fill="auto"/>
            <w:tcMar>
              <w:top w:w="15" w:type="dxa"/>
              <w:left w:w="15" w:type="dxa"/>
              <w:bottom w:w="0" w:type="dxa"/>
              <w:right w:w="15" w:type="dxa"/>
            </w:tcMar>
            <w:vAlign w:val="center"/>
          </w:tcPr>
          <w:p>
            <w:pPr>
              <w:pStyle w:val="57"/>
            </w:pPr>
            <w:r>
              <w:rPr>
                <w:rFonts w:hint="eastAsia"/>
              </w:rPr>
              <w:t>52600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476" w:type="dxa"/>
            <w:shd w:val="clear" w:color="auto" w:fill="auto"/>
            <w:tcMar>
              <w:top w:w="15" w:type="dxa"/>
              <w:left w:w="15" w:type="dxa"/>
              <w:bottom w:w="0" w:type="dxa"/>
              <w:right w:w="15" w:type="dxa"/>
            </w:tcMar>
            <w:vAlign w:val="center"/>
          </w:tcPr>
          <w:p>
            <w:pPr>
              <w:pStyle w:val="57"/>
              <w:rPr>
                <w:b/>
                <w:bCs/>
              </w:rPr>
            </w:pPr>
            <w:r>
              <w:rPr>
                <w:b/>
                <w:bCs/>
              </w:rPr>
              <w:t>7</w:t>
            </w:r>
          </w:p>
        </w:tc>
        <w:tc>
          <w:tcPr>
            <w:tcW w:w="1215" w:type="dxa"/>
            <w:vMerge w:val="continue"/>
            <w:shd w:val="clear" w:color="auto" w:fill="auto"/>
            <w:vAlign w:val="center"/>
          </w:tcPr>
          <w:p>
            <w:pPr>
              <w:pStyle w:val="57"/>
            </w:pPr>
          </w:p>
        </w:tc>
        <w:tc>
          <w:tcPr>
            <w:tcW w:w="2260" w:type="dxa"/>
            <w:shd w:val="clear" w:color="auto" w:fill="auto"/>
            <w:tcMar>
              <w:top w:w="15" w:type="dxa"/>
              <w:left w:w="15" w:type="dxa"/>
              <w:bottom w:w="0" w:type="dxa"/>
              <w:right w:w="15" w:type="dxa"/>
            </w:tcMar>
            <w:vAlign w:val="center"/>
          </w:tcPr>
          <w:p>
            <w:pPr>
              <w:pStyle w:val="57"/>
            </w:pPr>
            <w:r>
              <w:rPr>
                <w:rFonts w:hint="eastAsia"/>
              </w:rPr>
              <w:t>柑橘产业提升项目</w:t>
            </w:r>
          </w:p>
        </w:tc>
        <w:tc>
          <w:tcPr>
            <w:tcW w:w="6991" w:type="dxa"/>
            <w:shd w:val="clear" w:color="auto" w:fill="auto"/>
            <w:tcMar>
              <w:top w:w="15" w:type="dxa"/>
              <w:left w:w="15" w:type="dxa"/>
              <w:bottom w:w="0" w:type="dxa"/>
              <w:right w:w="15" w:type="dxa"/>
            </w:tcMar>
            <w:vAlign w:val="center"/>
          </w:tcPr>
          <w:p>
            <w:pPr>
              <w:pStyle w:val="57"/>
            </w:pPr>
            <w:r>
              <w:rPr>
                <w:rFonts w:hint="eastAsia"/>
              </w:rPr>
              <w:t>开展柑橘生产基地绿色防控5万亩，建设水肥一体化系统覆盖面积5万亩，配套基地物联网等建设。</w:t>
            </w:r>
          </w:p>
        </w:tc>
        <w:tc>
          <w:tcPr>
            <w:tcW w:w="1133" w:type="dxa"/>
            <w:shd w:val="clear" w:color="auto" w:fill="auto"/>
            <w:tcMar>
              <w:top w:w="15" w:type="dxa"/>
              <w:left w:w="15" w:type="dxa"/>
              <w:bottom w:w="0" w:type="dxa"/>
              <w:right w:w="15" w:type="dxa"/>
            </w:tcMar>
            <w:vAlign w:val="center"/>
          </w:tcPr>
          <w:p>
            <w:pPr>
              <w:pStyle w:val="57"/>
            </w:pPr>
            <w:r>
              <w:rPr>
                <w:rFonts w:hint="eastAsia"/>
              </w:rPr>
              <w:t>2021-2025</w:t>
            </w:r>
          </w:p>
        </w:tc>
        <w:tc>
          <w:tcPr>
            <w:tcW w:w="1185" w:type="dxa"/>
            <w:shd w:val="clear" w:color="auto" w:fill="auto"/>
            <w:tcMar>
              <w:top w:w="15" w:type="dxa"/>
              <w:left w:w="15" w:type="dxa"/>
              <w:bottom w:w="0" w:type="dxa"/>
              <w:right w:w="15" w:type="dxa"/>
            </w:tcMar>
            <w:vAlign w:val="center"/>
          </w:tcPr>
          <w:p>
            <w:pPr>
              <w:pStyle w:val="57"/>
            </w:pPr>
            <w:r>
              <w:rPr>
                <w:rFonts w:hint="eastAsia"/>
              </w:rPr>
              <w:t>30000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476" w:type="dxa"/>
            <w:shd w:val="clear" w:color="auto" w:fill="auto"/>
            <w:tcMar>
              <w:top w:w="15" w:type="dxa"/>
              <w:left w:w="15" w:type="dxa"/>
              <w:bottom w:w="0" w:type="dxa"/>
              <w:right w:w="15" w:type="dxa"/>
            </w:tcMar>
            <w:vAlign w:val="center"/>
          </w:tcPr>
          <w:p>
            <w:pPr>
              <w:pStyle w:val="57"/>
              <w:rPr>
                <w:b/>
                <w:bCs/>
              </w:rPr>
            </w:pPr>
            <w:r>
              <w:rPr>
                <w:b/>
                <w:bCs/>
              </w:rPr>
              <w:t>8</w:t>
            </w:r>
          </w:p>
        </w:tc>
        <w:tc>
          <w:tcPr>
            <w:tcW w:w="1215" w:type="dxa"/>
            <w:vMerge w:val="continue"/>
            <w:shd w:val="clear" w:color="auto" w:fill="auto"/>
            <w:vAlign w:val="center"/>
          </w:tcPr>
          <w:p>
            <w:pPr>
              <w:pStyle w:val="57"/>
            </w:pPr>
          </w:p>
        </w:tc>
        <w:tc>
          <w:tcPr>
            <w:tcW w:w="2260" w:type="dxa"/>
            <w:shd w:val="clear" w:color="auto" w:fill="auto"/>
            <w:tcMar>
              <w:top w:w="15" w:type="dxa"/>
              <w:left w:w="15" w:type="dxa"/>
              <w:bottom w:w="0" w:type="dxa"/>
              <w:right w:w="15" w:type="dxa"/>
            </w:tcMar>
            <w:vAlign w:val="center"/>
          </w:tcPr>
          <w:p>
            <w:pPr>
              <w:pStyle w:val="57"/>
              <w:rPr>
                <w:color w:val="FF0000"/>
              </w:rPr>
            </w:pPr>
            <w:r>
              <w:rPr>
                <w:rFonts w:hint="eastAsia"/>
              </w:rPr>
              <w:t>生猪产业提档升级项目</w:t>
            </w:r>
          </w:p>
        </w:tc>
        <w:tc>
          <w:tcPr>
            <w:tcW w:w="6991" w:type="dxa"/>
            <w:shd w:val="clear" w:color="auto" w:fill="auto"/>
            <w:tcMar>
              <w:top w:w="15" w:type="dxa"/>
              <w:left w:w="15" w:type="dxa"/>
              <w:bottom w:w="0" w:type="dxa"/>
              <w:right w:w="15" w:type="dxa"/>
            </w:tcMar>
            <w:vAlign w:val="center"/>
          </w:tcPr>
          <w:p>
            <w:pPr>
              <w:pStyle w:val="57"/>
            </w:pPr>
            <w:r>
              <w:rPr>
                <w:rFonts w:hint="eastAsia"/>
              </w:rPr>
              <w:t>新改（扩）建标准化养殖场30个，建设自动化投料系统、饮水系统、温控系统、消毒系统，新建沉淀池、储液池、刮粪设施，通过养殖废弃物资源化综合利用，采用节水改造及粪便发酵再利用技术，达到区域农业废物零排放、全消纳的目标。</w:t>
            </w:r>
          </w:p>
        </w:tc>
        <w:tc>
          <w:tcPr>
            <w:tcW w:w="1133" w:type="dxa"/>
            <w:shd w:val="clear" w:color="auto" w:fill="auto"/>
            <w:tcMar>
              <w:top w:w="15" w:type="dxa"/>
              <w:left w:w="15" w:type="dxa"/>
              <w:bottom w:w="0" w:type="dxa"/>
              <w:right w:w="15" w:type="dxa"/>
            </w:tcMar>
            <w:vAlign w:val="center"/>
          </w:tcPr>
          <w:p>
            <w:pPr>
              <w:pStyle w:val="57"/>
            </w:pPr>
            <w:r>
              <w:rPr>
                <w:rFonts w:hint="eastAsia"/>
              </w:rPr>
              <w:t>2</w:t>
            </w:r>
            <w:r>
              <w:t>021-2025</w:t>
            </w:r>
          </w:p>
        </w:tc>
        <w:tc>
          <w:tcPr>
            <w:tcW w:w="1185" w:type="dxa"/>
            <w:shd w:val="clear" w:color="auto" w:fill="auto"/>
            <w:tcMar>
              <w:top w:w="15" w:type="dxa"/>
              <w:left w:w="15" w:type="dxa"/>
              <w:bottom w:w="0" w:type="dxa"/>
              <w:right w:w="15" w:type="dxa"/>
            </w:tcMar>
            <w:vAlign w:val="center"/>
          </w:tcPr>
          <w:p>
            <w:pPr>
              <w:pStyle w:val="57"/>
            </w:pPr>
            <w:r>
              <w:rPr>
                <w:rFonts w:hint="eastAsia"/>
              </w:rPr>
              <w:t>30</w:t>
            </w:r>
            <w:r>
              <w:t>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476" w:type="dxa"/>
            <w:shd w:val="clear" w:color="auto" w:fill="auto"/>
            <w:tcMar>
              <w:top w:w="15" w:type="dxa"/>
              <w:left w:w="15" w:type="dxa"/>
              <w:bottom w:w="0" w:type="dxa"/>
              <w:right w:w="15" w:type="dxa"/>
            </w:tcMar>
            <w:vAlign w:val="center"/>
          </w:tcPr>
          <w:p>
            <w:pPr>
              <w:pStyle w:val="57"/>
              <w:rPr>
                <w:b/>
                <w:bCs/>
              </w:rPr>
            </w:pPr>
            <w:r>
              <w:rPr>
                <w:b/>
                <w:bCs/>
              </w:rPr>
              <w:t>9</w:t>
            </w:r>
          </w:p>
        </w:tc>
        <w:tc>
          <w:tcPr>
            <w:tcW w:w="1215" w:type="dxa"/>
            <w:vMerge w:val="continue"/>
            <w:shd w:val="clear" w:color="auto" w:fill="auto"/>
            <w:vAlign w:val="center"/>
          </w:tcPr>
          <w:p>
            <w:pPr>
              <w:pStyle w:val="57"/>
            </w:pPr>
          </w:p>
        </w:tc>
        <w:tc>
          <w:tcPr>
            <w:tcW w:w="2260" w:type="dxa"/>
            <w:shd w:val="clear" w:color="auto" w:fill="auto"/>
            <w:tcMar>
              <w:top w:w="15" w:type="dxa"/>
              <w:left w:w="15" w:type="dxa"/>
              <w:bottom w:w="0" w:type="dxa"/>
              <w:right w:w="15" w:type="dxa"/>
            </w:tcMar>
            <w:vAlign w:val="center"/>
          </w:tcPr>
          <w:p>
            <w:pPr>
              <w:pStyle w:val="57"/>
            </w:pPr>
            <w:r>
              <w:rPr>
                <w:rFonts w:hint="eastAsia"/>
              </w:rPr>
              <w:t>区域性水产品品质提升中心建设项目</w:t>
            </w:r>
          </w:p>
        </w:tc>
        <w:tc>
          <w:tcPr>
            <w:tcW w:w="6991" w:type="dxa"/>
            <w:shd w:val="clear" w:color="auto" w:fill="auto"/>
            <w:tcMar>
              <w:top w:w="15" w:type="dxa"/>
              <w:left w:w="15" w:type="dxa"/>
              <w:bottom w:w="0" w:type="dxa"/>
              <w:right w:w="15" w:type="dxa"/>
            </w:tcMar>
            <w:vAlign w:val="center"/>
          </w:tcPr>
          <w:p>
            <w:pPr>
              <w:pStyle w:val="57"/>
            </w:pPr>
            <w:r>
              <w:rPr>
                <w:rFonts w:hint="eastAsia"/>
              </w:rPr>
              <w:t>建设井研县水产品品质提升中心1个，占地80亩，建筑面积6000</w:t>
            </w:r>
            <w:r>
              <w:rPr>
                <w:rFonts w:hint="eastAsia"/>
                <w:lang w:eastAsia="zh-CN"/>
              </w:rPr>
              <w:t>平方米</w:t>
            </w:r>
            <w:r>
              <w:rPr>
                <w:rFonts w:hint="eastAsia"/>
              </w:rPr>
              <w:t>。建设一套时产40吨电化水杀菌系统，一个水产品药残快检实验室，4000</w:t>
            </w:r>
            <w:r>
              <w:rPr>
                <w:rFonts w:hint="eastAsia"/>
                <w:lang w:eastAsia="zh-CN"/>
              </w:rPr>
              <w:t>平方米</w:t>
            </w:r>
            <w:r>
              <w:rPr>
                <w:rFonts w:hint="eastAsia"/>
              </w:rPr>
              <w:t>水产品分拣中心及配套设施。</w:t>
            </w:r>
          </w:p>
        </w:tc>
        <w:tc>
          <w:tcPr>
            <w:tcW w:w="1133" w:type="dxa"/>
            <w:shd w:val="clear" w:color="auto" w:fill="auto"/>
            <w:tcMar>
              <w:top w:w="15" w:type="dxa"/>
              <w:left w:w="15" w:type="dxa"/>
              <w:bottom w:w="0" w:type="dxa"/>
              <w:right w:w="15" w:type="dxa"/>
            </w:tcMar>
            <w:vAlign w:val="center"/>
          </w:tcPr>
          <w:p>
            <w:pPr>
              <w:pStyle w:val="57"/>
            </w:pPr>
            <w:r>
              <w:rPr>
                <w:rFonts w:hint="eastAsia"/>
              </w:rPr>
              <w:t>2023-2025</w:t>
            </w:r>
          </w:p>
        </w:tc>
        <w:tc>
          <w:tcPr>
            <w:tcW w:w="1185" w:type="dxa"/>
            <w:shd w:val="clear" w:color="auto" w:fill="auto"/>
            <w:tcMar>
              <w:top w:w="15" w:type="dxa"/>
              <w:left w:w="15" w:type="dxa"/>
              <w:bottom w:w="0" w:type="dxa"/>
              <w:right w:w="15" w:type="dxa"/>
            </w:tcMar>
            <w:vAlign w:val="center"/>
          </w:tcPr>
          <w:p>
            <w:pPr>
              <w:pStyle w:val="57"/>
            </w:pPr>
            <w:r>
              <w:rPr>
                <w:rFonts w:hint="eastAsia"/>
              </w:rPr>
              <w:t>10000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trPr>
        <w:tc>
          <w:tcPr>
            <w:tcW w:w="12075" w:type="dxa"/>
            <w:gridSpan w:val="5"/>
            <w:shd w:val="clear" w:color="auto" w:fill="auto"/>
            <w:tcMar>
              <w:top w:w="15" w:type="dxa"/>
              <w:left w:w="15" w:type="dxa"/>
              <w:bottom w:w="0" w:type="dxa"/>
              <w:right w:w="15" w:type="dxa"/>
            </w:tcMar>
            <w:vAlign w:val="center"/>
          </w:tcPr>
          <w:p>
            <w:pPr>
              <w:pStyle w:val="57"/>
            </w:pPr>
            <w:r>
              <w:rPr>
                <w:rFonts w:hint="eastAsia"/>
              </w:rPr>
              <w:t>小计</w:t>
            </w:r>
          </w:p>
        </w:tc>
        <w:tc>
          <w:tcPr>
            <w:tcW w:w="1185" w:type="dxa"/>
            <w:shd w:val="clear" w:color="auto" w:fill="auto"/>
            <w:tcMar>
              <w:top w:w="15" w:type="dxa"/>
              <w:left w:w="15" w:type="dxa"/>
              <w:bottom w:w="0" w:type="dxa"/>
              <w:right w:w="15" w:type="dxa"/>
            </w:tcMar>
            <w:vAlign w:val="center"/>
          </w:tcPr>
          <w:p>
            <w:pPr>
              <w:pStyle w:val="57"/>
            </w:pPr>
            <w:r>
              <w:rPr>
                <w:rFonts w:hint="eastAsia"/>
              </w:rPr>
              <w:t>122600</w:t>
            </w:r>
          </w:p>
        </w:tc>
        <w:tc>
          <w:tcPr>
            <w:tcW w:w="1129" w:type="dxa"/>
            <w:shd w:val="clear" w:color="auto" w:fill="auto"/>
            <w:tcMar>
              <w:top w:w="15" w:type="dxa"/>
              <w:left w:w="15" w:type="dxa"/>
              <w:bottom w:w="0" w:type="dxa"/>
              <w:right w:w="15" w:type="dxa"/>
            </w:tcMar>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3" w:hRule="atLeast"/>
        </w:trPr>
        <w:tc>
          <w:tcPr>
            <w:tcW w:w="476" w:type="dxa"/>
            <w:shd w:val="clear" w:color="auto" w:fill="auto"/>
            <w:tcMar>
              <w:top w:w="15" w:type="dxa"/>
              <w:left w:w="15" w:type="dxa"/>
              <w:bottom w:w="0" w:type="dxa"/>
              <w:right w:w="15" w:type="dxa"/>
            </w:tcMar>
            <w:vAlign w:val="center"/>
          </w:tcPr>
          <w:p>
            <w:pPr>
              <w:pStyle w:val="57"/>
              <w:rPr>
                <w:b/>
                <w:bCs/>
              </w:rPr>
            </w:pPr>
            <w:r>
              <w:rPr>
                <w:b/>
                <w:bCs/>
              </w:rPr>
              <w:t>10</w:t>
            </w:r>
          </w:p>
        </w:tc>
        <w:tc>
          <w:tcPr>
            <w:tcW w:w="1215" w:type="dxa"/>
            <w:vMerge w:val="restart"/>
            <w:shd w:val="clear" w:color="auto" w:fill="auto"/>
            <w:vAlign w:val="center"/>
          </w:tcPr>
          <w:p>
            <w:pPr>
              <w:pStyle w:val="57"/>
            </w:pPr>
            <w:r>
              <w:rPr>
                <w:rFonts w:hint="eastAsia"/>
              </w:rPr>
              <w:t>现代农业产业链融合发展</w:t>
            </w:r>
          </w:p>
        </w:tc>
        <w:tc>
          <w:tcPr>
            <w:tcW w:w="2260" w:type="dxa"/>
            <w:shd w:val="clear" w:color="auto" w:fill="auto"/>
            <w:tcMar>
              <w:top w:w="15" w:type="dxa"/>
              <w:left w:w="15" w:type="dxa"/>
              <w:bottom w:w="0" w:type="dxa"/>
              <w:right w:w="15" w:type="dxa"/>
            </w:tcMar>
            <w:vAlign w:val="center"/>
          </w:tcPr>
          <w:p>
            <w:pPr>
              <w:pStyle w:val="57"/>
            </w:pPr>
            <w:r>
              <w:rPr>
                <w:rFonts w:hint="eastAsia"/>
              </w:rPr>
              <w:t>大米精深加工基地建设项目</w:t>
            </w:r>
          </w:p>
        </w:tc>
        <w:tc>
          <w:tcPr>
            <w:tcW w:w="6991" w:type="dxa"/>
            <w:shd w:val="clear" w:color="auto" w:fill="auto"/>
            <w:tcMar>
              <w:top w:w="15" w:type="dxa"/>
              <w:left w:w="15" w:type="dxa"/>
              <w:bottom w:w="0" w:type="dxa"/>
              <w:right w:w="15" w:type="dxa"/>
            </w:tcMar>
            <w:vAlign w:val="center"/>
          </w:tcPr>
          <w:p>
            <w:pPr>
              <w:pStyle w:val="57"/>
            </w:pPr>
            <w:r>
              <w:rPr>
                <w:rFonts w:hint="eastAsia"/>
              </w:rPr>
              <w:t>建设占地50亩的大米精深加工基地，配套抛光、精选、包装以及制作米酒、雪饼、爆米花等所需设施设备。</w:t>
            </w:r>
          </w:p>
        </w:tc>
        <w:tc>
          <w:tcPr>
            <w:tcW w:w="1133" w:type="dxa"/>
            <w:shd w:val="clear" w:color="auto" w:fill="auto"/>
            <w:tcMar>
              <w:top w:w="15" w:type="dxa"/>
              <w:left w:w="15" w:type="dxa"/>
              <w:bottom w:w="0" w:type="dxa"/>
              <w:right w:w="15" w:type="dxa"/>
            </w:tcMar>
            <w:vAlign w:val="center"/>
          </w:tcPr>
          <w:p>
            <w:pPr>
              <w:pStyle w:val="57"/>
            </w:pPr>
            <w:r>
              <w:rPr>
                <w:rFonts w:hint="eastAsia"/>
              </w:rPr>
              <w:t>2023-2025</w:t>
            </w:r>
          </w:p>
        </w:tc>
        <w:tc>
          <w:tcPr>
            <w:tcW w:w="1185" w:type="dxa"/>
            <w:shd w:val="clear" w:color="auto" w:fill="auto"/>
            <w:tcMar>
              <w:top w:w="15" w:type="dxa"/>
              <w:left w:w="15" w:type="dxa"/>
              <w:bottom w:w="0" w:type="dxa"/>
              <w:right w:w="15" w:type="dxa"/>
            </w:tcMar>
            <w:vAlign w:val="center"/>
          </w:tcPr>
          <w:p>
            <w:pPr>
              <w:pStyle w:val="57"/>
            </w:pPr>
            <w:r>
              <w:rPr>
                <w:rFonts w:hint="eastAsia"/>
              </w:rPr>
              <w:t>5000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476" w:type="dxa"/>
            <w:shd w:val="clear" w:color="auto" w:fill="auto"/>
            <w:tcMar>
              <w:top w:w="15" w:type="dxa"/>
              <w:left w:w="15" w:type="dxa"/>
              <w:bottom w:w="0" w:type="dxa"/>
              <w:right w:w="15" w:type="dxa"/>
            </w:tcMar>
            <w:vAlign w:val="center"/>
          </w:tcPr>
          <w:p>
            <w:pPr>
              <w:pStyle w:val="57"/>
              <w:rPr>
                <w:b/>
                <w:bCs/>
              </w:rPr>
            </w:pPr>
            <w:r>
              <w:rPr>
                <w:rFonts w:hint="eastAsia"/>
                <w:b/>
                <w:bCs/>
              </w:rPr>
              <w:t>1</w:t>
            </w:r>
            <w:r>
              <w:rPr>
                <w:b/>
                <w:bCs/>
              </w:rPr>
              <w:t>1</w:t>
            </w:r>
          </w:p>
        </w:tc>
        <w:tc>
          <w:tcPr>
            <w:tcW w:w="1215" w:type="dxa"/>
            <w:vMerge w:val="continue"/>
            <w:shd w:val="clear" w:color="auto" w:fill="auto"/>
            <w:tcMar>
              <w:top w:w="15" w:type="dxa"/>
              <w:left w:w="15" w:type="dxa"/>
              <w:bottom w:w="0" w:type="dxa"/>
              <w:right w:w="15" w:type="dxa"/>
            </w:tcMar>
            <w:vAlign w:val="center"/>
          </w:tcPr>
          <w:p>
            <w:pPr>
              <w:pStyle w:val="57"/>
              <w:rPr>
                <w:highlight w:val="yellow"/>
              </w:rPr>
            </w:pPr>
          </w:p>
        </w:tc>
        <w:tc>
          <w:tcPr>
            <w:tcW w:w="2260" w:type="dxa"/>
            <w:shd w:val="clear" w:color="auto" w:fill="auto"/>
            <w:tcMar>
              <w:top w:w="15" w:type="dxa"/>
              <w:left w:w="15" w:type="dxa"/>
              <w:bottom w:w="0" w:type="dxa"/>
              <w:right w:w="15" w:type="dxa"/>
            </w:tcMar>
            <w:vAlign w:val="center"/>
          </w:tcPr>
          <w:p>
            <w:pPr>
              <w:pStyle w:val="57"/>
              <w:rPr>
                <w:highlight w:val="yellow"/>
              </w:rPr>
            </w:pPr>
            <w:r>
              <w:rPr>
                <w:rFonts w:hint="eastAsia"/>
              </w:rPr>
              <w:t>柑橘精深加工基地建设项目</w:t>
            </w:r>
          </w:p>
        </w:tc>
        <w:tc>
          <w:tcPr>
            <w:tcW w:w="6991" w:type="dxa"/>
            <w:shd w:val="clear" w:color="auto" w:fill="auto"/>
            <w:tcMar>
              <w:top w:w="15" w:type="dxa"/>
              <w:left w:w="15" w:type="dxa"/>
              <w:bottom w:w="0" w:type="dxa"/>
              <w:right w:w="15" w:type="dxa"/>
            </w:tcMar>
            <w:vAlign w:val="center"/>
          </w:tcPr>
          <w:p>
            <w:pPr>
              <w:pStyle w:val="57"/>
              <w:rPr>
                <w:highlight w:val="yellow"/>
              </w:rPr>
            </w:pPr>
            <w:r>
              <w:rPr>
                <w:rFonts w:hint="eastAsia"/>
              </w:rPr>
              <w:t>建设占地10000m²柑橘精深加工厂1个，配套柑橘生物发酵厂房，建设各类柑橘精深加工生产线4条。</w:t>
            </w:r>
          </w:p>
        </w:tc>
        <w:tc>
          <w:tcPr>
            <w:tcW w:w="1133" w:type="dxa"/>
            <w:shd w:val="clear" w:color="auto" w:fill="auto"/>
            <w:tcMar>
              <w:top w:w="15" w:type="dxa"/>
              <w:left w:w="15" w:type="dxa"/>
              <w:bottom w:w="0" w:type="dxa"/>
              <w:right w:w="15" w:type="dxa"/>
            </w:tcMar>
            <w:vAlign w:val="center"/>
          </w:tcPr>
          <w:p>
            <w:pPr>
              <w:pStyle w:val="57"/>
              <w:rPr>
                <w:highlight w:val="yellow"/>
              </w:rPr>
            </w:pPr>
            <w:r>
              <w:rPr>
                <w:rFonts w:hint="eastAsia"/>
              </w:rPr>
              <w:t>2023-2025</w:t>
            </w:r>
          </w:p>
        </w:tc>
        <w:tc>
          <w:tcPr>
            <w:tcW w:w="1185" w:type="dxa"/>
            <w:shd w:val="clear" w:color="auto" w:fill="auto"/>
            <w:tcMar>
              <w:top w:w="15" w:type="dxa"/>
              <w:left w:w="15" w:type="dxa"/>
              <w:bottom w:w="0" w:type="dxa"/>
              <w:right w:w="15" w:type="dxa"/>
            </w:tcMar>
            <w:vAlign w:val="center"/>
          </w:tcPr>
          <w:p>
            <w:pPr>
              <w:pStyle w:val="57"/>
              <w:rPr>
                <w:highlight w:val="yellow"/>
              </w:rPr>
            </w:pPr>
            <w:r>
              <w:rPr>
                <w:rFonts w:hint="eastAsia"/>
              </w:rPr>
              <w:t>23000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476" w:type="dxa"/>
            <w:shd w:val="clear" w:color="auto" w:fill="auto"/>
            <w:tcMar>
              <w:top w:w="15" w:type="dxa"/>
              <w:left w:w="15" w:type="dxa"/>
              <w:bottom w:w="0" w:type="dxa"/>
              <w:right w:w="15" w:type="dxa"/>
            </w:tcMar>
            <w:vAlign w:val="center"/>
          </w:tcPr>
          <w:p>
            <w:pPr>
              <w:pStyle w:val="57"/>
              <w:rPr>
                <w:b/>
                <w:bCs/>
              </w:rPr>
            </w:pPr>
            <w:r>
              <w:rPr>
                <w:rFonts w:hint="eastAsia"/>
                <w:b/>
                <w:bCs/>
              </w:rPr>
              <w:t>1</w:t>
            </w:r>
            <w:r>
              <w:rPr>
                <w:b/>
                <w:bCs/>
              </w:rPr>
              <w:t>2</w:t>
            </w:r>
          </w:p>
        </w:tc>
        <w:tc>
          <w:tcPr>
            <w:tcW w:w="1215" w:type="dxa"/>
            <w:vMerge w:val="continue"/>
            <w:shd w:val="clear" w:color="auto" w:fill="auto"/>
            <w:vAlign w:val="center"/>
          </w:tcPr>
          <w:p>
            <w:pPr>
              <w:pStyle w:val="57"/>
              <w:rPr>
                <w:highlight w:val="yellow"/>
              </w:rPr>
            </w:pPr>
          </w:p>
        </w:tc>
        <w:tc>
          <w:tcPr>
            <w:tcW w:w="2260" w:type="dxa"/>
            <w:shd w:val="clear" w:color="auto" w:fill="auto"/>
            <w:tcMar>
              <w:top w:w="15" w:type="dxa"/>
              <w:left w:w="15" w:type="dxa"/>
              <w:bottom w:w="0" w:type="dxa"/>
              <w:right w:w="15" w:type="dxa"/>
            </w:tcMar>
            <w:vAlign w:val="center"/>
          </w:tcPr>
          <w:p>
            <w:pPr>
              <w:pStyle w:val="57"/>
              <w:rPr>
                <w:highlight w:val="yellow"/>
              </w:rPr>
            </w:pPr>
            <w:r>
              <w:rPr>
                <w:rFonts w:hint="eastAsia"/>
              </w:rPr>
              <w:t>速食营养肉制品加工生产线</w:t>
            </w:r>
          </w:p>
        </w:tc>
        <w:tc>
          <w:tcPr>
            <w:tcW w:w="6991" w:type="dxa"/>
            <w:shd w:val="clear" w:color="auto" w:fill="auto"/>
            <w:tcMar>
              <w:top w:w="15" w:type="dxa"/>
              <w:left w:w="15" w:type="dxa"/>
              <w:bottom w:w="0" w:type="dxa"/>
              <w:right w:w="15" w:type="dxa"/>
            </w:tcMar>
            <w:vAlign w:val="center"/>
          </w:tcPr>
          <w:p>
            <w:pPr>
              <w:pStyle w:val="57"/>
              <w:rPr>
                <w:highlight w:val="yellow"/>
              </w:rPr>
            </w:pPr>
            <w:r>
              <w:rPr>
                <w:rFonts w:hint="eastAsia"/>
              </w:rPr>
              <w:t>新建真空包装生产线一条，熟食生产线4条，形成年产4000吨畜禽产品（猪、牛、羊、鸡）加工生产能力。</w:t>
            </w:r>
          </w:p>
        </w:tc>
        <w:tc>
          <w:tcPr>
            <w:tcW w:w="1133" w:type="dxa"/>
            <w:shd w:val="clear" w:color="auto" w:fill="auto"/>
            <w:tcMar>
              <w:top w:w="15" w:type="dxa"/>
              <w:left w:w="15" w:type="dxa"/>
              <w:bottom w:w="0" w:type="dxa"/>
              <w:right w:w="15" w:type="dxa"/>
            </w:tcMar>
            <w:vAlign w:val="center"/>
          </w:tcPr>
          <w:p>
            <w:pPr>
              <w:pStyle w:val="57"/>
              <w:rPr>
                <w:highlight w:val="yellow"/>
              </w:rPr>
            </w:pPr>
            <w:r>
              <w:rPr>
                <w:rFonts w:hint="eastAsia"/>
              </w:rPr>
              <w:t>2021-2025</w:t>
            </w:r>
          </w:p>
        </w:tc>
        <w:tc>
          <w:tcPr>
            <w:tcW w:w="1185" w:type="dxa"/>
            <w:shd w:val="clear" w:color="auto" w:fill="auto"/>
            <w:tcMar>
              <w:top w:w="15" w:type="dxa"/>
              <w:left w:w="15" w:type="dxa"/>
              <w:bottom w:w="0" w:type="dxa"/>
              <w:right w:w="15" w:type="dxa"/>
            </w:tcMar>
            <w:vAlign w:val="center"/>
          </w:tcPr>
          <w:p>
            <w:pPr>
              <w:pStyle w:val="57"/>
              <w:rPr>
                <w:highlight w:val="yellow"/>
              </w:rPr>
            </w:pPr>
            <w:r>
              <w:rPr>
                <w:rFonts w:hint="eastAsia"/>
              </w:rPr>
              <w:t>13000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476" w:type="dxa"/>
            <w:shd w:val="clear" w:color="auto" w:fill="auto"/>
            <w:tcMar>
              <w:top w:w="15" w:type="dxa"/>
              <w:left w:w="15" w:type="dxa"/>
              <w:bottom w:w="0" w:type="dxa"/>
              <w:right w:w="15" w:type="dxa"/>
            </w:tcMar>
            <w:vAlign w:val="center"/>
          </w:tcPr>
          <w:p>
            <w:pPr>
              <w:pStyle w:val="57"/>
              <w:rPr>
                <w:b/>
                <w:bCs/>
              </w:rPr>
            </w:pPr>
            <w:r>
              <w:rPr>
                <w:rFonts w:hint="eastAsia"/>
                <w:b/>
                <w:bCs/>
              </w:rPr>
              <w:t>1</w:t>
            </w:r>
            <w:r>
              <w:rPr>
                <w:b/>
                <w:bCs/>
              </w:rPr>
              <w:t>3</w:t>
            </w:r>
          </w:p>
        </w:tc>
        <w:tc>
          <w:tcPr>
            <w:tcW w:w="1215" w:type="dxa"/>
            <w:vMerge w:val="continue"/>
            <w:shd w:val="clear" w:color="auto" w:fill="auto"/>
            <w:vAlign w:val="center"/>
          </w:tcPr>
          <w:p>
            <w:pPr>
              <w:pStyle w:val="57"/>
              <w:rPr>
                <w:highlight w:val="yellow"/>
              </w:rPr>
            </w:pPr>
          </w:p>
        </w:tc>
        <w:tc>
          <w:tcPr>
            <w:tcW w:w="2260" w:type="dxa"/>
            <w:shd w:val="clear" w:color="auto" w:fill="auto"/>
            <w:tcMar>
              <w:top w:w="15" w:type="dxa"/>
              <w:left w:w="15" w:type="dxa"/>
              <w:bottom w:w="0" w:type="dxa"/>
              <w:right w:w="15" w:type="dxa"/>
            </w:tcMar>
            <w:vAlign w:val="center"/>
          </w:tcPr>
          <w:p>
            <w:pPr>
              <w:pStyle w:val="57"/>
              <w:rPr>
                <w:highlight w:val="yellow"/>
              </w:rPr>
            </w:pPr>
            <w:r>
              <w:rPr>
                <w:rFonts w:hint="eastAsia"/>
              </w:rPr>
              <w:t>井研县农商互联集配中心（一期）项目</w:t>
            </w:r>
          </w:p>
        </w:tc>
        <w:tc>
          <w:tcPr>
            <w:tcW w:w="6991" w:type="dxa"/>
            <w:shd w:val="clear" w:color="auto" w:fill="auto"/>
            <w:tcMar>
              <w:top w:w="15" w:type="dxa"/>
              <w:left w:w="15" w:type="dxa"/>
              <w:bottom w:w="0" w:type="dxa"/>
              <w:right w:w="15" w:type="dxa"/>
            </w:tcMar>
            <w:vAlign w:val="center"/>
          </w:tcPr>
          <w:p>
            <w:pPr>
              <w:pStyle w:val="57"/>
              <w:rPr>
                <w:highlight w:val="yellow"/>
              </w:rPr>
            </w:pPr>
            <w:r>
              <w:rPr>
                <w:rFonts w:hint="eastAsia"/>
              </w:rPr>
              <w:t>建设占地68.8亩的农产品加工物流园区，含仓储加工中心、冷链物流中心、农产品展销中心、农村电商中心、农业服务中心、批发交易中心，配套相关设施设备。</w:t>
            </w:r>
          </w:p>
        </w:tc>
        <w:tc>
          <w:tcPr>
            <w:tcW w:w="1133" w:type="dxa"/>
            <w:shd w:val="clear" w:color="auto" w:fill="auto"/>
            <w:tcMar>
              <w:top w:w="15" w:type="dxa"/>
              <w:left w:w="15" w:type="dxa"/>
              <w:bottom w:w="0" w:type="dxa"/>
              <w:right w:w="15" w:type="dxa"/>
            </w:tcMar>
            <w:vAlign w:val="center"/>
          </w:tcPr>
          <w:p>
            <w:pPr>
              <w:pStyle w:val="57"/>
              <w:rPr>
                <w:highlight w:val="yellow"/>
              </w:rPr>
            </w:pPr>
            <w:r>
              <w:rPr>
                <w:rFonts w:hint="eastAsia"/>
              </w:rPr>
              <w:t>2021-2023</w:t>
            </w:r>
          </w:p>
        </w:tc>
        <w:tc>
          <w:tcPr>
            <w:tcW w:w="1185" w:type="dxa"/>
            <w:shd w:val="clear" w:color="auto" w:fill="auto"/>
            <w:tcMar>
              <w:top w:w="15" w:type="dxa"/>
              <w:left w:w="15" w:type="dxa"/>
              <w:bottom w:w="0" w:type="dxa"/>
              <w:right w:w="15" w:type="dxa"/>
            </w:tcMar>
            <w:vAlign w:val="center"/>
          </w:tcPr>
          <w:p>
            <w:pPr>
              <w:pStyle w:val="57"/>
              <w:rPr>
                <w:highlight w:val="yellow"/>
              </w:rPr>
            </w:pPr>
            <w:r>
              <w:rPr>
                <w:rFonts w:hint="eastAsia"/>
              </w:rPr>
              <w:t>17000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476" w:type="dxa"/>
            <w:shd w:val="clear" w:color="auto" w:fill="auto"/>
            <w:tcMar>
              <w:top w:w="15" w:type="dxa"/>
              <w:left w:w="15" w:type="dxa"/>
              <w:bottom w:w="0" w:type="dxa"/>
              <w:right w:w="15" w:type="dxa"/>
            </w:tcMar>
            <w:vAlign w:val="center"/>
          </w:tcPr>
          <w:p>
            <w:pPr>
              <w:pStyle w:val="57"/>
              <w:rPr>
                <w:b/>
                <w:bCs/>
              </w:rPr>
            </w:pPr>
            <w:r>
              <w:rPr>
                <w:rFonts w:hint="eastAsia"/>
                <w:b/>
                <w:bCs/>
              </w:rPr>
              <w:t>1</w:t>
            </w:r>
            <w:r>
              <w:rPr>
                <w:b/>
                <w:bCs/>
              </w:rPr>
              <w:t>4</w:t>
            </w:r>
          </w:p>
        </w:tc>
        <w:tc>
          <w:tcPr>
            <w:tcW w:w="1215" w:type="dxa"/>
            <w:vMerge w:val="continue"/>
            <w:shd w:val="clear" w:color="auto" w:fill="auto"/>
            <w:vAlign w:val="center"/>
          </w:tcPr>
          <w:p>
            <w:pPr>
              <w:pStyle w:val="57"/>
              <w:rPr>
                <w:highlight w:val="yellow"/>
              </w:rPr>
            </w:pPr>
          </w:p>
        </w:tc>
        <w:tc>
          <w:tcPr>
            <w:tcW w:w="2260" w:type="dxa"/>
            <w:shd w:val="clear" w:color="auto" w:fill="auto"/>
            <w:tcMar>
              <w:top w:w="15" w:type="dxa"/>
              <w:left w:w="15" w:type="dxa"/>
              <w:bottom w:w="0" w:type="dxa"/>
              <w:right w:w="15" w:type="dxa"/>
            </w:tcMar>
            <w:vAlign w:val="center"/>
          </w:tcPr>
          <w:p>
            <w:pPr>
              <w:pStyle w:val="57"/>
            </w:pPr>
            <w:r>
              <w:rPr>
                <w:rFonts w:hint="eastAsia"/>
              </w:rPr>
              <w:t>烘干冷链物流省级试点县项目</w:t>
            </w:r>
          </w:p>
        </w:tc>
        <w:tc>
          <w:tcPr>
            <w:tcW w:w="6991" w:type="dxa"/>
            <w:shd w:val="clear" w:color="auto" w:fill="auto"/>
            <w:tcMar>
              <w:top w:w="15" w:type="dxa"/>
              <w:left w:w="15" w:type="dxa"/>
              <w:bottom w:w="0" w:type="dxa"/>
              <w:right w:w="15" w:type="dxa"/>
            </w:tcMar>
            <w:vAlign w:val="center"/>
          </w:tcPr>
          <w:p>
            <w:pPr>
              <w:pStyle w:val="57"/>
            </w:pPr>
            <w:r>
              <w:rPr>
                <w:rFonts w:hint="eastAsia"/>
              </w:rPr>
              <w:t>围绕全县农业生产所需冷链物流业态，新建烘干冷链设施设备，构建全县冷链物流体系。</w:t>
            </w:r>
          </w:p>
        </w:tc>
        <w:tc>
          <w:tcPr>
            <w:tcW w:w="1133" w:type="dxa"/>
            <w:shd w:val="clear" w:color="auto" w:fill="auto"/>
            <w:tcMar>
              <w:top w:w="15" w:type="dxa"/>
              <w:left w:w="15" w:type="dxa"/>
              <w:bottom w:w="0" w:type="dxa"/>
              <w:right w:w="15" w:type="dxa"/>
            </w:tcMar>
            <w:vAlign w:val="center"/>
          </w:tcPr>
          <w:p>
            <w:pPr>
              <w:pStyle w:val="57"/>
            </w:pPr>
            <w:r>
              <w:rPr>
                <w:rFonts w:hint="eastAsia"/>
              </w:rPr>
              <w:t>2021-2022</w:t>
            </w:r>
          </w:p>
        </w:tc>
        <w:tc>
          <w:tcPr>
            <w:tcW w:w="1185" w:type="dxa"/>
            <w:shd w:val="clear" w:color="auto" w:fill="auto"/>
            <w:tcMar>
              <w:top w:w="15" w:type="dxa"/>
              <w:left w:w="15" w:type="dxa"/>
              <w:bottom w:w="0" w:type="dxa"/>
              <w:right w:w="15" w:type="dxa"/>
            </w:tcMar>
            <w:vAlign w:val="center"/>
          </w:tcPr>
          <w:p>
            <w:pPr>
              <w:pStyle w:val="57"/>
            </w:pPr>
            <w:r>
              <w:rPr>
                <w:rFonts w:hint="eastAsia"/>
              </w:rPr>
              <w:t>3500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476" w:type="dxa"/>
            <w:shd w:val="clear" w:color="auto" w:fill="auto"/>
            <w:tcMar>
              <w:top w:w="15" w:type="dxa"/>
              <w:left w:w="15" w:type="dxa"/>
              <w:bottom w:w="0" w:type="dxa"/>
              <w:right w:w="15" w:type="dxa"/>
            </w:tcMar>
            <w:vAlign w:val="center"/>
          </w:tcPr>
          <w:p>
            <w:pPr>
              <w:pStyle w:val="57"/>
              <w:rPr>
                <w:b/>
                <w:bCs/>
              </w:rPr>
            </w:pPr>
            <w:r>
              <w:rPr>
                <w:rFonts w:hint="eastAsia"/>
                <w:b/>
                <w:bCs/>
              </w:rPr>
              <w:t>1</w:t>
            </w:r>
            <w:r>
              <w:rPr>
                <w:b/>
                <w:bCs/>
              </w:rPr>
              <w:t>5</w:t>
            </w:r>
          </w:p>
        </w:tc>
        <w:tc>
          <w:tcPr>
            <w:tcW w:w="1215" w:type="dxa"/>
            <w:vMerge w:val="continue"/>
            <w:shd w:val="clear" w:color="auto" w:fill="auto"/>
            <w:vAlign w:val="center"/>
          </w:tcPr>
          <w:p>
            <w:pPr>
              <w:pStyle w:val="57"/>
              <w:rPr>
                <w:highlight w:val="yellow"/>
              </w:rPr>
            </w:pPr>
          </w:p>
        </w:tc>
        <w:tc>
          <w:tcPr>
            <w:tcW w:w="2260" w:type="dxa"/>
            <w:shd w:val="clear" w:color="auto" w:fill="auto"/>
            <w:tcMar>
              <w:top w:w="15" w:type="dxa"/>
              <w:left w:w="15" w:type="dxa"/>
              <w:bottom w:w="0" w:type="dxa"/>
              <w:right w:w="15" w:type="dxa"/>
            </w:tcMar>
            <w:vAlign w:val="center"/>
          </w:tcPr>
          <w:p>
            <w:pPr>
              <w:pStyle w:val="57"/>
              <w:rPr>
                <w:highlight w:val="yellow"/>
              </w:rPr>
            </w:pPr>
            <w:r>
              <w:rPr>
                <w:rFonts w:hint="eastAsia"/>
              </w:rPr>
              <w:t>“全程机械化+综合农事服务”中心</w:t>
            </w:r>
          </w:p>
        </w:tc>
        <w:tc>
          <w:tcPr>
            <w:tcW w:w="6991" w:type="dxa"/>
            <w:shd w:val="clear" w:color="auto" w:fill="auto"/>
            <w:tcMar>
              <w:top w:w="15" w:type="dxa"/>
              <w:left w:w="15" w:type="dxa"/>
              <w:bottom w:w="0" w:type="dxa"/>
              <w:right w:w="15" w:type="dxa"/>
            </w:tcMar>
            <w:vAlign w:val="center"/>
          </w:tcPr>
          <w:p>
            <w:pPr>
              <w:pStyle w:val="57"/>
              <w:rPr>
                <w:highlight w:val="yellow"/>
              </w:rPr>
            </w:pPr>
            <w:r>
              <w:rPr>
                <w:rFonts w:hint="eastAsia"/>
              </w:rPr>
              <w:t>在宝五镇、集益镇分别新建粮油、柑橘“全程机械化+综合农事服务”中心，配套能满足当地主导产业全程机械化生产需要的农业装备，农机停放库棚、维修间、培训教室等设施设备。</w:t>
            </w:r>
          </w:p>
        </w:tc>
        <w:tc>
          <w:tcPr>
            <w:tcW w:w="1133" w:type="dxa"/>
            <w:shd w:val="clear" w:color="auto" w:fill="auto"/>
            <w:tcMar>
              <w:top w:w="15" w:type="dxa"/>
              <w:left w:w="15" w:type="dxa"/>
              <w:bottom w:w="0" w:type="dxa"/>
              <w:right w:w="15" w:type="dxa"/>
            </w:tcMar>
            <w:vAlign w:val="center"/>
          </w:tcPr>
          <w:p>
            <w:pPr>
              <w:pStyle w:val="57"/>
              <w:rPr>
                <w:highlight w:val="yellow"/>
              </w:rPr>
            </w:pPr>
            <w:r>
              <w:rPr>
                <w:rFonts w:hint="eastAsia"/>
              </w:rPr>
              <w:t>2022-2023</w:t>
            </w:r>
          </w:p>
        </w:tc>
        <w:tc>
          <w:tcPr>
            <w:tcW w:w="1185" w:type="dxa"/>
            <w:shd w:val="clear" w:color="auto" w:fill="auto"/>
            <w:tcMar>
              <w:top w:w="15" w:type="dxa"/>
              <w:left w:w="15" w:type="dxa"/>
              <w:bottom w:w="0" w:type="dxa"/>
              <w:right w:w="15" w:type="dxa"/>
            </w:tcMar>
            <w:vAlign w:val="center"/>
          </w:tcPr>
          <w:p>
            <w:pPr>
              <w:pStyle w:val="57"/>
              <w:rPr>
                <w:highlight w:val="yellow"/>
              </w:rPr>
            </w:pPr>
            <w:r>
              <w:rPr>
                <w:rFonts w:hint="eastAsia"/>
              </w:rPr>
              <w:t>2000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476" w:type="dxa"/>
            <w:shd w:val="clear" w:color="auto" w:fill="auto"/>
            <w:tcMar>
              <w:top w:w="15" w:type="dxa"/>
              <w:left w:w="15" w:type="dxa"/>
              <w:bottom w:w="0" w:type="dxa"/>
              <w:right w:w="15" w:type="dxa"/>
            </w:tcMar>
            <w:vAlign w:val="center"/>
          </w:tcPr>
          <w:p>
            <w:pPr>
              <w:pStyle w:val="57"/>
              <w:rPr>
                <w:b/>
                <w:bCs/>
              </w:rPr>
            </w:pPr>
            <w:r>
              <w:rPr>
                <w:b/>
                <w:bCs/>
              </w:rPr>
              <w:t>16</w:t>
            </w:r>
          </w:p>
        </w:tc>
        <w:tc>
          <w:tcPr>
            <w:tcW w:w="1215" w:type="dxa"/>
            <w:vMerge w:val="continue"/>
            <w:vAlign w:val="center"/>
          </w:tcPr>
          <w:p>
            <w:pPr>
              <w:pStyle w:val="57"/>
              <w:rPr>
                <w:highlight w:val="yellow"/>
              </w:rPr>
            </w:pPr>
          </w:p>
        </w:tc>
        <w:tc>
          <w:tcPr>
            <w:tcW w:w="2260" w:type="dxa"/>
            <w:shd w:val="clear" w:color="auto" w:fill="auto"/>
            <w:tcMar>
              <w:top w:w="15" w:type="dxa"/>
              <w:left w:w="15" w:type="dxa"/>
              <w:bottom w:w="0" w:type="dxa"/>
              <w:right w:w="15" w:type="dxa"/>
            </w:tcMar>
            <w:vAlign w:val="center"/>
          </w:tcPr>
          <w:p>
            <w:pPr>
              <w:pStyle w:val="57"/>
              <w:rPr>
                <w:highlight w:val="yellow"/>
              </w:rPr>
            </w:pPr>
            <w:r>
              <w:rPr>
                <w:rFonts w:hint="eastAsia"/>
              </w:rPr>
              <w:t>专家工作站建设项目</w:t>
            </w:r>
          </w:p>
        </w:tc>
        <w:tc>
          <w:tcPr>
            <w:tcW w:w="6991" w:type="dxa"/>
            <w:shd w:val="clear" w:color="auto" w:fill="auto"/>
            <w:tcMar>
              <w:top w:w="15" w:type="dxa"/>
              <w:left w:w="15" w:type="dxa"/>
              <w:bottom w:w="0" w:type="dxa"/>
              <w:right w:w="15" w:type="dxa"/>
            </w:tcMar>
            <w:vAlign w:val="center"/>
          </w:tcPr>
          <w:p>
            <w:pPr>
              <w:pStyle w:val="57"/>
              <w:rPr>
                <w:highlight w:val="yellow"/>
              </w:rPr>
            </w:pPr>
            <w:r>
              <w:rPr>
                <w:rFonts w:hint="eastAsia"/>
              </w:rPr>
              <w:t>针对柑橘、粮油、畜牧、水产四大产业，建设专家工作站，与省内外行业内专家签订长期战略合作协议，配置相关试验、教育设备，推动主导产业科技成果转化。</w:t>
            </w:r>
          </w:p>
        </w:tc>
        <w:tc>
          <w:tcPr>
            <w:tcW w:w="1133" w:type="dxa"/>
            <w:shd w:val="clear" w:color="auto" w:fill="auto"/>
            <w:tcMar>
              <w:top w:w="15" w:type="dxa"/>
              <w:left w:w="15" w:type="dxa"/>
              <w:bottom w:w="0" w:type="dxa"/>
              <w:right w:w="15" w:type="dxa"/>
            </w:tcMar>
            <w:vAlign w:val="center"/>
          </w:tcPr>
          <w:p>
            <w:pPr>
              <w:pStyle w:val="57"/>
              <w:rPr>
                <w:highlight w:val="yellow"/>
              </w:rPr>
            </w:pPr>
            <w:r>
              <w:rPr>
                <w:rFonts w:hint="eastAsia"/>
              </w:rPr>
              <w:t>2021-2024</w:t>
            </w:r>
          </w:p>
        </w:tc>
        <w:tc>
          <w:tcPr>
            <w:tcW w:w="1185" w:type="dxa"/>
            <w:shd w:val="clear" w:color="auto" w:fill="auto"/>
            <w:tcMar>
              <w:top w:w="15" w:type="dxa"/>
              <w:left w:w="15" w:type="dxa"/>
              <w:bottom w:w="0" w:type="dxa"/>
              <w:right w:w="15" w:type="dxa"/>
            </w:tcMar>
            <w:vAlign w:val="center"/>
          </w:tcPr>
          <w:p>
            <w:pPr>
              <w:pStyle w:val="57"/>
              <w:rPr>
                <w:highlight w:val="yellow"/>
              </w:rPr>
            </w:pPr>
            <w:r>
              <w:rPr>
                <w:rFonts w:hint="eastAsia"/>
              </w:rPr>
              <w:t>2000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476" w:type="dxa"/>
            <w:shd w:val="clear" w:color="auto" w:fill="auto"/>
            <w:tcMar>
              <w:top w:w="15" w:type="dxa"/>
              <w:left w:w="15" w:type="dxa"/>
              <w:bottom w:w="0" w:type="dxa"/>
              <w:right w:w="15" w:type="dxa"/>
            </w:tcMar>
            <w:vAlign w:val="center"/>
          </w:tcPr>
          <w:p>
            <w:pPr>
              <w:pStyle w:val="57"/>
              <w:rPr>
                <w:b/>
                <w:bCs/>
              </w:rPr>
            </w:pPr>
            <w:r>
              <w:rPr>
                <w:b/>
                <w:bCs/>
              </w:rPr>
              <w:t>17</w:t>
            </w:r>
          </w:p>
        </w:tc>
        <w:tc>
          <w:tcPr>
            <w:tcW w:w="1215" w:type="dxa"/>
            <w:vMerge w:val="continue"/>
            <w:vAlign w:val="center"/>
          </w:tcPr>
          <w:p>
            <w:pPr>
              <w:pStyle w:val="57"/>
              <w:rPr>
                <w:highlight w:val="yellow"/>
              </w:rPr>
            </w:pPr>
          </w:p>
        </w:tc>
        <w:tc>
          <w:tcPr>
            <w:tcW w:w="2260" w:type="dxa"/>
            <w:shd w:val="clear" w:color="auto" w:fill="auto"/>
            <w:tcMar>
              <w:top w:w="15" w:type="dxa"/>
              <w:left w:w="15" w:type="dxa"/>
              <w:bottom w:w="0" w:type="dxa"/>
              <w:right w:w="15" w:type="dxa"/>
            </w:tcMar>
            <w:vAlign w:val="center"/>
          </w:tcPr>
          <w:p>
            <w:pPr>
              <w:pStyle w:val="57"/>
              <w:rPr>
                <w:highlight w:val="yellow"/>
              </w:rPr>
            </w:pPr>
            <w:r>
              <w:rPr>
                <w:rFonts w:hint="eastAsia"/>
              </w:rPr>
              <w:t>千佛田园综合体项目</w:t>
            </w:r>
          </w:p>
        </w:tc>
        <w:tc>
          <w:tcPr>
            <w:tcW w:w="6991" w:type="dxa"/>
            <w:shd w:val="clear" w:color="auto" w:fill="auto"/>
            <w:tcMar>
              <w:top w:w="15" w:type="dxa"/>
              <w:left w:w="15" w:type="dxa"/>
              <w:bottom w:w="0" w:type="dxa"/>
              <w:right w:w="15" w:type="dxa"/>
            </w:tcMar>
            <w:vAlign w:val="center"/>
          </w:tcPr>
          <w:p>
            <w:pPr>
              <w:pStyle w:val="57"/>
              <w:rPr>
                <w:highlight w:val="yellow"/>
              </w:rPr>
            </w:pPr>
            <w:r>
              <w:rPr>
                <w:rFonts w:hint="eastAsia"/>
              </w:rPr>
              <w:t>按照3A级景区标准，实施绿化、美化、亮化工程，打造绿化景观、修复历史遗迹，继续打造梅家湾台柚区—雷畅故居—千佛古街—千佛寺乡村文化休闲旅游环线，进一步延伸到乡村旅游、田园休闲、科教研学等文旅产业，带动周边区域一、二、三产业融合发展。</w:t>
            </w:r>
          </w:p>
        </w:tc>
        <w:tc>
          <w:tcPr>
            <w:tcW w:w="1133" w:type="dxa"/>
            <w:shd w:val="clear" w:color="auto" w:fill="auto"/>
            <w:tcMar>
              <w:top w:w="15" w:type="dxa"/>
              <w:left w:w="15" w:type="dxa"/>
              <w:bottom w:w="0" w:type="dxa"/>
              <w:right w:w="15" w:type="dxa"/>
            </w:tcMar>
            <w:vAlign w:val="center"/>
          </w:tcPr>
          <w:p>
            <w:pPr>
              <w:pStyle w:val="57"/>
              <w:rPr>
                <w:highlight w:val="yellow"/>
              </w:rPr>
            </w:pPr>
            <w:r>
              <w:rPr>
                <w:rFonts w:hint="eastAsia"/>
              </w:rPr>
              <w:t>2022-2025</w:t>
            </w:r>
          </w:p>
        </w:tc>
        <w:tc>
          <w:tcPr>
            <w:tcW w:w="1185" w:type="dxa"/>
            <w:shd w:val="clear" w:color="auto" w:fill="auto"/>
            <w:tcMar>
              <w:top w:w="15" w:type="dxa"/>
              <w:left w:w="15" w:type="dxa"/>
              <w:bottom w:w="0" w:type="dxa"/>
              <w:right w:w="15" w:type="dxa"/>
            </w:tcMar>
            <w:vAlign w:val="center"/>
          </w:tcPr>
          <w:p>
            <w:pPr>
              <w:pStyle w:val="57"/>
              <w:rPr>
                <w:highlight w:val="yellow"/>
              </w:rPr>
            </w:pPr>
            <w:r>
              <w:rPr>
                <w:rFonts w:hint="eastAsia"/>
              </w:rPr>
              <w:t>12500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trPr>
        <w:tc>
          <w:tcPr>
            <w:tcW w:w="12075" w:type="dxa"/>
            <w:gridSpan w:val="5"/>
            <w:shd w:val="clear" w:color="auto" w:fill="auto"/>
            <w:tcMar>
              <w:top w:w="15" w:type="dxa"/>
              <w:left w:w="15" w:type="dxa"/>
              <w:bottom w:w="0" w:type="dxa"/>
              <w:right w:w="15" w:type="dxa"/>
            </w:tcMar>
            <w:vAlign w:val="center"/>
          </w:tcPr>
          <w:p>
            <w:pPr>
              <w:pStyle w:val="57"/>
            </w:pPr>
            <w:r>
              <w:rPr>
                <w:rFonts w:hint="eastAsia"/>
              </w:rPr>
              <w:t>小计</w:t>
            </w:r>
          </w:p>
        </w:tc>
        <w:tc>
          <w:tcPr>
            <w:tcW w:w="1185" w:type="dxa"/>
            <w:shd w:val="clear" w:color="auto" w:fill="auto"/>
            <w:tcMar>
              <w:top w:w="15" w:type="dxa"/>
              <w:left w:w="15" w:type="dxa"/>
              <w:bottom w:w="0" w:type="dxa"/>
              <w:right w:w="15" w:type="dxa"/>
            </w:tcMar>
            <w:vAlign w:val="center"/>
          </w:tcPr>
          <w:p>
            <w:pPr>
              <w:pStyle w:val="57"/>
            </w:pPr>
            <w:r>
              <w:rPr>
                <w:rFonts w:hint="eastAsia"/>
              </w:rPr>
              <w:t>78000</w:t>
            </w:r>
          </w:p>
        </w:tc>
        <w:tc>
          <w:tcPr>
            <w:tcW w:w="1129" w:type="dxa"/>
            <w:shd w:val="clear" w:color="auto" w:fill="auto"/>
            <w:tcMar>
              <w:top w:w="15" w:type="dxa"/>
              <w:left w:w="15" w:type="dxa"/>
              <w:bottom w:w="0" w:type="dxa"/>
              <w:right w:w="15" w:type="dxa"/>
            </w:tcMar>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1" w:hRule="atLeast"/>
        </w:trPr>
        <w:tc>
          <w:tcPr>
            <w:tcW w:w="476" w:type="dxa"/>
            <w:shd w:val="clear" w:color="auto" w:fill="auto"/>
            <w:tcMar>
              <w:top w:w="15" w:type="dxa"/>
              <w:left w:w="15" w:type="dxa"/>
              <w:bottom w:w="0" w:type="dxa"/>
              <w:right w:w="15" w:type="dxa"/>
            </w:tcMar>
            <w:vAlign w:val="center"/>
          </w:tcPr>
          <w:p>
            <w:pPr>
              <w:pStyle w:val="57"/>
              <w:rPr>
                <w:b/>
                <w:bCs/>
              </w:rPr>
            </w:pPr>
            <w:r>
              <w:rPr>
                <w:b/>
                <w:bCs/>
              </w:rPr>
              <w:t>18</w:t>
            </w:r>
          </w:p>
        </w:tc>
        <w:tc>
          <w:tcPr>
            <w:tcW w:w="1215" w:type="dxa"/>
            <w:vMerge w:val="restart"/>
            <w:vAlign w:val="center"/>
          </w:tcPr>
          <w:p>
            <w:pPr>
              <w:pStyle w:val="57"/>
              <w:rPr>
                <w:highlight w:val="yellow"/>
              </w:rPr>
            </w:pPr>
            <w:r>
              <w:rPr>
                <w:rFonts w:hint="eastAsia"/>
              </w:rPr>
              <w:t>现代农业园区建设</w:t>
            </w:r>
          </w:p>
        </w:tc>
        <w:tc>
          <w:tcPr>
            <w:tcW w:w="2260" w:type="dxa"/>
            <w:shd w:val="clear" w:color="auto" w:fill="auto"/>
            <w:tcMar>
              <w:top w:w="15" w:type="dxa"/>
              <w:left w:w="15" w:type="dxa"/>
              <w:bottom w:w="0" w:type="dxa"/>
              <w:right w:w="15" w:type="dxa"/>
            </w:tcMar>
            <w:vAlign w:val="center"/>
          </w:tcPr>
          <w:p>
            <w:pPr>
              <w:pStyle w:val="57"/>
              <w:rPr>
                <w:highlight w:val="yellow"/>
              </w:rPr>
            </w:pPr>
            <w:r>
              <w:rPr>
                <w:rFonts w:hint="eastAsia"/>
              </w:rPr>
              <w:t>柑橘现代农业园区提档升级项目</w:t>
            </w:r>
          </w:p>
        </w:tc>
        <w:tc>
          <w:tcPr>
            <w:tcW w:w="6991" w:type="dxa"/>
            <w:shd w:val="clear" w:color="auto" w:fill="auto"/>
            <w:tcMar>
              <w:top w:w="15" w:type="dxa"/>
              <w:left w:w="15" w:type="dxa"/>
              <w:bottom w:w="0" w:type="dxa"/>
              <w:right w:w="15" w:type="dxa"/>
            </w:tcMar>
            <w:vAlign w:val="center"/>
          </w:tcPr>
          <w:p>
            <w:pPr>
              <w:pStyle w:val="57"/>
              <w:rPr>
                <w:highlight w:val="yellow"/>
              </w:rPr>
            </w:pPr>
            <w:r>
              <w:rPr>
                <w:rFonts w:hint="eastAsia"/>
              </w:rPr>
              <w:t>以优质杂交晚熟柑橘产业为基础，围绕百里产业环线，打造绿色种养循环，在现有省三星级园区的基础上补齐短板，创建省五星级农业产业园区。</w:t>
            </w:r>
          </w:p>
        </w:tc>
        <w:tc>
          <w:tcPr>
            <w:tcW w:w="1133" w:type="dxa"/>
            <w:shd w:val="clear" w:color="auto" w:fill="auto"/>
            <w:tcMar>
              <w:top w:w="15" w:type="dxa"/>
              <w:left w:w="15" w:type="dxa"/>
              <w:bottom w:w="0" w:type="dxa"/>
              <w:right w:w="15" w:type="dxa"/>
            </w:tcMar>
            <w:vAlign w:val="center"/>
          </w:tcPr>
          <w:p>
            <w:pPr>
              <w:pStyle w:val="57"/>
              <w:rPr>
                <w:highlight w:val="yellow"/>
              </w:rPr>
            </w:pPr>
            <w:r>
              <w:rPr>
                <w:rFonts w:hint="eastAsia"/>
              </w:rPr>
              <w:t>2021-2024</w:t>
            </w:r>
          </w:p>
        </w:tc>
        <w:tc>
          <w:tcPr>
            <w:tcW w:w="1185" w:type="dxa"/>
            <w:shd w:val="clear" w:color="auto" w:fill="auto"/>
            <w:tcMar>
              <w:top w:w="15" w:type="dxa"/>
              <w:left w:w="15" w:type="dxa"/>
              <w:bottom w:w="0" w:type="dxa"/>
              <w:right w:w="15" w:type="dxa"/>
            </w:tcMar>
            <w:vAlign w:val="center"/>
          </w:tcPr>
          <w:p>
            <w:pPr>
              <w:pStyle w:val="57"/>
              <w:rPr>
                <w:highlight w:val="yellow"/>
              </w:rPr>
            </w:pPr>
            <w:r>
              <w:rPr>
                <w:rFonts w:hint="eastAsia"/>
              </w:rPr>
              <w:t>30000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476" w:type="dxa"/>
            <w:shd w:val="clear" w:color="auto" w:fill="auto"/>
            <w:tcMar>
              <w:top w:w="15" w:type="dxa"/>
              <w:left w:w="15" w:type="dxa"/>
              <w:bottom w:w="0" w:type="dxa"/>
              <w:right w:w="15" w:type="dxa"/>
            </w:tcMar>
            <w:vAlign w:val="center"/>
          </w:tcPr>
          <w:p>
            <w:pPr>
              <w:pStyle w:val="57"/>
              <w:rPr>
                <w:b/>
                <w:bCs/>
              </w:rPr>
            </w:pPr>
            <w:r>
              <w:rPr>
                <w:b/>
                <w:bCs/>
              </w:rPr>
              <w:t>19</w:t>
            </w:r>
          </w:p>
        </w:tc>
        <w:tc>
          <w:tcPr>
            <w:tcW w:w="1215" w:type="dxa"/>
            <w:vMerge w:val="continue"/>
            <w:vAlign w:val="center"/>
          </w:tcPr>
          <w:p>
            <w:pPr>
              <w:pStyle w:val="57"/>
              <w:rPr>
                <w:highlight w:val="yellow"/>
              </w:rPr>
            </w:pPr>
          </w:p>
        </w:tc>
        <w:tc>
          <w:tcPr>
            <w:tcW w:w="2260" w:type="dxa"/>
            <w:shd w:val="clear" w:color="auto" w:fill="auto"/>
            <w:tcMar>
              <w:top w:w="15" w:type="dxa"/>
              <w:left w:w="15" w:type="dxa"/>
              <w:bottom w:w="0" w:type="dxa"/>
              <w:right w:w="15" w:type="dxa"/>
            </w:tcMar>
            <w:vAlign w:val="center"/>
          </w:tcPr>
          <w:p>
            <w:pPr>
              <w:pStyle w:val="57"/>
              <w:rPr>
                <w:highlight w:val="yellow"/>
              </w:rPr>
            </w:pPr>
            <w:r>
              <w:rPr>
                <w:rFonts w:hint="eastAsia"/>
              </w:rPr>
              <w:t>粮油现代农业园区提升改造项目</w:t>
            </w:r>
          </w:p>
        </w:tc>
        <w:tc>
          <w:tcPr>
            <w:tcW w:w="6991" w:type="dxa"/>
            <w:shd w:val="clear" w:color="auto" w:fill="auto"/>
            <w:tcMar>
              <w:top w:w="15" w:type="dxa"/>
              <w:left w:w="15" w:type="dxa"/>
              <w:bottom w:w="0" w:type="dxa"/>
              <w:right w:w="15" w:type="dxa"/>
            </w:tcMar>
            <w:vAlign w:val="center"/>
          </w:tcPr>
          <w:p>
            <w:pPr>
              <w:pStyle w:val="57"/>
              <w:rPr>
                <w:highlight w:val="yellow"/>
              </w:rPr>
            </w:pPr>
            <w:r>
              <w:rPr>
                <w:rFonts w:hint="eastAsia"/>
              </w:rPr>
              <w:t>建成核心区5</w:t>
            </w:r>
            <w:r>
              <w:t>8</w:t>
            </w:r>
            <w:r>
              <w:rPr>
                <w:rFonts w:hint="eastAsia"/>
              </w:rPr>
              <w:t>00亩，辐射区15000亩的现代农业粮油园区。包括基础设施、产业种养融合发展、农业绿色发展、农产品初加工基地建设，以及农业信息平台、农产品质量追溯平台及体系建设。</w:t>
            </w:r>
          </w:p>
        </w:tc>
        <w:tc>
          <w:tcPr>
            <w:tcW w:w="1133" w:type="dxa"/>
            <w:shd w:val="clear" w:color="auto" w:fill="auto"/>
            <w:tcMar>
              <w:top w:w="15" w:type="dxa"/>
              <w:left w:w="15" w:type="dxa"/>
              <w:bottom w:w="0" w:type="dxa"/>
              <w:right w:w="15" w:type="dxa"/>
            </w:tcMar>
            <w:vAlign w:val="center"/>
          </w:tcPr>
          <w:p>
            <w:pPr>
              <w:pStyle w:val="57"/>
              <w:rPr>
                <w:highlight w:val="yellow"/>
              </w:rPr>
            </w:pPr>
            <w:r>
              <w:rPr>
                <w:rFonts w:hint="eastAsia"/>
              </w:rPr>
              <w:t>2021-2023</w:t>
            </w:r>
          </w:p>
        </w:tc>
        <w:tc>
          <w:tcPr>
            <w:tcW w:w="1185" w:type="dxa"/>
            <w:shd w:val="clear" w:color="auto" w:fill="auto"/>
            <w:tcMar>
              <w:top w:w="15" w:type="dxa"/>
              <w:left w:w="15" w:type="dxa"/>
              <w:bottom w:w="0" w:type="dxa"/>
              <w:right w:w="15" w:type="dxa"/>
            </w:tcMar>
            <w:vAlign w:val="center"/>
          </w:tcPr>
          <w:p>
            <w:pPr>
              <w:pStyle w:val="57"/>
              <w:rPr>
                <w:highlight w:val="yellow"/>
              </w:rPr>
            </w:pPr>
            <w:r>
              <w:rPr>
                <w:rFonts w:hint="eastAsia"/>
              </w:rPr>
              <w:t>11000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476" w:type="dxa"/>
            <w:shd w:val="clear" w:color="auto" w:fill="auto"/>
            <w:tcMar>
              <w:top w:w="15" w:type="dxa"/>
              <w:left w:w="15" w:type="dxa"/>
              <w:bottom w:w="0" w:type="dxa"/>
              <w:right w:w="15" w:type="dxa"/>
            </w:tcMar>
            <w:vAlign w:val="center"/>
          </w:tcPr>
          <w:p>
            <w:pPr>
              <w:pStyle w:val="57"/>
              <w:rPr>
                <w:b/>
                <w:bCs/>
              </w:rPr>
            </w:pPr>
            <w:r>
              <w:rPr>
                <w:rFonts w:hint="eastAsia"/>
                <w:b/>
                <w:bCs/>
              </w:rPr>
              <w:t>2</w:t>
            </w:r>
            <w:r>
              <w:rPr>
                <w:b/>
                <w:bCs/>
              </w:rPr>
              <w:t>0</w:t>
            </w:r>
          </w:p>
        </w:tc>
        <w:tc>
          <w:tcPr>
            <w:tcW w:w="1215" w:type="dxa"/>
            <w:vMerge w:val="continue"/>
            <w:vAlign w:val="center"/>
          </w:tcPr>
          <w:p>
            <w:pPr>
              <w:pStyle w:val="57"/>
              <w:rPr>
                <w:highlight w:val="yellow"/>
              </w:rPr>
            </w:pPr>
          </w:p>
        </w:tc>
        <w:tc>
          <w:tcPr>
            <w:tcW w:w="2260" w:type="dxa"/>
            <w:shd w:val="clear" w:color="auto" w:fill="auto"/>
            <w:tcMar>
              <w:top w:w="15" w:type="dxa"/>
              <w:left w:w="15" w:type="dxa"/>
              <w:bottom w:w="0" w:type="dxa"/>
              <w:right w:w="15" w:type="dxa"/>
            </w:tcMar>
            <w:vAlign w:val="center"/>
          </w:tcPr>
          <w:p>
            <w:pPr>
              <w:pStyle w:val="57"/>
              <w:rPr>
                <w:highlight w:val="yellow"/>
              </w:rPr>
            </w:pPr>
            <w:r>
              <w:rPr>
                <w:rFonts w:hint="eastAsia"/>
              </w:rPr>
              <w:t>数字农业科技孵化园建设项目</w:t>
            </w:r>
          </w:p>
        </w:tc>
        <w:tc>
          <w:tcPr>
            <w:tcW w:w="6991" w:type="dxa"/>
            <w:shd w:val="clear" w:color="auto" w:fill="auto"/>
            <w:tcMar>
              <w:top w:w="15" w:type="dxa"/>
              <w:left w:w="15" w:type="dxa"/>
              <w:bottom w:w="0" w:type="dxa"/>
              <w:right w:w="15" w:type="dxa"/>
            </w:tcMar>
            <w:vAlign w:val="center"/>
          </w:tcPr>
          <w:p>
            <w:pPr>
              <w:pStyle w:val="57"/>
              <w:rPr>
                <w:highlight w:val="yellow"/>
              </w:rPr>
            </w:pPr>
            <w:r>
              <w:rPr>
                <w:rFonts w:hint="eastAsia"/>
              </w:rPr>
              <w:t>建设以智慧农业、科技基地、质量检测、病虫害防治为一体的数字农业科技孵化园。</w:t>
            </w:r>
          </w:p>
        </w:tc>
        <w:tc>
          <w:tcPr>
            <w:tcW w:w="1133" w:type="dxa"/>
            <w:shd w:val="clear" w:color="auto" w:fill="auto"/>
            <w:tcMar>
              <w:top w:w="15" w:type="dxa"/>
              <w:left w:w="15" w:type="dxa"/>
              <w:bottom w:w="0" w:type="dxa"/>
              <w:right w:w="15" w:type="dxa"/>
            </w:tcMar>
            <w:vAlign w:val="center"/>
          </w:tcPr>
          <w:p>
            <w:pPr>
              <w:pStyle w:val="57"/>
              <w:rPr>
                <w:highlight w:val="yellow"/>
              </w:rPr>
            </w:pPr>
            <w:r>
              <w:rPr>
                <w:rFonts w:hint="eastAsia"/>
              </w:rPr>
              <w:t>2023-2026</w:t>
            </w:r>
          </w:p>
        </w:tc>
        <w:tc>
          <w:tcPr>
            <w:tcW w:w="1185" w:type="dxa"/>
            <w:shd w:val="clear" w:color="auto" w:fill="auto"/>
            <w:tcMar>
              <w:top w:w="15" w:type="dxa"/>
              <w:left w:w="15" w:type="dxa"/>
              <w:bottom w:w="0" w:type="dxa"/>
              <w:right w:w="15" w:type="dxa"/>
            </w:tcMar>
            <w:vAlign w:val="center"/>
          </w:tcPr>
          <w:p>
            <w:pPr>
              <w:pStyle w:val="57"/>
              <w:rPr>
                <w:highlight w:val="yellow"/>
              </w:rPr>
            </w:pPr>
            <w:r>
              <w:rPr>
                <w:rFonts w:hint="eastAsia"/>
              </w:rPr>
              <w:t>18000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4" w:hRule="atLeast"/>
        </w:trPr>
        <w:tc>
          <w:tcPr>
            <w:tcW w:w="476" w:type="dxa"/>
            <w:shd w:val="clear" w:color="auto" w:fill="auto"/>
            <w:tcMar>
              <w:top w:w="15" w:type="dxa"/>
              <w:left w:w="15" w:type="dxa"/>
              <w:bottom w:w="0" w:type="dxa"/>
              <w:right w:w="15" w:type="dxa"/>
            </w:tcMar>
            <w:vAlign w:val="center"/>
          </w:tcPr>
          <w:p>
            <w:pPr>
              <w:pStyle w:val="57"/>
              <w:rPr>
                <w:b/>
                <w:bCs/>
              </w:rPr>
            </w:pPr>
            <w:r>
              <w:rPr>
                <w:rFonts w:hint="eastAsia"/>
                <w:b/>
                <w:bCs/>
              </w:rPr>
              <w:t>2</w:t>
            </w:r>
            <w:r>
              <w:rPr>
                <w:b/>
                <w:bCs/>
              </w:rPr>
              <w:t>1</w:t>
            </w:r>
          </w:p>
        </w:tc>
        <w:tc>
          <w:tcPr>
            <w:tcW w:w="1215" w:type="dxa"/>
            <w:vMerge w:val="continue"/>
            <w:vAlign w:val="center"/>
          </w:tcPr>
          <w:p>
            <w:pPr>
              <w:pStyle w:val="57"/>
              <w:rPr>
                <w:highlight w:val="yellow"/>
              </w:rPr>
            </w:pPr>
          </w:p>
        </w:tc>
        <w:tc>
          <w:tcPr>
            <w:tcW w:w="2260" w:type="dxa"/>
            <w:shd w:val="clear" w:color="auto" w:fill="auto"/>
            <w:tcMar>
              <w:top w:w="15" w:type="dxa"/>
              <w:left w:w="15" w:type="dxa"/>
              <w:bottom w:w="0" w:type="dxa"/>
              <w:right w:w="15" w:type="dxa"/>
            </w:tcMar>
            <w:vAlign w:val="center"/>
          </w:tcPr>
          <w:p>
            <w:pPr>
              <w:pStyle w:val="57"/>
              <w:rPr>
                <w:bCs/>
              </w:rPr>
            </w:pPr>
            <w:r>
              <w:rPr>
                <w:bCs/>
                <w:lang w:bidi="ar"/>
              </w:rPr>
              <w:t>“一村一品”示范村镇建设</w:t>
            </w:r>
          </w:p>
        </w:tc>
        <w:tc>
          <w:tcPr>
            <w:tcW w:w="6991" w:type="dxa"/>
            <w:shd w:val="clear" w:color="auto" w:fill="auto"/>
            <w:tcMar>
              <w:top w:w="15" w:type="dxa"/>
              <w:left w:w="15" w:type="dxa"/>
              <w:bottom w:w="0" w:type="dxa"/>
              <w:right w:w="15" w:type="dxa"/>
            </w:tcMar>
            <w:vAlign w:val="center"/>
          </w:tcPr>
          <w:p>
            <w:pPr>
              <w:pStyle w:val="57"/>
            </w:pPr>
            <w:r>
              <w:rPr>
                <w:rFonts w:hint="eastAsia"/>
                <w:lang w:bidi="ar"/>
              </w:rPr>
              <w:t>以特色种植、特色养殖、特色食品、特色文化和新业态等为主导产业，打造以行政村、行政镇、涉农社区或街道为主体的“一村一品”示范村镇。</w:t>
            </w:r>
          </w:p>
        </w:tc>
        <w:tc>
          <w:tcPr>
            <w:tcW w:w="1133" w:type="dxa"/>
            <w:shd w:val="clear" w:color="auto" w:fill="auto"/>
            <w:tcMar>
              <w:top w:w="15" w:type="dxa"/>
              <w:left w:w="15" w:type="dxa"/>
              <w:bottom w:w="0" w:type="dxa"/>
              <w:right w:w="15" w:type="dxa"/>
            </w:tcMar>
            <w:vAlign w:val="center"/>
          </w:tcPr>
          <w:p>
            <w:pPr>
              <w:pStyle w:val="57"/>
            </w:pPr>
            <w:r>
              <w:t>2022-2025</w:t>
            </w:r>
          </w:p>
        </w:tc>
        <w:tc>
          <w:tcPr>
            <w:tcW w:w="1185" w:type="dxa"/>
            <w:shd w:val="clear" w:color="auto" w:fill="auto"/>
            <w:tcMar>
              <w:top w:w="15" w:type="dxa"/>
              <w:left w:w="15" w:type="dxa"/>
              <w:bottom w:w="0" w:type="dxa"/>
              <w:right w:w="15" w:type="dxa"/>
            </w:tcMar>
            <w:vAlign w:val="center"/>
          </w:tcPr>
          <w:p>
            <w:pPr>
              <w:pStyle w:val="57"/>
              <w:rPr>
                <w:highlight w:val="yellow"/>
              </w:rPr>
            </w:pPr>
            <w:r>
              <w:rPr>
                <w:rFonts w:hint="eastAsia"/>
              </w:rPr>
              <w:t>1</w:t>
            </w:r>
            <w:r>
              <w:t>500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trPr>
        <w:tc>
          <w:tcPr>
            <w:tcW w:w="12075" w:type="dxa"/>
            <w:gridSpan w:val="5"/>
            <w:shd w:val="clear" w:color="auto" w:fill="auto"/>
            <w:tcMar>
              <w:top w:w="15" w:type="dxa"/>
              <w:left w:w="15" w:type="dxa"/>
              <w:bottom w:w="0" w:type="dxa"/>
              <w:right w:w="15" w:type="dxa"/>
            </w:tcMar>
            <w:vAlign w:val="center"/>
          </w:tcPr>
          <w:p>
            <w:pPr>
              <w:pStyle w:val="57"/>
            </w:pPr>
            <w:r>
              <w:rPr>
                <w:rFonts w:hint="eastAsia"/>
              </w:rPr>
              <w:t>小计</w:t>
            </w:r>
          </w:p>
        </w:tc>
        <w:tc>
          <w:tcPr>
            <w:tcW w:w="1185" w:type="dxa"/>
            <w:shd w:val="clear" w:color="auto" w:fill="auto"/>
            <w:tcMar>
              <w:top w:w="15" w:type="dxa"/>
              <w:left w:w="15" w:type="dxa"/>
              <w:bottom w:w="0" w:type="dxa"/>
              <w:right w:w="15" w:type="dxa"/>
            </w:tcMar>
            <w:vAlign w:val="center"/>
          </w:tcPr>
          <w:p>
            <w:pPr>
              <w:pStyle w:val="57"/>
            </w:pPr>
            <w:r>
              <w:rPr>
                <w:rFonts w:hint="eastAsia"/>
              </w:rPr>
              <w:t>60500</w:t>
            </w:r>
          </w:p>
        </w:tc>
        <w:tc>
          <w:tcPr>
            <w:tcW w:w="1129" w:type="dxa"/>
            <w:shd w:val="clear" w:color="auto" w:fill="auto"/>
            <w:tcMar>
              <w:top w:w="15" w:type="dxa"/>
              <w:left w:w="15" w:type="dxa"/>
              <w:bottom w:w="0" w:type="dxa"/>
              <w:right w:w="15" w:type="dxa"/>
            </w:tcMar>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476" w:type="dxa"/>
            <w:shd w:val="clear" w:color="auto" w:fill="auto"/>
            <w:tcMar>
              <w:top w:w="15" w:type="dxa"/>
              <w:left w:w="15" w:type="dxa"/>
              <w:bottom w:w="0" w:type="dxa"/>
              <w:right w:w="15" w:type="dxa"/>
            </w:tcMar>
            <w:vAlign w:val="center"/>
          </w:tcPr>
          <w:p>
            <w:pPr>
              <w:pStyle w:val="57"/>
              <w:rPr>
                <w:b/>
                <w:bCs/>
              </w:rPr>
            </w:pPr>
            <w:r>
              <w:rPr>
                <w:b/>
                <w:bCs/>
              </w:rPr>
              <w:t>22</w:t>
            </w:r>
          </w:p>
        </w:tc>
        <w:tc>
          <w:tcPr>
            <w:tcW w:w="1215" w:type="dxa"/>
            <w:vMerge w:val="restart"/>
            <w:vAlign w:val="center"/>
          </w:tcPr>
          <w:p>
            <w:pPr>
              <w:pStyle w:val="57"/>
              <w:rPr>
                <w:highlight w:val="yellow"/>
              </w:rPr>
            </w:pPr>
            <w:r>
              <w:rPr>
                <w:rFonts w:hint="eastAsia"/>
              </w:rPr>
              <w:t>实施“美丽井研·宜居乡村”建设行动</w:t>
            </w:r>
          </w:p>
        </w:tc>
        <w:tc>
          <w:tcPr>
            <w:tcW w:w="2260" w:type="dxa"/>
            <w:shd w:val="clear" w:color="auto" w:fill="auto"/>
            <w:tcMar>
              <w:top w:w="15" w:type="dxa"/>
              <w:left w:w="15" w:type="dxa"/>
              <w:bottom w:w="0" w:type="dxa"/>
              <w:right w:w="15" w:type="dxa"/>
            </w:tcMar>
            <w:vAlign w:val="center"/>
          </w:tcPr>
          <w:p>
            <w:pPr>
              <w:pStyle w:val="57"/>
              <w:rPr>
                <w:highlight w:val="yellow"/>
              </w:rPr>
            </w:pPr>
            <w:r>
              <w:rPr>
                <w:rFonts w:hint="eastAsia"/>
              </w:rPr>
              <w:t>农村公共基础设施建设项目</w:t>
            </w:r>
          </w:p>
        </w:tc>
        <w:tc>
          <w:tcPr>
            <w:tcW w:w="6991" w:type="dxa"/>
            <w:shd w:val="clear" w:color="auto" w:fill="auto"/>
            <w:tcMar>
              <w:top w:w="15" w:type="dxa"/>
              <w:left w:w="15" w:type="dxa"/>
              <w:bottom w:w="0" w:type="dxa"/>
              <w:right w:w="15" w:type="dxa"/>
            </w:tcMar>
            <w:vAlign w:val="center"/>
          </w:tcPr>
          <w:p>
            <w:pPr>
              <w:pStyle w:val="57"/>
              <w:rPr>
                <w:highlight w:val="yellow"/>
              </w:rPr>
            </w:pPr>
            <w:r>
              <w:rPr>
                <w:rFonts w:hint="eastAsia"/>
              </w:rPr>
              <w:t>开展农村生产性、生活性、服务性基础设施建设，完善村庄内部道路建设、村庄综合性公共服务中心建设。</w:t>
            </w:r>
          </w:p>
        </w:tc>
        <w:tc>
          <w:tcPr>
            <w:tcW w:w="1133" w:type="dxa"/>
            <w:shd w:val="clear" w:color="auto" w:fill="auto"/>
            <w:tcMar>
              <w:top w:w="15" w:type="dxa"/>
              <w:left w:w="15" w:type="dxa"/>
              <w:bottom w:w="0" w:type="dxa"/>
              <w:right w:w="15" w:type="dxa"/>
            </w:tcMar>
            <w:vAlign w:val="center"/>
          </w:tcPr>
          <w:p>
            <w:pPr>
              <w:pStyle w:val="57"/>
              <w:rPr>
                <w:highlight w:val="yellow"/>
              </w:rPr>
            </w:pPr>
            <w:r>
              <w:rPr>
                <w:rFonts w:hint="eastAsia"/>
              </w:rPr>
              <w:t>2021-2024</w:t>
            </w:r>
          </w:p>
        </w:tc>
        <w:tc>
          <w:tcPr>
            <w:tcW w:w="1185" w:type="dxa"/>
            <w:shd w:val="clear" w:color="auto" w:fill="auto"/>
            <w:tcMar>
              <w:top w:w="15" w:type="dxa"/>
              <w:left w:w="15" w:type="dxa"/>
              <w:bottom w:w="0" w:type="dxa"/>
              <w:right w:w="15" w:type="dxa"/>
            </w:tcMar>
            <w:vAlign w:val="center"/>
          </w:tcPr>
          <w:p>
            <w:pPr>
              <w:pStyle w:val="57"/>
              <w:rPr>
                <w:highlight w:val="yellow"/>
              </w:rPr>
            </w:pPr>
            <w:r>
              <w:rPr>
                <w:rFonts w:hint="eastAsia"/>
              </w:rPr>
              <w:t>25000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476" w:type="dxa"/>
            <w:shd w:val="clear" w:color="auto" w:fill="auto"/>
            <w:tcMar>
              <w:top w:w="15" w:type="dxa"/>
              <w:left w:w="15" w:type="dxa"/>
              <w:bottom w:w="0" w:type="dxa"/>
              <w:right w:w="15" w:type="dxa"/>
            </w:tcMar>
            <w:vAlign w:val="center"/>
          </w:tcPr>
          <w:p>
            <w:pPr>
              <w:pStyle w:val="57"/>
              <w:rPr>
                <w:b/>
                <w:bCs/>
              </w:rPr>
            </w:pPr>
            <w:r>
              <w:rPr>
                <w:b/>
                <w:bCs/>
              </w:rPr>
              <w:t>23</w:t>
            </w:r>
          </w:p>
        </w:tc>
        <w:tc>
          <w:tcPr>
            <w:tcW w:w="1215" w:type="dxa"/>
            <w:vMerge w:val="continue"/>
            <w:vAlign w:val="center"/>
          </w:tcPr>
          <w:p>
            <w:pPr>
              <w:pStyle w:val="57"/>
              <w:rPr>
                <w:highlight w:val="yellow"/>
              </w:rPr>
            </w:pPr>
          </w:p>
        </w:tc>
        <w:tc>
          <w:tcPr>
            <w:tcW w:w="2260" w:type="dxa"/>
            <w:shd w:val="clear" w:color="auto" w:fill="auto"/>
            <w:tcMar>
              <w:top w:w="15" w:type="dxa"/>
              <w:left w:w="15" w:type="dxa"/>
              <w:bottom w:w="0" w:type="dxa"/>
              <w:right w:w="15" w:type="dxa"/>
            </w:tcMar>
            <w:vAlign w:val="center"/>
          </w:tcPr>
          <w:p>
            <w:pPr>
              <w:pStyle w:val="57"/>
              <w:rPr>
                <w:highlight w:val="yellow"/>
              </w:rPr>
            </w:pPr>
            <w:r>
              <w:rPr>
                <w:rFonts w:hint="eastAsia"/>
              </w:rPr>
              <w:t>百里产业环线产业主干道建设项目</w:t>
            </w:r>
          </w:p>
        </w:tc>
        <w:tc>
          <w:tcPr>
            <w:tcW w:w="6991" w:type="dxa"/>
            <w:shd w:val="clear" w:color="auto" w:fill="auto"/>
            <w:tcMar>
              <w:top w:w="15" w:type="dxa"/>
              <w:left w:w="15" w:type="dxa"/>
              <w:bottom w:w="0" w:type="dxa"/>
              <w:right w:w="15" w:type="dxa"/>
            </w:tcMar>
            <w:vAlign w:val="center"/>
          </w:tcPr>
          <w:p>
            <w:pPr>
              <w:pStyle w:val="57"/>
              <w:rPr>
                <w:highlight w:val="yellow"/>
              </w:rPr>
            </w:pPr>
            <w:r>
              <w:rPr>
                <w:rFonts w:hint="eastAsia"/>
              </w:rPr>
              <w:t>在10个重点镇建设农业产业发展道路约200公里，道路沿线绿化，构成百里产业环线产业主干道。</w:t>
            </w:r>
          </w:p>
        </w:tc>
        <w:tc>
          <w:tcPr>
            <w:tcW w:w="1133" w:type="dxa"/>
            <w:shd w:val="clear" w:color="auto" w:fill="auto"/>
            <w:tcMar>
              <w:top w:w="15" w:type="dxa"/>
              <w:left w:w="15" w:type="dxa"/>
              <w:bottom w:w="0" w:type="dxa"/>
              <w:right w:w="15" w:type="dxa"/>
            </w:tcMar>
            <w:vAlign w:val="center"/>
          </w:tcPr>
          <w:p>
            <w:pPr>
              <w:pStyle w:val="57"/>
              <w:rPr>
                <w:highlight w:val="yellow"/>
              </w:rPr>
            </w:pPr>
            <w:r>
              <w:rPr>
                <w:rFonts w:hint="eastAsia"/>
              </w:rPr>
              <w:t>2021-2023</w:t>
            </w:r>
          </w:p>
        </w:tc>
        <w:tc>
          <w:tcPr>
            <w:tcW w:w="1185" w:type="dxa"/>
            <w:shd w:val="clear" w:color="auto" w:fill="auto"/>
            <w:tcMar>
              <w:top w:w="15" w:type="dxa"/>
              <w:left w:w="15" w:type="dxa"/>
              <w:bottom w:w="0" w:type="dxa"/>
              <w:right w:w="15" w:type="dxa"/>
            </w:tcMar>
            <w:vAlign w:val="center"/>
          </w:tcPr>
          <w:p>
            <w:pPr>
              <w:pStyle w:val="57"/>
              <w:rPr>
                <w:highlight w:val="yellow"/>
              </w:rPr>
            </w:pPr>
            <w:r>
              <w:rPr>
                <w:rFonts w:hint="eastAsia"/>
              </w:rPr>
              <w:t>40000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2" w:hRule="atLeast"/>
        </w:trPr>
        <w:tc>
          <w:tcPr>
            <w:tcW w:w="476" w:type="dxa"/>
            <w:shd w:val="clear" w:color="auto" w:fill="auto"/>
            <w:tcMar>
              <w:top w:w="15" w:type="dxa"/>
              <w:left w:w="15" w:type="dxa"/>
              <w:bottom w:w="0" w:type="dxa"/>
              <w:right w:w="15" w:type="dxa"/>
            </w:tcMar>
            <w:vAlign w:val="center"/>
          </w:tcPr>
          <w:p>
            <w:pPr>
              <w:pStyle w:val="57"/>
              <w:rPr>
                <w:b/>
                <w:bCs/>
              </w:rPr>
            </w:pPr>
            <w:r>
              <w:rPr>
                <w:b/>
                <w:bCs/>
              </w:rPr>
              <w:t>24</w:t>
            </w:r>
          </w:p>
        </w:tc>
        <w:tc>
          <w:tcPr>
            <w:tcW w:w="1215" w:type="dxa"/>
            <w:vMerge w:val="continue"/>
            <w:vAlign w:val="center"/>
          </w:tcPr>
          <w:p>
            <w:pPr>
              <w:pStyle w:val="57"/>
              <w:rPr>
                <w:highlight w:val="yellow"/>
              </w:rPr>
            </w:pPr>
          </w:p>
        </w:tc>
        <w:tc>
          <w:tcPr>
            <w:tcW w:w="2260" w:type="dxa"/>
            <w:shd w:val="clear" w:color="auto" w:fill="auto"/>
            <w:tcMar>
              <w:top w:w="15" w:type="dxa"/>
              <w:left w:w="15" w:type="dxa"/>
              <w:bottom w:w="0" w:type="dxa"/>
              <w:right w:w="15" w:type="dxa"/>
            </w:tcMar>
            <w:vAlign w:val="center"/>
          </w:tcPr>
          <w:p>
            <w:pPr>
              <w:pStyle w:val="57"/>
            </w:pPr>
            <w:r>
              <w:rPr>
                <w:rFonts w:hint="eastAsia"/>
              </w:rPr>
              <w:t>村庄清洁行动</w:t>
            </w:r>
          </w:p>
        </w:tc>
        <w:tc>
          <w:tcPr>
            <w:tcW w:w="6991" w:type="dxa"/>
            <w:shd w:val="clear" w:color="auto" w:fill="auto"/>
            <w:tcMar>
              <w:top w:w="15" w:type="dxa"/>
              <w:left w:w="15" w:type="dxa"/>
              <w:bottom w:w="0" w:type="dxa"/>
              <w:right w:w="15" w:type="dxa"/>
            </w:tcMar>
            <w:vAlign w:val="center"/>
          </w:tcPr>
          <w:p>
            <w:pPr>
              <w:pStyle w:val="57"/>
            </w:pPr>
            <w:r>
              <w:rPr>
                <w:rFonts w:hint="eastAsia"/>
              </w:rPr>
              <w:t>重点清理村庄生活垃圾、村内水塘沟渠、农业生产废弃物，改变影响农村人居环境的不良习惯，完善长效保洁机制，实现村庄持续干净整洁。</w:t>
            </w:r>
          </w:p>
        </w:tc>
        <w:tc>
          <w:tcPr>
            <w:tcW w:w="1133" w:type="dxa"/>
            <w:shd w:val="clear" w:color="auto" w:fill="auto"/>
            <w:tcMar>
              <w:top w:w="15" w:type="dxa"/>
              <w:left w:w="15" w:type="dxa"/>
              <w:bottom w:w="0" w:type="dxa"/>
              <w:right w:w="15" w:type="dxa"/>
            </w:tcMar>
            <w:vAlign w:val="center"/>
          </w:tcPr>
          <w:p>
            <w:pPr>
              <w:pStyle w:val="57"/>
            </w:pPr>
            <w:r>
              <w:rPr>
                <w:rFonts w:hint="eastAsia"/>
              </w:rPr>
              <w:t>2021-2025</w:t>
            </w:r>
          </w:p>
        </w:tc>
        <w:tc>
          <w:tcPr>
            <w:tcW w:w="1185" w:type="dxa"/>
            <w:shd w:val="clear" w:color="auto" w:fill="auto"/>
            <w:tcMar>
              <w:top w:w="15" w:type="dxa"/>
              <w:left w:w="15" w:type="dxa"/>
              <w:bottom w:w="0" w:type="dxa"/>
              <w:right w:w="15" w:type="dxa"/>
            </w:tcMar>
            <w:vAlign w:val="center"/>
          </w:tcPr>
          <w:p>
            <w:pPr>
              <w:pStyle w:val="57"/>
            </w:pPr>
            <w:r>
              <w:rPr>
                <w:rFonts w:hint="eastAsia"/>
              </w:rPr>
              <w:t>5000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trPr>
        <w:tc>
          <w:tcPr>
            <w:tcW w:w="476" w:type="dxa"/>
            <w:shd w:val="clear" w:color="auto" w:fill="auto"/>
            <w:tcMar>
              <w:top w:w="15" w:type="dxa"/>
              <w:left w:w="15" w:type="dxa"/>
              <w:bottom w:w="0" w:type="dxa"/>
              <w:right w:w="15" w:type="dxa"/>
            </w:tcMar>
            <w:vAlign w:val="center"/>
          </w:tcPr>
          <w:p>
            <w:pPr>
              <w:pStyle w:val="57"/>
              <w:rPr>
                <w:b/>
                <w:bCs/>
              </w:rPr>
            </w:pPr>
            <w:r>
              <w:rPr>
                <w:b/>
                <w:bCs/>
              </w:rPr>
              <w:t>25</w:t>
            </w:r>
          </w:p>
        </w:tc>
        <w:tc>
          <w:tcPr>
            <w:tcW w:w="1215" w:type="dxa"/>
            <w:vMerge w:val="continue"/>
            <w:vAlign w:val="center"/>
          </w:tcPr>
          <w:p>
            <w:pPr>
              <w:pStyle w:val="57"/>
              <w:rPr>
                <w:highlight w:val="yellow"/>
              </w:rPr>
            </w:pPr>
          </w:p>
        </w:tc>
        <w:tc>
          <w:tcPr>
            <w:tcW w:w="2260" w:type="dxa"/>
            <w:shd w:val="clear" w:color="auto" w:fill="auto"/>
            <w:tcMar>
              <w:top w:w="15" w:type="dxa"/>
              <w:left w:w="15" w:type="dxa"/>
              <w:bottom w:w="0" w:type="dxa"/>
              <w:right w:w="15" w:type="dxa"/>
            </w:tcMar>
            <w:vAlign w:val="center"/>
          </w:tcPr>
          <w:p>
            <w:pPr>
              <w:pStyle w:val="57"/>
              <w:rPr>
                <w:highlight w:val="yellow"/>
              </w:rPr>
            </w:pPr>
            <w:r>
              <w:rPr>
                <w:rFonts w:hint="eastAsia"/>
              </w:rPr>
              <w:t>社会保障城乡统筹工程</w:t>
            </w:r>
          </w:p>
        </w:tc>
        <w:tc>
          <w:tcPr>
            <w:tcW w:w="6991" w:type="dxa"/>
            <w:shd w:val="clear" w:color="auto" w:fill="auto"/>
            <w:tcMar>
              <w:top w:w="15" w:type="dxa"/>
              <w:left w:w="15" w:type="dxa"/>
              <w:bottom w:w="0" w:type="dxa"/>
              <w:right w:w="15" w:type="dxa"/>
            </w:tcMar>
            <w:vAlign w:val="center"/>
          </w:tcPr>
          <w:p>
            <w:pPr>
              <w:pStyle w:val="57"/>
              <w:rPr>
                <w:highlight w:val="yellow"/>
              </w:rPr>
            </w:pPr>
            <w:r>
              <w:rPr>
                <w:rFonts w:hint="eastAsia"/>
              </w:rPr>
              <w:t>完善城乡低保制度，调整城乡低保标准，提高特困人员救助供养标准。推进全面参保登记，建立全面、完整、准确、动态更新的社会保险基础数据库。</w:t>
            </w:r>
          </w:p>
        </w:tc>
        <w:tc>
          <w:tcPr>
            <w:tcW w:w="1133" w:type="dxa"/>
            <w:shd w:val="clear" w:color="auto" w:fill="auto"/>
            <w:tcMar>
              <w:top w:w="15" w:type="dxa"/>
              <w:left w:w="15" w:type="dxa"/>
              <w:bottom w:w="0" w:type="dxa"/>
              <w:right w:w="15" w:type="dxa"/>
            </w:tcMar>
            <w:vAlign w:val="center"/>
          </w:tcPr>
          <w:p>
            <w:pPr>
              <w:pStyle w:val="57"/>
              <w:rPr>
                <w:highlight w:val="yellow"/>
              </w:rPr>
            </w:pPr>
            <w:r>
              <w:rPr>
                <w:rFonts w:hint="eastAsia"/>
              </w:rPr>
              <w:t>2022-2024</w:t>
            </w:r>
          </w:p>
        </w:tc>
        <w:tc>
          <w:tcPr>
            <w:tcW w:w="1185" w:type="dxa"/>
            <w:shd w:val="clear" w:color="auto" w:fill="auto"/>
            <w:tcMar>
              <w:top w:w="15" w:type="dxa"/>
              <w:left w:w="15" w:type="dxa"/>
              <w:bottom w:w="0" w:type="dxa"/>
              <w:right w:w="15" w:type="dxa"/>
            </w:tcMar>
            <w:vAlign w:val="center"/>
          </w:tcPr>
          <w:p>
            <w:pPr>
              <w:pStyle w:val="57"/>
              <w:rPr>
                <w:highlight w:val="yellow"/>
              </w:rPr>
            </w:pPr>
            <w:r>
              <w:rPr>
                <w:rFonts w:hint="eastAsia"/>
              </w:rPr>
              <w:t>1000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trPr>
        <w:tc>
          <w:tcPr>
            <w:tcW w:w="12075" w:type="dxa"/>
            <w:gridSpan w:val="5"/>
            <w:shd w:val="clear" w:color="auto" w:fill="auto"/>
            <w:tcMar>
              <w:top w:w="15" w:type="dxa"/>
              <w:left w:w="15" w:type="dxa"/>
              <w:bottom w:w="0" w:type="dxa"/>
              <w:right w:w="15" w:type="dxa"/>
            </w:tcMar>
            <w:vAlign w:val="center"/>
          </w:tcPr>
          <w:p>
            <w:pPr>
              <w:pStyle w:val="57"/>
            </w:pPr>
            <w:r>
              <w:rPr>
                <w:rFonts w:hint="eastAsia"/>
                <w:b/>
                <w:bCs/>
              </w:rPr>
              <w:t>小计</w:t>
            </w:r>
          </w:p>
        </w:tc>
        <w:tc>
          <w:tcPr>
            <w:tcW w:w="1185" w:type="dxa"/>
            <w:shd w:val="clear" w:color="auto" w:fill="auto"/>
            <w:tcMar>
              <w:top w:w="15" w:type="dxa"/>
              <w:left w:w="15" w:type="dxa"/>
              <w:bottom w:w="0" w:type="dxa"/>
              <w:right w:w="15" w:type="dxa"/>
            </w:tcMar>
            <w:vAlign w:val="center"/>
          </w:tcPr>
          <w:p>
            <w:pPr>
              <w:pStyle w:val="57"/>
            </w:pPr>
            <w:r>
              <w:rPr>
                <w:rFonts w:hint="eastAsia"/>
              </w:rPr>
              <w:t>71000</w:t>
            </w:r>
          </w:p>
        </w:tc>
        <w:tc>
          <w:tcPr>
            <w:tcW w:w="1129" w:type="dxa"/>
            <w:shd w:val="clear" w:color="auto" w:fill="auto"/>
            <w:tcMar>
              <w:top w:w="15" w:type="dxa"/>
              <w:left w:w="15" w:type="dxa"/>
              <w:bottom w:w="0" w:type="dxa"/>
              <w:right w:w="15" w:type="dxa"/>
            </w:tcMar>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atLeast"/>
        </w:trPr>
        <w:tc>
          <w:tcPr>
            <w:tcW w:w="476" w:type="dxa"/>
            <w:shd w:val="clear" w:color="auto" w:fill="auto"/>
            <w:tcMar>
              <w:top w:w="15" w:type="dxa"/>
              <w:left w:w="15" w:type="dxa"/>
              <w:bottom w:w="0" w:type="dxa"/>
              <w:right w:w="15" w:type="dxa"/>
            </w:tcMar>
            <w:vAlign w:val="center"/>
          </w:tcPr>
          <w:p>
            <w:pPr>
              <w:pStyle w:val="57"/>
              <w:rPr>
                <w:b/>
                <w:bCs/>
              </w:rPr>
            </w:pPr>
            <w:r>
              <w:rPr>
                <w:b/>
                <w:bCs/>
              </w:rPr>
              <w:t>26</w:t>
            </w:r>
          </w:p>
        </w:tc>
        <w:tc>
          <w:tcPr>
            <w:tcW w:w="1215" w:type="dxa"/>
            <w:vMerge w:val="restart"/>
            <w:vAlign w:val="center"/>
          </w:tcPr>
          <w:p>
            <w:pPr>
              <w:pStyle w:val="57"/>
              <w:rPr>
                <w:highlight w:val="yellow"/>
              </w:rPr>
            </w:pPr>
            <w:r>
              <w:rPr>
                <w:rFonts w:hint="eastAsia"/>
              </w:rPr>
              <w:t>推进农业农村绿色发展</w:t>
            </w:r>
          </w:p>
        </w:tc>
        <w:tc>
          <w:tcPr>
            <w:tcW w:w="2260" w:type="dxa"/>
            <w:shd w:val="clear" w:color="auto" w:fill="auto"/>
            <w:tcMar>
              <w:top w:w="15" w:type="dxa"/>
              <w:left w:w="15" w:type="dxa"/>
              <w:bottom w:w="0" w:type="dxa"/>
              <w:right w:w="15" w:type="dxa"/>
            </w:tcMar>
            <w:vAlign w:val="center"/>
          </w:tcPr>
          <w:p>
            <w:pPr>
              <w:pStyle w:val="57"/>
              <w:rPr>
                <w:highlight w:val="yellow"/>
              </w:rPr>
            </w:pPr>
            <w:r>
              <w:rPr>
                <w:rFonts w:hint="eastAsia"/>
              </w:rPr>
              <w:t>绿色种养循环农业试点县项目</w:t>
            </w:r>
          </w:p>
        </w:tc>
        <w:tc>
          <w:tcPr>
            <w:tcW w:w="6991" w:type="dxa"/>
            <w:shd w:val="clear" w:color="auto" w:fill="auto"/>
            <w:tcMar>
              <w:top w:w="15" w:type="dxa"/>
              <w:left w:w="15" w:type="dxa"/>
              <w:bottom w:w="0" w:type="dxa"/>
              <w:right w:w="15" w:type="dxa"/>
            </w:tcMar>
            <w:vAlign w:val="center"/>
          </w:tcPr>
          <w:p>
            <w:pPr>
              <w:pStyle w:val="57"/>
              <w:rPr>
                <w:highlight w:val="yellow"/>
              </w:rPr>
            </w:pPr>
            <w:r>
              <w:rPr>
                <w:rFonts w:hint="eastAsia"/>
              </w:rPr>
              <w:t>打造种养循环示范区，构建“养殖户+综合处理中心+种植基地的管网输送还田模式</w:t>
            </w:r>
            <w:r>
              <w:rPr>
                <w:rFonts w:hint="eastAsia"/>
                <w:lang w:eastAsia="zh-CN"/>
              </w:rPr>
              <w:t>”“</w:t>
            </w:r>
            <w:r>
              <w:rPr>
                <w:rFonts w:hint="eastAsia"/>
              </w:rPr>
              <w:t>养殖户+有机肥企业+种植基地的商品有机肥还田模式</w:t>
            </w:r>
            <w:r>
              <w:rPr>
                <w:rFonts w:hint="eastAsia"/>
                <w:lang w:eastAsia="zh-CN"/>
              </w:rPr>
              <w:t>”“</w:t>
            </w:r>
            <w:r>
              <w:rPr>
                <w:rFonts w:hint="eastAsia"/>
              </w:rPr>
              <w:t>养殖户+种植户堆沤还田模式”等三种粪肥还田技术模式，开展调查试验监测。</w:t>
            </w:r>
          </w:p>
        </w:tc>
        <w:tc>
          <w:tcPr>
            <w:tcW w:w="1133" w:type="dxa"/>
            <w:shd w:val="clear" w:color="auto" w:fill="auto"/>
            <w:tcMar>
              <w:top w:w="15" w:type="dxa"/>
              <w:left w:w="15" w:type="dxa"/>
              <w:bottom w:w="0" w:type="dxa"/>
              <w:right w:w="15" w:type="dxa"/>
            </w:tcMar>
            <w:vAlign w:val="center"/>
          </w:tcPr>
          <w:p>
            <w:pPr>
              <w:pStyle w:val="57"/>
              <w:rPr>
                <w:highlight w:val="yellow"/>
              </w:rPr>
            </w:pPr>
            <w:r>
              <w:rPr>
                <w:rFonts w:hint="eastAsia"/>
              </w:rPr>
              <w:t>2022</w:t>
            </w:r>
          </w:p>
        </w:tc>
        <w:tc>
          <w:tcPr>
            <w:tcW w:w="1185" w:type="dxa"/>
            <w:shd w:val="clear" w:color="auto" w:fill="auto"/>
            <w:tcMar>
              <w:top w:w="15" w:type="dxa"/>
              <w:left w:w="15" w:type="dxa"/>
              <w:bottom w:w="0" w:type="dxa"/>
              <w:right w:w="15" w:type="dxa"/>
            </w:tcMar>
            <w:vAlign w:val="center"/>
          </w:tcPr>
          <w:p>
            <w:pPr>
              <w:pStyle w:val="57"/>
              <w:rPr>
                <w:highlight w:val="yellow"/>
              </w:rPr>
            </w:pPr>
            <w:r>
              <w:rPr>
                <w:rFonts w:hint="eastAsia"/>
              </w:rPr>
              <w:t>4665</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5" w:hRule="atLeast"/>
        </w:trPr>
        <w:tc>
          <w:tcPr>
            <w:tcW w:w="476" w:type="dxa"/>
            <w:shd w:val="clear" w:color="auto" w:fill="auto"/>
            <w:tcMar>
              <w:top w:w="15" w:type="dxa"/>
              <w:left w:w="15" w:type="dxa"/>
              <w:bottom w:w="0" w:type="dxa"/>
              <w:right w:w="15" w:type="dxa"/>
            </w:tcMar>
            <w:vAlign w:val="center"/>
          </w:tcPr>
          <w:p>
            <w:pPr>
              <w:pStyle w:val="57"/>
              <w:rPr>
                <w:b/>
                <w:bCs/>
              </w:rPr>
            </w:pPr>
            <w:r>
              <w:rPr>
                <w:b/>
                <w:bCs/>
              </w:rPr>
              <w:t>27</w:t>
            </w:r>
          </w:p>
        </w:tc>
        <w:tc>
          <w:tcPr>
            <w:tcW w:w="1215" w:type="dxa"/>
            <w:vMerge w:val="continue"/>
            <w:shd w:val="clear" w:color="auto" w:fill="auto"/>
            <w:tcMar>
              <w:top w:w="15" w:type="dxa"/>
              <w:left w:w="15" w:type="dxa"/>
              <w:bottom w:w="0" w:type="dxa"/>
              <w:right w:w="15" w:type="dxa"/>
            </w:tcMar>
            <w:vAlign w:val="center"/>
          </w:tcPr>
          <w:p>
            <w:pPr>
              <w:pStyle w:val="57"/>
            </w:pPr>
          </w:p>
        </w:tc>
        <w:tc>
          <w:tcPr>
            <w:tcW w:w="2260" w:type="dxa"/>
            <w:shd w:val="clear" w:color="auto" w:fill="auto"/>
            <w:tcMar>
              <w:top w:w="15" w:type="dxa"/>
              <w:left w:w="15" w:type="dxa"/>
              <w:bottom w:w="0" w:type="dxa"/>
              <w:right w:w="15" w:type="dxa"/>
            </w:tcMar>
            <w:vAlign w:val="center"/>
          </w:tcPr>
          <w:p>
            <w:pPr>
              <w:pStyle w:val="57"/>
            </w:pPr>
            <w:r>
              <w:rPr>
                <w:rFonts w:hint="eastAsia"/>
              </w:rPr>
              <w:t>井研县旧塘标准化改造及尾水治理项目</w:t>
            </w:r>
          </w:p>
        </w:tc>
        <w:tc>
          <w:tcPr>
            <w:tcW w:w="6991" w:type="dxa"/>
            <w:shd w:val="clear" w:color="auto" w:fill="auto"/>
            <w:tcMar>
              <w:top w:w="15" w:type="dxa"/>
              <w:left w:w="15" w:type="dxa"/>
              <w:bottom w:w="0" w:type="dxa"/>
              <w:right w:w="15" w:type="dxa"/>
            </w:tcMar>
            <w:vAlign w:val="center"/>
          </w:tcPr>
          <w:p>
            <w:pPr>
              <w:pStyle w:val="57"/>
            </w:pPr>
            <w:r>
              <w:rPr>
                <w:rFonts w:hint="eastAsia"/>
              </w:rPr>
              <w:t>围绕现代化渔业发展，推动养殖池塘尾水治理面积约4000亩，做到产业提档升级、能效提升。</w:t>
            </w:r>
          </w:p>
        </w:tc>
        <w:tc>
          <w:tcPr>
            <w:tcW w:w="1133" w:type="dxa"/>
            <w:shd w:val="clear" w:color="auto" w:fill="auto"/>
            <w:tcMar>
              <w:top w:w="15" w:type="dxa"/>
              <w:left w:w="15" w:type="dxa"/>
              <w:bottom w:w="0" w:type="dxa"/>
              <w:right w:w="15" w:type="dxa"/>
            </w:tcMar>
            <w:vAlign w:val="center"/>
          </w:tcPr>
          <w:p>
            <w:pPr>
              <w:pStyle w:val="57"/>
            </w:pPr>
            <w:r>
              <w:rPr>
                <w:rFonts w:hint="eastAsia"/>
              </w:rPr>
              <w:t>2022-2024</w:t>
            </w:r>
          </w:p>
        </w:tc>
        <w:tc>
          <w:tcPr>
            <w:tcW w:w="1185" w:type="dxa"/>
            <w:shd w:val="clear" w:color="auto" w:fill="auto"/>
            <w:tcMar>
              <w:top w:w="15" w:type="dxa"/>
              <w:left w:w="15" w:type="dxa"/>
              <w:bottom w:w="0" w:type="dxa"/>
              <w:right w:w="15" w:type="dxa"/>
            </w:tcMar>
            <w:vAlign w:val="center"/>
          </w:tcPr>
          <w:p>
            <w:pPr>
              <w:pStyle w:val="57"/>
            </w:pPr>
            <w:r>
              <w:rPr>
                <w:rFonts w:hint="eastAsia"/>
              </w:rPr>
              <w:t>1335</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trPr>
        <w:tc>
          <w:tcPr>
            <w:tcW w:w="476" w:type="dxa"/>
            <w:shd w:val="clear" w:color="auto" w:fill="auto"/>
            <w:tcMar>
              <w:top w:w="15" w:type="dxa"/>
              <w:left w:w="15" w:type="dxa"/>
              <w:bottom w:w="0" w:type="dxa"/>
              <w:right w:w="15" w:type="dxa"/>
            </w:tcMar>
            <w:vAlign w:val="center"/>
          </w:tcPr>
          <w:p>
            <w:pPr>
              <w:pStyle w:val="57"/>
              <w:rPr>
                <w:b/>
                <w:bCs/>
              </w:rPr>
            </w:pPr>
            <w:r>
              <w:rPr>
                <w:b/>
                <w:bCs/>
              </w:rPr>
              <w:t>28</w:t>
            </w:r>
          </w:p>
        </w:tc>
        <w:tc>
          <w:tcPr>
            <w:tcW w:w="1215" w:type="dxa"/>
            <w:vMerge w:val="continue"/>
            <w:shd w:val="clear" w:color="auto" w:fill="auto"/>
            <w:vAlign w:val="center"/>
          </w:tcPr>
          <w:p>
            <w:pPr>
              <w:pStyle w:val="57"/>
            </w:pPr>
          </w:p>
        </w:tc>
        <w:tc>
          <w:tcPr>
            <w:tcW w:w="2260" w:type="dxa"/>
            <w:shd w:val="clear" w:color="auto" w:fill="auto"/>
            <w:tcMar>
              <w:top w:w="15" w:type="dxa"/>
              <w:left w:w="15" w:type="dxa"/>
              <w:bottom w:w="0" w:type="dxa"/>
              <w:right w:w="15" w:type="dxa"/>
            </w:tcMar>
            <w:vAlign w:val="center"/>
          </w:tcPr>
          <w:p>
            <w:pPr>
              <w:pStyle w:val="57"/>
            </w:pPr>
            <w:r>
              <w:rPr>
                <w:rFonts w:hint="eastAsia"/>
              </w:rPr>
              <w:t>农副产品质量安全检测共享中心建设</w:t>
            </w:r>
          </w:p>
        </w:tc>
        <w:tc>
          <w:tcPr>
            <w:tcW w:w="6991" w:type="dxa"/>
            <w:shd w:val="clear" w:color="auto" w:fill="auto"/>
            <w:tcMar>
              <w:top w:w="15" w:type="dxa"/>
              <w:left w:w="15" w:type="dxa"/>
              <w:bottom w:w="0" w:type="dxa"/>
              <w:right w:w="15" w:type="dxa"/>
            </w:tcMar>
            <w:vAlign w:val="center"/>
          </w:tcPr>
          <w:p>
            <w:pPr>
              <w:pStyle w:val="57"/>
            </w:pPr>
            <w:r>
              <w:rPr>
                <w:rFonts w:hint="eastAsia"/>
              </w:rPr>
              <w:t>建设2处农副产品质量安全检测共享中心，包括基础设施建设、设施设备购置等，具体开展农产品质量安全检测、土壤监测等业务工作。</w:t>
            </w:r>
          </w:p>
        </w:tc>
        <w:tc>
          <w:tcPr>
            <w:tcW w:w="1133" w:type="dxa"/>
            <w:shd w:val="clear" w:color="auto" w:fill="auto"/>
            <w:tcMar>
              <w:top w:w="15" w:type="dxa"/>
              <w:left w:w="15" w:type="dxa"/>
              <w:bottom w:w="0" w:type="dxa"/>
              <w:right w:w="15" w:type="dxa"/>
            </w:tcMar>
            <w:vAlign w:val="center"/>
          </w:tcPr>
          <w:p>
            <w:pPr>
              <w:pStyle w:val="57"/>
            </w:pPr>
            <w:r>
              <w:rPr>
                <w:rFonts w:hint="eastAsia"/>
              </w:rPr>
              <w:t>2021-2023</w:t>
            </w:r>
          </w:p>
        </w:tc>
        <w:tc>
          <w:tcPr>
            <w:tcW w:w="1185" w:type="dxa"/>
            <w:shd w:val="clear" w:color="auto" w:fill="auto"/>
            <w:tcMar>
              <w:top w:w="15" w:type="dxa"/>
              <w:left w:w="15" w:type="dxa"/>
              <w:bottom w:w="0" w:type="dxa"/>
              <w:right w:w="15" w:type="dxa"/>
            </w:tcMar>
            <w:vAlign w:val="center"/>
          </w:tcPr>
          <w:p>
            <w:pPr>
              <w:pStyle w:val="57"/>
            </w:pPr>
            <w:r>
              <w:rPr>
                <w:rFonts w:hint="eastAsia"/>
              </w:rPr>
              <w:t>6000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trPr>
        <w:tc>
          <w:tcPr>
            <w:tcW w:w="12075" w:type="dxa"/>
            <w:gridSpan w:val="5"/>
            <w:shd w:val="clear" w:color="auto" w:fill="auto"/>
            <w:tcMar>
              <w:top w:w="15" w:type="dxa"/>
              <w:left w:w="15" w:type="dxa"/>
              <w:bottom w:w="0" w:type="dxa"/>
              <w:right w:w="15" w:type="dxa"/>
            </w:tcMar>
            <w:vAlign w:val="center"/>
          </w:tcPr>
          <w:p>
            <w:pPr>
              <w:pStyle w:val="57"/>
            </w:pPr>
            <w:r>
              <w:rPr>
                <w:rFonts w:hint="eastAsia"/>
              </w:rPr>
              <w:t>小计</w:t>
            </w:r>
          </w:p>
        </w:tc>
        <w:tc>
          <w:tcPr>
            <w:tcW w:w="1185" w:type="dxa"/>
            <w:shd w:val="clear" w:color="auto" w:fill="auto"/>
            <w:tcMar>
              <w:top w:w="15" w:type="dxa"/>
              <w:left w:w="15" w:type="dxa"/>
              <w:bottom w:w="0" w:type="dxa"/>
              <w:right w:w="15" w:type="dxa"/>
            </w:tcMar>
            <w:vAlign w:val="center"/>
          </w:tcPr>
          <w:p>
            <w:pPr>
              <w:pStyle w:val="57"/>
            </w:pPr>
            <w:r>
              <w:rPr>
                <w:rFonts w:hint="eastAsia"/>
              </w:rPr>
              <w:t>14000</w:t>
            </w:r>
          </w:p>
        </w:tc>
        <w:tc>
          <w:tcPr>
            <w:tcW w:w="1129" w:type="dxa"/>
            <w:shd w:val="clear" w:color="auto" w:fill="auto"/>
            <w:tcMar>
              <w:top w:w="15" w:type="dxa"/>
              <w:left w:w="15" w:type="dxa"/>
              <w:bottom w:w="0" w:type="dxa"/>
              <w:right w:w="15" w:type="dxa"/>
            </w:tcMar>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476" w:type="dxa"/>
            <w:shd w:val="clear" w:color="auto" w:fill="auto"/>
            <w:tcMar>
              <w:top w:w="15" w:type="dxa"/>
              <w:left w:w="15" w:type="dxa"/>
              <w:bottom w:w="0" w:type="dxa"/>
              <w:right w:w="15" w:type="dxa"/>
            </w:tcMar>
            <w:vAlign w:val="center"/>
          </w:tcPr>
          <w:p>
            <w:pPr>
              <w:pStyle w:val="57"/>
              <w:rPr>
                <w:b/>
                <w:bCs/>
              </w:rPr>
            </w:pPr>
            <w:r>
              <w:rPr>
                <w:rFonts w:hint="eastAsia"/>
                <w:b/>
                <w:bCs/>
              </w:rPr>
              <w:t>29</w:t>
            </w:r>
          </w:p>
        </w:tc>
        <w:tc>
          <w:tcPr>
            <w:tcW w:w="1215" w:type="dxa"/>
            <w:vMerge w:val="restart"/>
            <w:shd w:val="clear" w:color="auto" w:fill="auto"/>
            <w:tcMar>
              <w:top w:w="15" w:type="dxa"/>
              <w:left w:w="15" w:type="dxa"/>
              <w:bottom w:w="0" w:type="dxa"/>
              <w:right w:w="15" w:type="dxa"/>
            </w:tcMar>
            <w:vAlign w:val="center"/>
          </w:tcPr>
          <w:p>
            <w:pPr>
              <w:pStyle w:val="57"/>
            </w:pPr>
            <w:r>
              <w:rPr>
                <w:rFonts w:hint="eastAsia"/>
              </w:rPr>
              <w:t>推动农民全面发展</w:t>
            </w:r>
          </w:p>
        </w:tc>
        <w:tc>
          <w:tcPr>
            <w:tcW w:w="2260" w:type="dxa"/>
            <w:shd w:val="clear" w:color="auto" w:fill="auto"/>
            <w:tcMar>
              <w:top w:w="15" w:type="dxa"/>
              <w:left w:w="15" w:type="dxa"/>
              <w:bottom w:w="0" w:type="dxa"/>
              <w:right w:w="15" w:type="dxa"/>
            </w:tcMar>
            <w:vAlign w:val="center"/>
          </w:tcPr>
          <w:p>
            <w:pPr>
              <w:pStyle w:val="57"/>
            </w:pPr>
            <w:r>
              <w:rPr>
                <w:rFonts w:hint="eastAsia"/>
              </w:rPr>
              <w:t>高素质农民培训项目</w:t>
            </w:r>
          </w:p>
        </w:tc>
        <w:tc>
          <w:tcPr>
            <w:tcW w:w="6991" w:type="dxa"/>
            <w:shd w:val="clear" w:color="auto" w:fill="auto"/>
            <w:tcMar>
              <w:top w:w="15" w:type="dxa"/>
              <w:left w:w="15" w:type="dxa"/>
              <w:bottom w:w="0" w:type="dxa"/>
              <w:right w:w="15" w:type="dxa"/>
            </w:tcMar>
            <w:vAlign w:val="center"/>
          </w:tcPr>
          <w:p>
            <w:pPr>
              <w:pStyle w:val="72"/>
              <w:ind w:firstLine="420"/>
              <w:rPr>
                <w:rFonts w:eastAsia="宋体"/>
                <w:bCs w:val="0"/>
                <w:sz w:val="21"/>
                <w:szCs w:val="22"/>
              </w:rPr>
            </w:pPr>
            <w:r>
              <w:rPr>
                <w:rFonts w:hint="eastAsia" w:eastAsia="宋体"/>
                <w:bCs w:val="0"/>
                <w:sz w:val="21"/>
                <w:szCs w:val="22"/>
              </w:rPr>
              <w:t>各村、涉农社区每年举办农民生产培训与就业技能培训活动不少于4次，利用现代信息化手段分期分批地开展不同层次、不同类别的各种教育及技能培训。</w:t>
            </w:r>
          </w:p>
          <w:p>
            <w:pPr>
              <w:pStyle w:val="57"/>
            </w:pPr>
          </w:p>
        </w:tc>
        <w:tc>
          <w:tcPr>
            <w:tcW w:w="1133" w:type="dxa"/>
            <w:shd w:val="clear" w:color="auto" w:fill="auto"/>
            <w:tcMar>
              <w:top w:w="15" w:type="dxa"/>
              <w:left w:w="15" w:type="dxa"/>
              <w:bottom w:w="0" w:type="dxa"/>
              <w:right w:w="15" w:type="dxa"/>
            </w:tcMar>
            <w:vAlign w:val="center"/>
          </w:tcPr>
          <w:p>
            <w:pPr>
              <w:pStyle w:val="57"/>
            </w:pPr>
            <w:r>
              <w:rPr>
                <w:rFonts w:hint="eastAsia"/>
              </w:rPr>
              <w:t>2021-2025</w:t>
            </w:r>
          </w:p>
        </w:tc>
        <w:tc>
          <w:tcPr>
            <w:tcW w:w="1185" w:type="dxa"/>
            <w:shd w:val="clear" w:color="auto" w:fill="auto"/>
            <w:tcMar>
              <w:top w:w="15" w:type="dxa"/>
              <w:left w:w="15" w:type="dxa"/>
              <w:bottom w:w="0" w:type="dxa"/>
              <w:right w:w="15" w:type="dxa"/>
            </w:tcMar>
            <w:vAlign w:val="center"/>
          </w:tcPr>
          <w:p>
            <w:pPr>
              <w:pStyle w:val="57"/>
            </w:pPr>
            <w:r>
              <w:rPr>
                <w:rFonts w:hint="eastAsia"/>
              </w:rPr>
              <w:t>4000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476" w:type="dxa"/>
            <w:shd w:val="clear" w:color="auto" w:fill="auto"/>
            <w:tcMar>
              <w:top w:w="15" w:type="dxa"/>
              <w:left w:w="15" w:type="dxa"/>
              <w:bottom w:w="0" w:type="dxa"/>
              <w:right w:w="15" w:type="dxa"/>
            </w:tcMar>
            <w:vAlign w:val="center"/>
          </w:tcPr>
          <w:p>
            <w:pPr>
              <w:pStyle w:val="57"/>
              <w:rPr>
                <w:b/>
                <w:bCs/>
              </w:rPr>
            </w:pPr>
            <w:r>
              <w:rPr>
                <w:b/>
                <w:bCs/>
              </w:rPr>
              <w:t>3</w:t>
            </w:r>
            <w:r>
              <w:rPr>
                <w:rFonts w:hint="eastAsia"/>
                <w:b/>
                <w:bCs/>
              </w:rPr>
              <w:t>0</w:t>
            </w:r>
          </w:p>
        </w:tc>
        <w:tc>
          <w:tcPr>
            <w:tcW w:w="1215" w:type="dxa"/>
            <w:vMerge w:val="continue"/>
            <w:vAlign w:val="center"/>
          </w:tcPr>
          <w:p>
            <w:pPr>
              <w:pStyle w:val="57"/>
            </w:pPr>
          </w:p>
        </w:tc>
        <w:tc>
          <w:tcPr>
            <w:tcW w:w="2260" w:type="dxa"/>
            <w:shd w:val="clear" w:color="auto" w:fill="auto"/>
            <w:tcMar>
              <w:top w:w="15" w:type="dxa"/>
              <w:left w:w="15" w:type="dxa"/>
              <w:bottom w:w="0" w:type="dxa"/>
              <w:right w:w="15" w:type="dxa"/>
            </w:tcMar>
            <w:vAlign w:val="center"/>
          </w:tcPr>
          <w:p>
            <w:pPr>
              <w:pStyle w:val="57"/>
            </w:pPr>
            <w:r>
              <w:rPr>
                <w:rFonts w:hint="eastAsia"/>
              </w:rPr>
              <w:t>产业联合体培育项目</w:t>
            </w:r>
          </w:p>
        </w:tc>
        <w:tc>
          <w:tcPr>
            <w:tcW w:w="6991" w:type="dxa"/>
            <w:shd w:val="clear" w:color="auto" w:fill="auto"/>
            <w:tcMar>
              <w:top w:w="15" w:type="dxa"/>
              <w:left w:w="15" w:type="dxa"/>
              <w:bottom w:w="0" w:type="dxa"/>
              <w:right w:w="15" w:type="dxa"/>
            </w:tcMar>
            <w:vAlign w:val="center"/>
          </w:tcPr>
          <w:p>
            <w:pPr>
              <w:pStyle w:val="57"/>
            </w:pPr>
            <w:r>
              <w:rPr>
                <w:rFonts w:hint="eastAsia"/>
              </w:rPr>
              <w:t>针对四大产业，分别构建至少一个“企业+专合社+家庭农场”一体的产业化联合体。</w:t>
            </w:r>
          </w:p>
        </w:tc>
        <w:tc>
          <w:tcPr>
            <w:tcW w:w="1133" w:type="dxa"/>
            <w:shd w:val="clear" w:color="auto" w:fill="auto"/>
            <w:tcMar>
              <w:top w:w="15" w:type="dxa"/>
              <w:left w:w="15" w:type="dxa"/>
              <w:bottom w:w="0" w:type="dxa"/>
              <w:right w:w="15" w:type="dxa"/>
            </w:tcMar>
            <w:vAlign w:val="center"/>
          </w:tcPr>
          <w:p>
            <w:pPr>
              <w:pStyle w:val="57"/>
            </w:pPr>
            <w:r>
              <w:rPr>
                <w:rFonts w:hint="eastAsia"/>
              </w:rPr>
              <w:t>2021-2024</w:t>
            </w:r>
          </w:p>
        </w:tc>
        <w:tc>
          <w:tcPr>
            <w:tcW w:w="1185" w:type="dxa"/>
            <w:shd w:val="clear" w:color="auto" w:fill="auto"/>
            <w:tcMar>
              <w:top w:w="15" w:type="dxa"/>
              <w:left w:w="15" w:type="dxa"/>
              <w:bottom w:w="0" w:type="dxa"/>
              <w:right w:w="15" w:type="dxa"/>
            </w:tcMar>
            <w:vAlign w:val="center"/>
          </w:tcPr>
          <w:p>
            <w:pPr>
              <w:pStyle w:val="57"/>
            </w:pPr>
            <w:r>
              <w:rPr>
                <w:rFonts w:hint="eastAsia"/>
              </w:rPr>
              <w:t>8000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trPr>
        <w:tc>
          <w:tcPr>
            <w:tcW w:w="476" w:type="dxa"/>
            <w:shd w:val="clear" w:color="auto" w:fill="auto"/>
            <w:tcMar>
              <w:top w:w="15" w:type="dxa"/>
              <w:left w:w="15" w:type="dxa"/>
              <w:bottom w:w="0" w:type="dxa"/>
              <w:right w:w="15" w:type="dxa"/>
            </w:tcMar>
            <w:vAlign w:val="center"/>
          </w:tcPr>
          <w:p>
            <w:pPr>
              <w:pStyle w:val="57"/>
              <w:rPr>
                <w:b/>
                <w:bCs/>
              </w:rPr>
            </w:pPr>
            <w:r>
              <w:rPr>
                <w:b/>
                <w:bCs/>
              </w:rPr>
              <w:t>3</w:t>
            </w:r>
            <w:r>
              <w:rPr>
                <w:rFonts w:hint="eastAsia"/>
                <w:b/>
                <w:bCs/>
              </w:rPr>
              <w:t>1</w:t>
            </w:r>
          </w:p>
        </w:tc>
        <w:tc>
          <w:tcPr>
            <w:tcW w:w="1215" w:type="dxa"/>
            <w:vMerge w:val="continue"/>
            <w:vAlign w:val="center"/>
          </w:tcPr>
          <w:p>
            <w:pPr>
              <w:pStyle w:val="57"/>
            </w:pPr>
          </w:p>
        </w:tc>
        <w:tc>
          <w:tcPr>
            <w:tcW w:w="2260" w:type="dxa"/>
            <w:shd w:val="clear" w:color="auto" w:fill="auto"/>
            <w:tcMar>
              <w:top w:w="15" w:type="dxa"/>
              <w:left w:w="15" w:type="dxa"/>
              <w:bottom w:w="0" w:type="dxa"/>
              <w:right w:w="15" w:type="dxa"/>
            </w:tcMar>
            <w:vAlign w:val="center"/>
          </w:tcPr>
          <w:p>
            <w:pPr>
              <w:pStyle w:val="57"/>
            </w:pPr>
            <w:r>
              <w:rPr>
                <w:rFonts w:hint="eastAsia"/>
              </w:rPr>
              <w:t>创新创业质量提升重大行动</w:t>
            </w:r>
          </w:p>
        </w:tc>
        <w:tc>
          <w:tcPr>
            <w:tcW w:w="6991" w:type="dxa"/>
            <w:shd w:val="clear" w:color="auto" w:fill="auto"/>
            <w:tcMar>
              <w:top w:w="15" w:type="dxa"/>
              <w:left w:w="15" w:type="dxa"/>
              <w:bottom w:w="0" w:type="dxa"/>
              <w:right w:w="15" w:type="dxa"/>
            </w:tcMar>
            <w:vAlign w:val="center"/>
          </w:tcPr>
          <w:p>
            <w:pPr>
              <w:pStyle w:val="57"/>
            </w:pPr>
            <w:r>
              <w:rPr>
                <w:rFonts w:hint="eastAsia"/>
              </w:rPr>
              <w:t>建设城乡职业技能公共实训基地，构建职业技能实训基地网络，进行职业技能和实用技术培训，通过订单、定向和定岗式培训，突出加强农村电商、旅游服务与管理创业等培训。</w:t>
            </w:r>
          </w:p>
        </w:tc>
        <w:tc>
          <w:tcPr>
            <w:tcW w:w="1133" w:type="dxa"/>
            <w:shd w:val="clear" w:color="auto" w:fill="auto"/>
            <w:tcMar>
              <w:top w:w="15" w:type="dxa"/>
              <w:left w:w="15" w:type="dxa"/>
              <w:bottom w:w="0" w:type="dxa"/>
              <w:right w:w="15" w:type="dxa"/>
            </w:tcMar>
            <w:vAlign w:val="center"/>
          </w:tcPr>
          <w:p>
            <w:pPr>
              <w:pStyle w:val="57"/>
            </w:pPr>
            <w:r>
              <w:rPr>
                <w:rFonts w:hint="eastAsia"/>
              </w:rPr>
              <w:t>2021-2025</w:t>
            </w:r>
          </w:p>
        </w:tc>
        <w:tc>
          <w:tcPr>
            <w:tcW w:w="1185" w:type="dxa"/>
            <w:shd w:val="clear" w:color="auto" w:fill="auto"/>
            <w:tcMar>
              <w:top w:w="15" w:type="dxa"/>
              <w:left w:w="15" w:type="dxa"/>
              <w:bottom w:w="0" w:type="dxa"/>
              <w:right w:w="15" w:type="dxa"/>
            </w:tcMar>
            <w:vAlign w:val="center"/>
          </w:tcPr>
          <w:p>
            <w:pPr>
              <w:pStyle w:val="57"/>
            </w:pPr>
            <w:r>
              <w:rPr>
                <w:rFonts w:hint="eastAsia"/>
              </w:rPr>
              <w:t>2000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trPr>
        <w:tc>
          <w:tcPr>
            <w:tcW w:w="476" w:type="dxa"/>
            <w:shd w:val="clear" w:color="auto" w:fill="auto"/>
            <w:tcMar>
              <w:top w:w="15" w:type="dxa"/>
              <w:left w:w="15" w:type="dxa"/>
              <w:bottom w:w="0" w:type="dxa"/>
              <w:right w:w="15" w:type="dxa"/>
            </w:tcMar>
            <w:vAlign w:val="center"/>
          </w:tcPr>
          <w:p>
            <w:pPr>
              <w:pStyle w:val="57"/>
              <w:rPr>
                <w:b/>
                <w:bCs/>
              </w:rPr>
            </w:pPr>
            <w:r>
              <w:rPr>
                <w:b/>
                <w:bCs/>
              </w:rPr>
              <w:t>3</w:t>
            </w:r>
            <w:r>
              <w:rPr>
                <w:rFonts w:hint="eastAsia"/>
                <w:b/>
                <w:bCs/>
              </w:rPr>
              <w:t>2</w:t>
            </w:r>
          </w:p>
        </w:tc>
        <w:tc>
          <w:tcPr>
            <w:tcW w:w="1215" w:type="dxa"/>
            <w:vMerge w:val="continue"/>
            <w:vAlign w:val="center"/>
          </w:tcPr>
          <w:p>
            <w:pPr>
              <w:pStyle w:val="57"/>
            </w:pPr>
          </w:p>
        </w:tc>
        <w:tc>
          <w:tcPr>
            <w:tcW w:w="2260" w:type="dxa"/>
            <w:shd w:val="clear" w:color="auto" w:fill="auto"/>
            <w:tcMar>
              <w:top w:w="15" w:type="dxa"/>
              <w:left w:w="15" w:type="dxa"/>
              <w:bottom w:w="0" w:type="dxa"/>
              <w:right w:w="15" w:type="dxa"/>
            </w:tcMar>
            <w:vAlign w:val="center"/>
          </w:tcPr>
          <w:p>
            <w:pPr>
              <w:pStyle w:val="57"/>
            </w:pPr>
            <w:r>
              <w:rPr>
                <w:rFonts w:hint="eastAsia"/>
              </w:rPr>
              <w:t>新型农业经营主体培育</w:t>
            </w:r>
          </w:p>
        </w:tc>
        <w:tc>
          <w:tcPr>
            <w:tcW w:w="6991" w:type="dxa"/>
            <w:shd w:val="clear" w:color="auto" w:fill="auto"/>
            <w:tcMar>
              <w:top w:w="15" w:type="dxa"/>
              <w:left w:w="15" w:type="dxa"/>
              <w:bottom w:w="0" w:type="dxa"/>
              <w:right w:w="15" w:type="dxa"/>
            </w:tcMar>
            <w:vAlign w:val="center"/>
          </w:tcPr>
          <w:p>
            <w:pPr>
              <w:pStyle w:val="72"/>
              <w:ind w:firstLine="0" w:firstLineChars="0"/>
              <w:jc w:val="center"/>
            </w:pPr>
            <w:r>
              <w:rPr>
                <w:rFonts w:hint="eastAsia" w:eastAsia="宋体"/>
                <w:bCs w:val="0"/>
                <w:sz w:val="21"/>
                <w:szCs w:val="22"/>
              </w:rPr>
              <w:t>引导和鼓励专合社、家庭农场等新型农业经营组织规范化建设，适度规模发展，提升经营管理能力和水平，增强市场竞争力和抗风险能力。</w:t>
            </w:r>
          </w:p>
        </w:tc>
        <w:tc>
          <w:tcPr>
            <w:tcW w:w="1133" w:type="dxa"/>
            <w:shd w:val="clear" w:color="auto" w:fill="auto"/>
            <w:tcMar>
              <w:top w:w="15" w:type="dxa"/>
              <w:left w:w="15" w:type="dxa"/>
              <w:bottom w:w="0" w:type="dxa"/>
              <w:right w:w="15" w:type="dxa"/>
            </w:tcMar>
            <w:vAlign w:val="center"/>
          </w:tcPr>
          <w:p>
            <w:pPr>
              <w:pStyle w:val="57"/>
            </w:pPr>
            <w:r>
              <w:rPr>
                <w:rFonts w:hint="eastAsia"/>
              </w:rPr>
              <w:t>2021-2025</w:t>
            </w:r>
          </w:p>
        </w:tc>
        <w:tc>
          <w:tcPr>
            <w:tcW w:w="1185" w:type="dxa"/>
            <w:shd w:val="clear" w:color="auto" w:fill="auto"/>
            <w:tcMar>
              <w:top w:w="15" w:type="dxa"/>
              <w:left w:w="15" w:type="dxa"/>
              <w:bottom w:w="0" w:type="dxa"/>
              <w:right w:w="15" w:type="dxa"/>
            </w:tcMar>
            <w:vAlign w:val="center"/>
          </w:tcPr>
          <w:p>
            <w:pPr>
              <w:pStyle w:val="57"/>
            </w:pPr>
            <w:r>
              <w:rPr>
                <w:rFonts w:hint="eastAsia"/>
              </w:rPr>
              <w:t>5000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trPr>
        <w:tc>
          <w:tcPr>
            <w:tcW w:w="12075" w:type="dxa"/>
            <w:gridSpan w:val="5"/>
            <w:shd w:val="clear" w:color="auto" w:fill="auto"/>
            <w:tcMar>
              <w:top w:w="15" w:type="dxa"/>
              <w:left w:w="15" w:type="dxa"/>
              <w:bottom w:w="0" w:type="dxa"/>
              <w:right w:w="15" w:type="dxa"/>
            </w:tcMar>
            <w:vAlign w:val="center"/>
          </w:tcPr>
          <w:p>
            <w:pPr>
              <w:pStyle w:val="57"/>
              <w:rPr>
                <w:b/>
                <w:bCs/>
              </w:rPr>
            </w:pPr>
            <w:r>
              <w:rPr>
                <w:rFonts w:hint="eastAsia"/>
                <w:b/>
                <w:bCs/>
              </w:rPr>
              <w:t>小计</w:t>
            </w:r>
          </w:p>
        </w:tc>
        <w:tc>
          <w:tcPr>
            <w:tcW w:w="1185" w:type="dxa"/>
            <w:shd w:val="clear" w:color="auto" w:fill="auto"/>
            <w:tcMar>
              <w:top w:w="15" w:type="dxa"/>
              <w:left w:w="15" w:type="dxa"/>
              <w:bottom w:w="0" w:type="dxa"/>
              <w:right w:w="15" w:type="dxa"/>
            </w:tcMar>
            <w:vAlign w:val="center"/>
          </w:tcPr>
          <w:p>
            <w:pPr>
              <w:pStyle w:val="57"/>
            </w:pPr>
            <w:r>
              <w:rPr>
                <w:rFonts w:hint="eastAsia"/>
              </w:rPr>
              <w:t>19000</w:t>
            </w:r>
          </w:p>
        </w:tc>
        <w:tc>
          <w:tcPr>
            <w:tcW w:w="1129" w:type="dxa"/>
            <w:shd w:val="clear" w:color="auto" w:fill="auto"/>
            <w:tcMar>
              <w:top w:w="15" w:type="dxa"/>
              <w:left w:w="15" w:type="dxa"/>
              <w:bottom w:w="0" w:type="dxa"/>
              <w:right w:w="15" w:type="dxa"/>
            </w:tcMar>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trPr>
        <w:tc>
          <w:tcPr>
            <w:tcW w:w="476" w:type="dxa"/>
            <w:shd w:val="clear" w:color="auto" w:fill="auto"/>
            <w:tcMar>
              <w:top w:w="15" w:type="dxa"/>
              <w:left w:w="15" w:type="dxa"/>
              <w:bottom w:w="0" w:type="dxa"/>
              <w:right w:w="15" w:type="dxa"/>
            </w:tcMar>
            <w:vAlign w:val="center"/>
          </w:tcPr>
          <w:p>
            <w:pPr>
              <w:pStyle w:val="57"/>
              <w:rPr>
                <w:b/>
                <w:bCs/>
              </w:rPr>
            </w:pPr>
            <w:r>
              <w:rPr>
                <w:b/>
                <w:bCs/>
              </w:rPr>
              <w:t>3</w:t>
            </w:r>
            <w:r>
              <w:rPr>
                <w:rFonts w:hint="eastAsia"/>
                <w:b/>
                <w:bCs/>
              </w:rPr>
              <w:t>3</w:t>
            </w:r>
          </w:p>
        </w:tc>
        <w:tc>
          <w:tcPr>
            <w:tcW w:w="1215" w:type="dxa"/>
            <w:vMerge w:val="restart"/>
            <w:shd w:val="clear" w:color="auto" w:fill="auto"/>
            <w:tcMar>
              <w:top w:w="15" w:type="dxa"/>
              <w:left w:w="15" w:type="dxa"/>
              <w:bottom w:w="0" w:type="dxa"/>
              <w:right w:w="15" w:type="dxa"/>
            </w:tcMar>
            <w:vAlign w:val="center"/>
          </w:tcPr>
          <w:p>
            <w:pPr>
              <w:pStyle w:val="57"/>
            </w:pPr>
            <w:r>
              <w:rPr>
                <w:rFonts w:hint="eastAsia"/>
              </w:rPr>
              <w:t>提升乡村治理水平</w:t>
            </w:r>
          </w:p>
        </w:tc>
        <w:tc>
          <w:tcPr>
            <w:tcW w:w="2260" w:type="dxa"/>
            <w:shd w:val="clear" w:color="auto" w:fill="auto"/>
            <w:tcMar>
              <w:top w:w="15" w:type="dxa"/>
              <w:left w:w="15" w:type="dxa"/>
              <w:bottom w:w="0" w:type="dxa"/>
              <w:right w:w="15" w:type="dxa"/>
            </w:tcMar>
            <w:vAlign w:val="center"/>
          </w:tcPr>
          <w:p>
            <w:pPr>
              <w:pStyle w:val="57"/>
            </w:pPr>
            <w:r>
              <w:rPr>
                <w:rFonts w:hint="eastAsia"/>
              </w:rPr>
              <w:t>乡村治理创新工程</w:t>
            </w:r>
          </w:p>
        </w:tc>
        <w:tc>
          <w:tcPr>
            <w:tcW w:w="6991" w:type="dxa"/>
            <w:shd w:val="clear" w:color="auto" w:fill="auto"/>
            <w:tcMar>
              <w:top w:w="15" w:type="dxa"/>
              <w:left w:w="15" w:type="dxa"/>
              <w:bottom w:w="0" w:type="dxa"/>
              <w:right w:w="15" w:type="dxa"/>
            </w:tcMar>
            <w:vAlign w:val="center"/>
          </w:tcPr>
          <w:p>
            <w:pPr>
              <w:pStyle w:val="57"/>
            </w:pPr>
            <w:r>
              <w:rPr>
                <w:rFonts w:hint="eastAsia"/>
              </w:rPr>
              <w:t>开展“送法律进农村、维稳定促发展”农村法治宣传教育活动。全面实施村级事务阳光工程，完善党务、村务、财务“三公开”制度，实现公开经常化、制度化和规范化。</w:t>
            </w:r>
          </w:p>
        </w:tc>
        <w:tc>
          <w:tcPr>
            <w:tcW w:w="1133" w:type="dxa"/>
            <w:shd w:val="clear" w:color="auto" w:fill="auto"/>
            <w:tcMar>
              <w:top w:w="15" w:type="dxa"/>
              <w:left w:w="15" w:type="dxa"/>
              <w:bottom w:w="0" w:type="dxa"/>
              <w:right w:w="15" w:type="dxa"/>
            </w:tcMar>
            <w:vAlign w:val="center"/>
          </w:tcPr>
          <w:p>
            <w:pPr>
              <w:pStyle w:val="57"/>
            </w:pPr>
            <w:r>
              <w:rPr>
                <w:rFonts w:hint="eastAsia"/>
              </w:rPr>
              <w:t>2021-2025</w:t>
            </w:r>
          </w:p>
        </w:tc>
        <w:tc>
          <w:tcPr>
            <w:tcW w:w="1185" w:type="dxa"/>
            <w:shd w:val="clear" w:color="auto" w:fill="auto"/>
            <w:tcMar>
              <w:top w:w="15" w:type="dxa"/>
              <w:left w:w="15" w:type="dxa"/>
              <w:bottom w:w="0" w:type="dxa"/>
              <w:right w:w="15" w:type="dxa"/>
            </w:tcMar>
            <w:vAlign w:val="center"/>
          </w:tcPr>
          <w:p>
            <w:pPr>
              <w:pStyle w:val="57"/>
            </w:pPr>
            <w:r>
              <w:rPr>
                <w:rFonts w:hint="eastAsia"/>
              </w:rPr>
              <w:t>5000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476" w:type="dxa"/>
            <w:shd w:val="clear" w:color="auto" w:fill="auto"/>
            <w:tcMar>
              <w:top w:w="15" w:type="dxa"/>
              <w:left w:w="15" w:type="dxa"/>
              <w:bottom w:w="0" w:type="dxa"/>
              <w:right w:w="15" w:type="dxa"/>
            </w:tcMar>
            <w:vAlign w:val="center"/>
          </w:tcPr>
          <w:p>
            <w:pPr>
              <w:pStyle w:val="57"/>
              <w:rPr>
                <w:b/>
                <w:bCs/>
              </w:rPr>
            </w:pPr>
            <w:r>
              <w:rPr>
                <w:b/>
                <w:bCs/>
              </w:rPr>
              <w:t>3</w:t>
            </w:r>
            <w:r>
              <w:rPr>
                <w:rFonts w:hint="eastAsia"/>
                <w:b/>
                <w:bCs/>
              </w:rPr>
              <w:t>4</w:t>
            </w:r>
          </w:p>
        </w:tc>
        <w:tc>
          <w:tcPr>
            <w:tcW w:w="1215" w:type="dxa"/>
            <w:vMerge w:val="continue"/>
            <w:vAlign w:val="center"/>
          </w:tcPr>
          <w:p>
            <w:pPr>
              <w:pStyle w:val="57"/>
            </w:pPr>
          </w:p>
        </w:tc>
        <w:tc>
          <w:tcPr>
            <w:tcW w:w="2260" w:type="dxa"/>
            <w:shd w:val="clear" w:color="auto" w:fill="auto"/>
            <w:tcMar>
              <w:top w:w="15" w:type="dxa"/>
              <w:left w:w="15" w:type="dxa"/>
              <w:bottom w:w="0" w:type="dxa"/>
              <w:right w:w="15" w:type="dxa"/>
            </w:tcMar>
            <w:vAlign w:val="center"/>
          </w:tcPr>
          <w:p>
            <w:pPr>
              <w:pStyle w:val="57"/>
            </w:pPr>
            <w:r>
              <w:rPr>
                <w:rFonts w:hint="eastAsia"/>
              </w:rPr>
              <w:t>头雁提升工程</w:t>
            </w:r>
          </w:p>
        </w:tc>
        <w:tc>
          <w:tcPr>
            <w:tcW w:w="6991" w:type="dxa"/>
            <w:shd w:val="clear" w:color="auto" w:fill="auto"/>
            <w:tcMar>
              <w:top w:w="15" w:type="dxa"/>
              <w:left w:w="15" w:type="dxa"/>
              <w:bottom w:w="0" w:type="dxa"/>
              <w:right w:w="15" w:type="dxa"/>
            </w:tcMar>
            <w:vAlign w:val="center"/>
          </w:tcPr>
          <w:p>
            <w:pPr>
              <w:pStyle w:val="57"/>
            </w:pPr>
            <w:r>
              <w:rPr>
                <w:rFonts w:hint="eastAsia"/>
              </w:rPr>
              <w:t>精准抓好农村书记后备队伍培养，通过“村推镇选县考察”，及时建立书记后备队伍。</w:t>
            </w:r>
          </w:p>
        </w:tc>
        <w:tc>
          <w:tcPr>
            <w:tcW w:w="1133" w:type="dxa"/>
            <w:shd w:val="clear" w:color="auto" w:fill="auto"/>
            <w:tcMar>
              <w:top w:w="15" w:type="dxa"/>
              <w:left w:w="15" w:type="dxa"/>
              <w:bottom w:w="0" w:type="dxa"/>
              <w:right w:w="15" w:type="dxa"/>
            </w:tcMar>
            <w:vAlign w:val="center"/>
          </w:tcPr>
          <w:p>
            <w:pPr>
              <w:pStyle w:val="57"/>
            </w:pPr>
            <w:r>
              <w:rPr>
                <w:rFonts w:hint="eastAsia"/>
              </w:rPr>
              <w:t>2021-2025</w:t>
            </w:r>
          </w:p>
        </w:tc>
        <w:tc>
          <w:tcPr>
            <w:tcW w:w="1185" w:type="dxa"/>
            <w:shd w:val="clear" w:color="auto" w:fill="auto"/>
            <w:tcMar>
              <w:top w:w="15" w:type="dxa"/>
              <w:left w:w="15" w:type="dxa"/>
              <w:bottom w:w="0" w:type="dxa"/>
              <w:right w:w="15" w:type="dxa"/>
            </w:tcMar>
            <w:vAlign w:val="center"/>
          </w:tcPr>
          <w:p>
            <w:pPr>
              <w:pStyle w:val="57"/>
            </w:pPr>
            <w:r>
              <w:rPr>
                <w:rFonts w:hint="eastAsia"/>
              </w:rPr>
              <w:t>1000　</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476" w:type="dxa"/>
            <w:shd w:val="clear" w:color="auto" w:fill="auto"/>
            <w:tcMar>
              <w:top w:w="15" w:type="dxa"/>
              <w:left w:w="15" w:type="dxa"/>
              <w:bottom w:w="0" w:type="dxa"/>
              <w:right w:w="15" w:type="dxa"/>
            </w:tcMar>
            <w:vAlign w:val="center"/>
          </w:tcPr>
          <w:p>
            <w:pPr>
              <w:pStyle w:val="57"/>
              <w:rPr>
                <w:b/>
                <w:bCs/>
              </w:rPr>
            </w:pPr>
            <w:r>
              <w:rPr>
                <w:b/>
                <w:bCs/>
              </w:rPr>
              <w:t>3</w:t>
            </w:r>
            <w:r>
              <w:rPr>
                <w:rFonts w:hint="eastAsia"/>
                <w:b/>
                <w:bCs/>
              </w:rPr>
              <w:t>5</w:t>
            </w:r>
          </w:p>
        </w:tc>
        <w:tc>
          <w:tcPr>
            <w:tcW w:w="1215" w:type="dxa"/>
            <w:vMerge w:val="continue"/>
            <w:vAlign w:val="center"/>
          </w:tcPr>
          <w:p>
            <w:pPr>
              <w:pStyle w:val="57"/>
            </w:pPr>
          </w:p>
        </w:tc>
        <w:tc>
          <w:tcPr>
            <w:tcW w:w="2260" w:type="dxa"/>
            <w:shd w:val="clear" w:color="auto" w:fill="auto"/>
            <w:tcMar>
              <w:top w:w="15" w:type="dxa"/>
              <w:left w:w="15" w:type="dxa"/>
              <w:bottom w:w="0" w:type="dxa"/>
              <w:right w:w="15" w:type="dxa"/>
            </w:tcMar>
            <w:vAlign w:val="center"/>
          </w:tcPr>
          <w:p>
            <w:pPr>
              <w:pStyle w:val="57"/>
            </w:pPr>
            <w:r>
              <w:rPr>
                <w:rFonts w:hint="eastAsia"/>
              </w:rPr>
              <w:t>农村社区综合服务设施建设工程</w:t>
            </w:r>
          </w:p>
        </w:tc>
        <w:tc>
          <w:tcPr>
            <w:tcW w:w="6991" w:type="dxa"/>
            <w:shd w:val="clear" w:color="auto" w:fill="auto"/>
            <w:tcMar>
              <w:top w:w="15" w:type="dxa"/>
              <w:left w:w="15" w:type="dxa"/>
              <w:bottom w:w="0" w:type="dxa"/>
              <w:right w:w="15" w:type="dxa"/>
            </w:tcMar>
            <w:vAlign w:val="center"/>
          </w:tcPr>
          <w:p>
            <w:pPr>
              <w:pStyle w:val="57"/>
            </w:pPr>
            <w:r>
              <w:rPr>
                <w:rFonts w:hint="eastAsia"/>
              </w:rPr>
              <w:t>引导管理服务向农村基层延伸，将农村民生和社会治理领域中属于政府职责范围且适合通过市场化方式提供的服务事项，纳入政府购买服务指导性目录。推动各级投放的公共服务资源以镇（街道）、村党组织为主渠道落实。</w:t>
            </w:r>
          </w:p>
        </w:tc>
        <w:tc>
          <w:tcPr>
            <w:tcW w:w="1133" w:type="dxa"/>
            <w:shd w:val="clear" w:color="auto" w:fill="auto"/>
            <w:tcMar>
              <w:top w:w="15" w:type="dxa"/>
              <w:left w:w="15" w:type="dxa"/>
              <w:bottom w:w="0" w:type="dxa"/>
              <w:right w:w="15" w:type="dxa"/>
            </w:tcMar>
            <w:vAlign w:val="center"/>
          </w:tcPr>
          <w:p>
            <w:pPr>
              <w:pStyle w:val="57"/>
            </w:pPr>
            <w:r>
              <w:rPr>
                <w:rFonts w:hint="eastAsia"/>
              </w:rPr>
              <w:t>2021-2025</w:t>
            </w:r>
          </w:p>
        </w:tc>
        <w:tc>
          <w:tcPr>
            <w:tcW w:w="1185" w:type="dxa"/>
            <w:shd w:val="clear" w:color="auto" w:fill="auto"/>
            <w:tcMar>
              <w:top w:w="15" w:type="dxa"/>
              <w:left w:w="15" w:type="dxa"/>
              <w:bottom w:w="0" w:type="dxa"/>
              <w:right w:w="15" w:type="dxa"/>
            </w:tcMar>
            <w:vAlign w:val="center"/>
          </w:tcPr>
          <w:p>
            <w:pPr>
              <w:pStyle w:val="57"/>
            </w:pPr>
            <w:r>
              <w:rPr>
                <w:rFonts w:hint="eastAsia"/>
              </w:rPr>
              <w:t>1500　</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476" w:type="dxa"/>
            <w:shd w:val="clear" w:color="auto" w:fill="auto"/>
            <w:tcMar>
              <w:top w:w="15" w:type="dxa"/>
              <w:left w:w="15" w:type="dxa"/>
              <w:bottom w:w="0" w:type="dxa"/>
              <w:right w:w="15" w:type="dxa"/>
            </w:tcMar>
            <w:vAlign w:val="center"/>
          </w:tcPr>
          <w:p>
            <w:pPr>
              <w:pStyle w:val="57"/>
              <w:rPr>
                <w:b/>
                <w:bCs/>
              </w:rPr>
            </w:pPr>
            <w:r>
              <w:rPr>
                <w:b/>
                <w:bCs/>
              </w:rPr>
              <w:t>3</w:t>
            </w:r>
            <w:r>
              <w:rPr>
                <w:rFonts w:hint="eastAsia"/>
                <w:b/>
                <w:bCs/>
              </w:rPr>
              <w:t>6</w:t>
            </w:r>
          </w:p>
        </w:tc>
        <w:tc>
          <w:tcPr>
            <w:tcW w:w="1215" w:type="dxa"/>
            <w:vMerge w:val="continue"/>
            <w:vAlign w:val="center"/>
          </w:tcPr>
          <w:p>
            <w:pPr>
              <w:pStyle w:val="57"/>
            </w:pPr>
          </w:p>
        </w:tc>
        <w:tc>
          <w:tcPr>
            <w:tcW w:w="2260" w:type="dxa"/>
            <w:shd w:val="clear" w:color="auto" w:fill="auto"/>
            <w:tcMar>
              <w:top w:w="15" w:type="dxa"/>
              <w:left w:w="15" w:type="dxa"/>
              <w:bottom w:w="0" w:type="dxa"/>
              <w:right w:w="15" w:type="dxa"/>
            </w:tcMar>
            <w:vAlign w:val="center"/>
          </w:tcPr>
          <w:p>
            <w:pPr>
              <w:pStyle w:val="57"/>
            </w:pPr>
            <w:r>
              <w:rPr>
                <w:rFonts w:hint="eastAsia"/>
              </w:rPr>
              <w:t>乡村文化阵地建设行动</w:t>
            </w:r>
          </w:p>
        </w:tc>
        <w:tc>
          <w:tcPr>
            <w:tcW w:w="6991" w:type="dxa"/>
            <w:shd w:val="clear" w:color="auto" w:fill="auto"/>
            <w:tcMar>
              <w:top w:w="15" w:type="dxa"/>
              <w:left w:w="15" w:type="dxa"/>
              <w:bottom w:w="0" w:type="dxa"/>
              <w:right w:w="15" w:type="dxa"/>
            </w:tcMar>
            <w:vAlign w:val="center"/>
          </w:tcPr>
          <w:p>
            <w:pPr>
              <w:pStyle w:val="57"/>
            </w:pPr>
            <w:r>
              <w:rPr>
                <w:rFonts w:hint="eastAsia"/>
              </w:rPr>
              <w:t>完善县、镇（街道）、村（社区）三级文化设施载体和网络建设项目，重点推进镇综合文化中心站、文化体育广场、村文化活动室等项目建设，实现镇村两级公共文化服务全覆盖。</w:t>
            </w:r>
          </w:p>
        </w:tc>
        <w:tc>
          <w:tcPr>
            <w:tcW w:w="1133" w:type="dxa"/>
            <w:shd w:val="clear" w:color="auto" w:fill="auto"/>
            <w:tcMar>
              <w:top w:w="15" w:type="dxa"/>
              <w:left w:w="15" w:type="dxa"/>
              <w:bottom w:w="0" w:type="dxa"/>
              <w:right w:w="15" w:type="dxa"/>
            </w:tcMar>
            <w:vAlign w:val="center"/>
          </w:tcPr>
          <w:p>
            <w:pPr>
              <w:pStyle w:val="57"/>
            </w:pPr>
            <w:r>
              <w:rPr>
                <w:rFonts w:hint="eastAsia"/>
              </w:rPr>
              <w:t>2021-2025</w:t>
            </w:r>
          </w:p>
        </w:tc>
        <w:tc>
          <w:tcPr>
            <w:tcW w:w="1185" w:type="dxa"/>
            <w:shd w:val="clear" w:color="auto" w:fill="auto"/>
            <w:tcMar>
              <w:top w:w="15" w:type="dxa"/>
              <w:left w:w="15" w:type="dxa"/>
              <w:bottom w:w="0" w:type="dxa"/>
              <w:right w:w="15" w:type="dxa"/>
            </w:tcMar>
            <w:vAlign w:val="center"/>
          </w:tcPr>
          <w:p>
            <w:pPr>
              <w:pStyle w:val="57"/>
            </w:pPr>
            <w:r>
              <w:rPr>
                <w:rFonts w:hint="eastAsia"/>
              </w:rPr>
              <w:t>25000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476" w:type="dxa"/>
            <w:shd w:val="clear" w:color="auto" w:fill="auto"/>
            <w:tcMar>
              <w:top w:w="15" w:type="dxa"/>
              <w:left w:w="15" w:type="dxa"/>
              <w:bottom w:w="0" w:type="dxa"/>
              <w:right w:w="15" w:type="dxa"/>
            </w:tcMar>
            <w:vAlign w:val="center"/>
          </w:tcPr>
          <w:p>
            <w:pPr>
              <w:pStyle w:val="57"/>
              <w:rPr>
                <w:b/>
                <w:bCs/>
              </w:rPr>
            </w:pPr>
            <w:r>
              <w:rPr>
                <w:b/>
                <w:bCs/>
              </w:rPr>
              <w:t>3</w:t>
            </w:r>
            <w:r>
              <w:rPr>
                <w:rFonts w:hint="eastAsia"/>
                <w:b/>
                <w:bCs/>
              </w:rPr>
              <w:t>7</w:t>
            </w:r>
          </w:p>
        </w:tc>
        <w:tc>
          <w:tcPr>
            <w:tcW w:w="1215" w:type="dxa"/>
            <w:vMerge w:val="continue"/>
            <w:vAlign w:val="center"/>
          </w:tcPr>
          <w:p>
            <w:pPr>
              <w:pStyle w:val="57"/>
            </w:pPr>
          </w:p>
        </w:tc>
        <w:tc>
          <w:tcPr>
            <w:tcW w:w="2260" w:type="dxa"/>
            <w:shd w:val="clear" w:color="auto" w:fill="auto"/>
            <w:tcMar>
              <w:top w:w="15" w:type="dxa"/>
              <w:left w:w="15" w:type="dxa"/>
              <w:bottom w:w="0" w:type="dxa"/>
              <w:right w:w="15" w:type="dxa"/>
            </w:tcMar>
            <w:vAlign w:val="center"/>
          </w:tcPr>
          <w:p>
            <w:pPr>
              <w:pStyle w:val="57"/>
            </w:pPr>
            <w:r>
              <w:rPr>
                <w:rFonts w:hint="eastAsia"/>
              </w:rPr>
              <w:t>文明村镇创建工程</w:t>
            </w:r>
          </w:p>
        </w:tc>
        <w:tc>
          <w:tcPr>
            <w:tcW w:w="6991" w:type="dxa"/>
            <w:shd w:val="clear" w:color="auto" w:fill="auto"/>
            <w:tcMar>
              <w:top w:w="15" w:type="dxa"/>
              <w:left w:w="15" w:type="dxa"/>
              <w:bottom w:w="0" w:type="dxa"/>
              <w:right w:w="15" w:type="dxa"/>
            </w:tcMar>
            <w:vAlign w:val="center"/>
          </w:tcPr>
          <w:p>
            <w:pPr>
              <w:pStyle w:val="57"/>
            </w:pPr>
            <w:r>
              <w:rPr>
                <w:rFonts w:hint="eastAsia"/>
              </w:rPr>
              <w:t>深入开展文明村镇、文明家庭创建，深化乡村振兴文明示范线、新时代文明实践中心（所、站）建设；创新开展书香家庭、绿色家庭、平安家庭等特色家庭评选活动，不断提升群众文明素质。</w:t>
            </w:r>
          </w:p>
        </w:tc>
        <w:tc>
          <w:tcPr>
            <w:tcW w:w="1133" w:type="dxa"/>
            <w:shd w:val="clear" w:color="auto" w:fill="auto"/>
            <w:tcMar>
              <w:top w:w="15" w:type="dxa"/>
              <w:left w:w="15" w:type="dxa"/>
              <w:bottom w:w="0" w:type="dxa"/>
              <w:right w:w="15" w:type="dxa"/>
            </w:tcMar>
            <w:vAlign w:val="center"/>
          </w:tcPr>
          <w:p>
            <w:pPr>
              <w:pStyle w:val="57"/>
            </w:pPr>
            <w:r>
              <w:rPr>
                <w:rFonts w:hint="eastAsia"/>
              </w:rPr>
              <w:t>2021-2025</w:t>
            </w:r>
          </w:p>
        </w:tc>
        <w:tc>
          <w:tcPr>
            <w:tcW w:w="1185" w:type="dxa"/>
            <w:shd w:val="clear" w:color="auto" w:fill="auto"/>
            <w:tcMar>
              <w:top w:w="15" w:type="dxa"/>
              <w:left w:w="15" w:type="dxa"/>
              <w:bottom w:w="0" w:type="dxa"/>
              <w:right w:w="15" w:type="dxa"/>
            </w:tcMar>
            <w:vAlign w:val="center"/>
          </w:tcPr>
          <w:p>
            <w:pPr>
              <w:pStyle w:val="57"/>
            </w:pPr>
            <w:r>
              <w:rPr>
                <w:rFonts w:hint="eastAsia"/>
              </w:rPr>
              <w:t>3500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trPr>
        <w:tc>
          <w:tcPr>
            <w:tcW w:w="12075" w:type="dxa"/>
            <w:gridSpan w:val="5"/>
            <w:shd w:val="clear" w:color="auto" w:fill="auto"/>
            <w:tcMar>
              <w:top w:w="15" w:type="dxa"/>
              <w:left w:w="15" w:type="dxa"/>
              <w:bottom w:w="0" w:type="dxa"/>
              <w:right w:w="15" w:type="dxa"/>
            </w:tcMar>
            <w:vAlign w:val="center"/>
          </w:tcPr>
          <w:p>
            <w:pPr>
              <w:pStyle w:val="57"/>
              <w:rPr>
                <w:b/>
                <w:bCs/>
              </w:rPr>
            </w:pPr>
            <w:r>
              <w:rPr>
                <w:rFonts w:hint="eastAsia"/>
                <w:b/>
                <w:bCs/>
              </w:rPr>
              <w:t>小计</w:t>
            </w:r>
          </w:p>
        </w:tc>
        <w:tc>
          <w:tcPr>
            <w:tcW w:w="1185" w:type="dxa"/>
            <w:shd w:val="clear" w:color="auto" w:fill="auto"/>
            <w:tcMar>
              <w:top w:w="15" w:type="dxa"/>
              <w:left w:w="15" w:type="dxa"/>
              <w:bottom w:w="0" w:type="dxa"/>
              <w:right w:w="15" w:type="dxa"/>
            </w:tcMar>
            <w:vAlign w:val="center"/>
          </w:tcPr>
          <w:p>
            <w:pPr>
              <w:pStyle w:val="57"/>
            </w:pPr>
            <w:r>
              <w:rPr>
                <w:rFonts w:hint="eastAsia"/>
              </w:rPr>
              <w:t>36000</w:t>
            </w:r>
          </w:p>
        </w:tc>
        <w:tc>
          <w:tcPr>
            <w:tcW w:w="1129" w:type="dxa"/>
            <w:shd w:val="clear" w:color="auto" w:fill="auto"/>
            <w:tcMar>
              <w:top w:w="15" w:type="dxa"/>
              <w:left w:w="15" w:type="dxa"/>
              <w:bottom w:w="0" w:type="dxa"/>
              <w:right w:w="15" w:type="dxa"/>
            </w:tcMar>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476" w:type="dxa"/>
            <w:shd w:val="clear" w:color="auto" w:fill="auto"/>
            <w:tcMar>
              <w:top w:w="15" w:type="dxa"/>
              <w:left w:w="15" w:type="dxa"/>
              <w:bottom w:w="0" w:type="dxa"/>
              <w:right w:w="15" w:type="dxa"/>
            </w:tcMar>
            <w:vAlign w:val="center"/>
          </w:tcPr>
          <w:p>
            <w:pPr>
              <w:pStyle w:val="57"/>
              <w:rPr>
                <w:b/>
                <w:bCs/>
              </w:rPr>
            </w:pPr>
            <w:r>
              <w:rPr>
                <w:b/>
                <w:bCs/>
              </w:rPr>
              <w:t>3</w:t>
            </w:r>
            <w:r>
              <w:rPr>
                <w:rFonts w:hint="eastAsia"/>
                <w:b/>
                <w:bCs/>
              </w:rPr>
              <w:t>8</w:t>
            </w:r>
          </w:p>
        </w:tc>
        <w:tc>
          <w:tcPr>
            <w:tcW w:w="1215" w:type="dxa"/>
            <w:shd w:val="clear" w:color="auto" w:fill="auto"/>
            <w:tcMar>
              <w:top w:w="15" w:type="dxa"/>
              <w:left w:w="15" w:type="dxa"/>
              <w:bottom w:w="0" w:type="dxa"/>
              <w:right w:w="15" w:type="dxa"/>
            </w:tcMar>
            <w:vAlign w:val="center"/>
          </w:tcPr>
          <w:p>
            <w:pPr>
              <w:pStyle w:val="57"/>
            </w:pPr>
            <w:r>
              <w:rPr>
                <w:rFonts w:hint="eastAsia"/>
              </w:rPr>
              <w:t>有效衔接全面乡村振兴</w:t>
            </w:r>
          </w:p>
        </w:tc>
        <w:tc>
          <w:tcPr>
            <w:tcW w:w="2260" w:type="dxa"/>
            <w:shd w:val="clear" w:color="auto" w:fill="auto"/>
            <w:tcMar>
              <w:top w:w="15" w:type="dxa"/>
              <w:left w:w="15" w:type="dxa"/>
              <w:bottom w:w="0" w:type="dxa"/>
              <w:right w:w="15" w:type="dxa"/>
            </w:tcMar>
            <w:vAlign w:val="center"/>
          </w:tcPr>
          <w:p>
            <w:pPr>
              <w:pStyle w:val="57"/>
            </w:pPr>
            <w:r>
              <w:rPr>
                <w:rFonts w:hint="eastAsia"/>
              </w:rPr>
              <w:t>“百县千乡万村”乡村振兴示范创建行动</w:t>
            </w:r>
          </w:p>
        </w:tc>
        <w:tc>
          <w:tcPr>
            <w:tcW w:w="6991" w:type="dxa"/>
            <w:shd w:val="clear" w:color="auto" w:fill="auto"/>
            <w:tcMar>
              <w:top w:w="15" w:type="dxa"/>
              <w:left w:w="15" w:type="dxa"/>
              <w:bottom w:w="0" w:type="dxa"/>
              <w:right w:w="15" w:type="dxa"/>
            </w:tcMar>
            <w:vAlign w:val="center"/>
          </w:tcPr>
          <w:p>
            <w:pPr>
              <w:pStyle w:val="57"/>
            </w:pPr>
            <w:r>
              <w:rPr>
                <w:rFonts w:hint="eastAsia"/>
              </w:rPr>
              <w:t>立足各镇、村资源禀赋和特色，分层级推进示范县、镇、村创建，力争到2025年底之前成功创建国家级乡村振兴示范县，新增创建示范镇5个以上、示范村20个以上。</w:t>
            </w:r>
          </w:p>
        </w:tc>
        <w:tc>
          <w:tcPr>
            <w:tcW w:w="1133" w:type="dxa"/>
            <w:shd w:val="clear" w:color="auto" w:fill="auto"/>
            <w:tcMar>
              <w:top w:w="15" w:type="dxa"/>
              <w:left w:w="15" w:type="dxa"/>
              <w:bottom w:w="0" w:type="dxa"/>
              <w:right w:w="15" w:type="dxa"/>
            </w:tcMar>
            <w:vAlign w:val="center"/>
          </w:tcPr>
          <w:p>
            <w:pPr>
              <w:pStyle w:val="57"/>
            </w:pPr>
            <w:r>
              <w:rPr>
                <w:rFonts w:hint="eastAsia"/>
              </w:rPr>
              <w:t>2023-2025</w:t>
            </w:r>
          </w:p>
        </w:tc>
        <w:tc>
          <w:tcPr>
            <w:tcW w:w="1185" w:type="dxa"/>
            <w:shd w:val="clear" w:color="auto" w:fill="auto"/>
            <w:tcMar>
              <w:top w:w="15" w:type="dxa"/>
              <w:left w:w="15" w:type="dxa"/>
              <w:bottom w:w="0" w:type="dxa"/>
              <w:right w:w="15" w:type="dxa"/>
            </w:tcMar>
            <w:vAlign w:val="center"/>
          </w:tcPr>
          <w:p>
            <w:pPr>
              <w:pStyle w:val="57"/>
            </w:pPr>
            <w:r>
              <w:rPr>
                <w:rFonts w:hint="eastAsia"/>
              </w:rPr>
              <w:t>24000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trPr>
        <w:tc>
          <w:tcPr>
            <w:tcW w:w="12075" w:type="dxa"/>
            <w:gridSpan w:val="5"/>
            <w:shd w:val="clear" w:color="auto" w:fill="auto"/>
            <w:tcMar>
              <w:top w:w="15" w:type="dxa"/>
              <w:left w:w="15" w:type="dxa"/>
              <w:bottom w:w="0" w:type="dxa"/>
              <w:right w:w="15" w:type="dxa"/>
            </w:tcMar>
            <w:vAlign w:val="center"/>
          </w:tcPr>
          <w:p>
            <w:pPr>
              <w:pStyle w:val="57"/>
              <w:rPr>
                <w:b/>
                <w:bCs/>
              </w:rPr>
            </w:pPr>
            <w:r>
              <w:rPr>
                <w:rFonts w:hint="eastAsia"/>
                <w:b/>
                <w:bCs/>
              </w:rPr>
              <w:t>小计</w:t>
            </w:r>
          </w:p>
        </w:tc>
        <w:tc>
          <w:tcPr>
            <w:tcW w:w="1185" w:type="dxa"/>
            <w:shd w:val="clear" w:color="auto" w:fill="auto"/>
            <w:tcMar>
              <w:top w:w="15" w:type="dxa"/>
              <w:left w:w="15" w:type="dxa"/>
              <w:bottom w:w="0" w:type="dxa"/>
              <w:right w:w="15" w:type="dxa"/>
            </w:tcMar>
            <w:vAlign w:val="center"/>
          </w:tcPr>
          <w:p>
            <w:pPr>
              <w:pStyle w:val="57"/>
            </w:pPr>
            <w:r>
              <w:rPr>
                <w:rFonts w:hint="eastAsia"/>
              </w:rPr>
              <w:t>2</w:t>
            </w:r>
            <w:r>
              <w:t>4000</w:t>
            </w:r>
          </w:p>
        </w:tc>
        <w:tc>
          <w:tcPr>
            <w:tcW w:w="1129" w:type="dxa"/>
            <w:shd w:val="clear" w:color="auto" w:fill="auto"/>
            <w:tcMar>
              <w:top w:w="15" w:type="dxa"/>
              <w:left w:w="15" w:type="dxa"/>
              <w:bottom w:w="0" w:type="dxa"/>
              <w:right w:w="15" w:type="dxa"/>
            </w:tcMar>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trPr>
        <w:tc>
          <w:tcPr>
            <w:tcW w:w="476" w:type="dxa"/>
            <w:shd w:val="clear" w:color="auto" w:fill="auto"/>
            <w:tcMar>
              <w:top w:w="15" w:type="dxa"/>
              <w:left w:w="15" w:type="dxa"/>
              <w:bottom w:w="0" w:type="dxa"/>
              <w:right w:w="15" w:type="dxa"/>
            </w:tcMar>
            <w:vAlign w:val="center"/>
          </w:tcPr>
          <w:p>
            <w:pPr>
              <w:pStyle w:val="57"/>
              <w:rPr>
                <w:b/>
                <w:bCs/>
              </w:rPr>
            </w:pPr>
            <w:r>
              <w:rPr>
                <w:rFonts w:hint="eastAsia"/>
                <w:b/>
                <w:bCs/>
              </w:rPr>
              <w:t>39</w:t>
            </w:r>
          </w:p>
        </w:tc>
        <w:tc>
          <w:tcPr>
            <w:tcW w:w="1215" w:type="dxa"/>
            <w:vMerge w:val="restart"/>
            <w:shd w:val="clear" w:color="auto" w:fill="auto"/>
            <w:tcMar>
              <w:top w:w="15" w:type="dxa"/>
              <w:left w:w="15" w:type="dxa"/>
              <w:bottom w:w="0" w:type="dxa"/>
              <w:right w:w="15" w:type="dxa"/>
            </w:tcMar>
            <w:vAlign w:val="center"/>
          </w:tcPr>
          <w:p>
            <w:pPr>
              <w:pStyle w:val="57"/>
            </w:pPr>
            <w:r>
              <w:rPr>
                <w:rFonts w:hint="eastAsia"/>
              </w:rPr>
              <w:t>全面深化农业农村改革</w:t>
            </w:r>
          </w:p>
        </w:tc>
        <w:tc>
          <w:tcPr>
            <w:tcW w:w="2260" w:type="dxa"/>
            <w:shd w:val="clear" w:color="auto" w:fill="auto"/>
            <w:tcMar>
              <w:top w:w="15" w:type="dxa"/>
              <w:left w:w="15" w:type="dxa"/>
              <w:bottom w:w="0" w:type="dxa"/>
              <w:right w:w="15" w:type="dxa"/>
            </w:tcMar>
            <w:vAlign w:val="center"/>
          </w:tcPr>
          <w:p>
            <w:pPr>
              <w:pStyle w:val="57"/>
            </w:pPr>
            <w:r>
              <w:rPr>
                <w:rFonts w:hint="eastAsia"/>
              </w:rPr>
              <w:t>村集体建设用地整理再利用项目</w:t>
            </w:r>
          </w:p>
        </w:tc>
        <w:tc>
          <w:tcPr>
            <w:tcW w:w="6991" w:type="dxa"/>
            <w:shd w:val="clear" w:color="auto" w:fill="auto"/>
            <w:tcMar>
              <w:top w:w="15" w:type="dxa"/>
              <w:left w:w="15" w:type="dxa"/>
              <w:bottom w:w="0" w:type="dxa"/>
              <w:right w:w="15" w:type="dxa"/>
            </w:tcMar>
            <w:vAlign w:val="center"/>
          </w:tcPr>
          <w:p>
            <w:pPr>
              <w:pStyle w:val="57"/>
            </w:pPr>
            <w:r>
              <w:rPr>
                <w:rFonts w:hint="eastAsia"/>
              </w:rPr>
              <w:t>开展</w:t>
            </w:r>
            <w:r>
              <w:rPr>
                <w:rFonts w:hint="eastAsia"/>
                <w:lang w:val="en-US" w:eastAsia="zh-CN"/>
              </w:rPr>
              <w:t>农</w:t>
            </w:r>
            <w:r>
              <w:rPr>
                <w:rFonts w:hint="eastAsia"/>
              </w:rPr>
              <w:t>村宅基地改革，盘活村集体建设用地，利用“四荒”地、养殖水面、人文历史等资产资源，发展现代农业、休闲农业和乡村旅游等项目，激活农村集体经济，鼓励将农村集体资产、资源入股参与农村新产业新业态发展，拓宽集体经济发展途径。</w:t>
            </w:r>
          </w:p>
        </w:tc>
        <w:tc>
          <w:tcPr>
            <w:tcW w:w="1133" w:type="dxa"/>
            <w:shd w:val="clear" w:color="auto" w:fill="auto"/>
            <w:tcMar>
              <w:top w:w="15" w:type="dxa"/>
              <w:left w:w="15" w:type="dxa"/>
              <w:bottom w:w="0" w:type="dxa"/>
              <w:right w:w="15" w:type="dxa"/>
            </w:tcMar>
            <w:vAlign w:val="center"/>
          </w:tcPr>
          <w:p>
            <w:pPr>
              <w:pStyle w:val="57"/>
            </w:pPr>
            <w:r>
              <w:rPr>
                <w:rFonts w:hint="eastAsia"/>
              </w:rPr>
              <w:t>2021-2025</w:t>
            </w:r>
          </w:p>
        </w:tc>
        <w:tc>
          <w:tcPr>
            <w:tcW w:w="1185" w:type="dxa"/>
            <w:shd w:val="clear" w:color="auto" w:fill="auto"/>
            <w:tcMar>
              <w:top w:w="15" w:type="dxa"/>
              <w:left w:w="15" w:type="dxa"/>
              <w:bottom w:w="0" w:type="dxa"/>
              <w:right w:w="15" w:type="dxa"/>
            </w:tcMar>
            <w:vAlign w:val="center"/>
          </w:tcPr>
          <w:p>
            <w:pPr>
              <w:pStyle w:val="57"/>
            </w:pPr>
            <w:r>
              <w:rPr>
                <w:rFonts w:hint="eastAsia"/>
              </w:rPr>
              <w:t>35000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476" w:type="dxa"/>
            <w:shd w:val="clear" w:color="auto" w:fill="auto"/>
            <w:tcMar>
              <w:top w:w="15" w:type="dxa"/>
              <w:left w:w="15" w:type="dxa"/>
              <w:bottom w:w="0" w:type="dxa"/>
              <w:right w:w="15" w:type="dxa"/>
            </w:tcMar>
            <w:vAlign w:val="center"/>
          </w:tcPr>
          <w:p>
            <w:pPr>
              <w:pStyle w:val="57"/>
              <w:rPr>
                <w:b/>
                <w:bCs/>
              </w:rPr>
            </w:pPr>
            <w:r>
              <w:rPr>
                <w:rFonts w:hint="eastAsia"/>
                <w:b/>
                <w:bCs/>
              </w:rPr>
              <w:t>40</w:t>
            </w:r>
          </w:p>
        </w:tc>
        <w:tc>
          <w:tcPr>
            <w:tcW w:w="1215" w:type="dxa"/>
            <w:vMerge w:val="continue"/>
            <w:vAlign w:val="center"/>
          </w:tcPr>
          <w:p>
            <w:pPr>
              <w:pStyle w:val="57"/>
            </w:pPr>
          </w:p>
        </w:tc>
        <w:tc>
          <w:tcPr>
            <w:tcW w:w="2260" w:type="dxa"/>
            <w:shd w:val="clear" w:color="auto" w:fill="auto"/>
            <w:tcMar>
              <w:top w:w="15" w:type="dxa"/>
              <w:left w:w="15" w:type="dxa"/>
              <w:bottom w:w="0" w:type="dxa"/>
              <w:right w:w="15" w:type="dxa"/>
            </w:tcMar>
            <w:vAlign w:val="center"/>
          </w:tcPr>
          <w:p>
            <w:pPr>
              <w:pStyle w:val="57"/>
            </w:pPr>
            <w:r>
              <w:rPr>
                <w:rFonts w:hint="eastAsia"/>
              </w:rPr>
              <w:t>农村产权交易平台提升项目</w:t>
            </w:r>
          </w:p>
        </w:tc>
        <w:tc>
          <w:tcPr>
            <w:tcW w:w="6991" w:type="dxa"/>
            <w:shd w:val="clear" w:color="auto" w:fill="auto"/>
            <w:tcMar>
              <w:top w:w="15" w:type="dxa"/>
              <w:left w:w="15" w:type="dxa"/>
              <w:bottom w:w="0" w:type="dxa"/>
              <w:right w:w="15" w:type="dxa"/>
            </w:tcMar>
            <w:vAlign w:val="center"/>
          </w:tcPr>
          <w:p>
            <w:pPr>
              <w:pStyle w:val="57"/>
            </w:pPr>
            <w:r>
              <w:rPr>
                <w:rFonts w:hint="eastAsia"/>
              </w:rPr>
              <w:t>建设农村产权交易大厅，购置相关的设施设备，保障农民和农村集体经济组织的财产权益，推动农村生产要素合理流动和优化配置。</w:t>
            </w:r>
          </w:p>
        </w:tc>
        <w:tc>
          <w:tcPr>
            <w:tcW w:w="1133" w:type="dxa"/>
            <w:shd w:val="clear" w:color="auto" w:fill="auto"/>
            <w:tcMar>
              <w:top w:w="15" w:type="dxa"/>
              <w:left w:w="15" w:type="dxa"/>
              <w:bottom w:w="0" w:type="dxa"/>
              <w:right w:w="15" w:type="dxa"/>
            </w:tcMar>
            <w:vAlign w:val="center"/>
          </w:tcPr>
          <w:p>
            <w:pPr>
              <w:pStyle w:val="57"/>
            </w:pPr>
            <w:r>
              <w:rPr>
                <w:rFonts w:hint="eastAsia"/>
              </w:rPr>
              <w:t>2021-2023</w:t>
            </w:r>
          </w:p>
        </w:tc>
        <w:tc>
          <w:tcPr>
            <w:tcW w:w="1185" w:type="dxa"/>
            <w:shd w:val="clear" w:color="auto" w:fill="auto"/>
            <w:tcMar>
              <w:top w:w="15" w:type="dxa"/>
              <w:left w:w="15" w:type="dxa"/>
              <w:bottom w:w="0" w:type="dxa"/>
              <w:right w:w="15" w:type="dxa"/>
            </w:tcMar>
            <w:vAlign w:val="center"/>
          </w:tcPr>
          <w:p>
            <w:pPr>
              <w:pStyle w:val="57"/>
            </w:pPr>
            <w:r>
              <w:rPr>
                <w:rFonts w:hint="eastAsia"/>
              </w:rPr>
              <w:t>3000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476" w:type="dxa"/>
            <w:shd w:val="clear" w:color="auto" w:fill="auto"/>
            <w:tcMar>
              <w:top w:w="15" w:type="dxa"/>
              <w:left w:w="15" w:type="dxa"/>
              <w:bottom w:w="0" w:type="dxa"/>
              <w:right w:w="15" w:type="dxa"/>
            </w:tcMar>
            <w:vAlign w:val="center"/>
          </w:tcPr>
          <w:p>
            <w:pPr>
              <w:pStyle w:val="57"/>
              <w:rPr>
                <w:b/>
                <w:bCs/>
              </w:rPr>
            </w:pPr>
            <w:r>
              <w:rPr>
                <w:b/>
                <w:bCs/>
              </w:rPr>
              <w:t>4</w:t>
            </w:r>
            <w:r>
              <w:rPr>
                <w:rFonts w:hint="eastAsia"/>
                <w:b/>
                <w:bCs/>
              </w:rPr>
              <w:t>1</w:t>
            </w:r>
          </w:p>
        </w:tc>
        <w:tc>
          <w:tcPr>
            <w:tcW w:w="1215" w:type="dxa"/>
            <w:vMerge w:val="continue"/>
            <w:vAlign w:val="center"/>
          </w:tcPr>
          <w:p>
            <w:pPr>
              <w:pStyle w:val="57"/>
            </w:pPr>
          </w:p>
        </w:tc>
        <w:tc>
          <w:tcPr>
            <w:tcW w:w="2260" w:type="dxa"/>
            <w:shd w:val="clear" w:color="auto" w:fill="auto"/>
            <w:tcMar>
              <w:top w:w="15" w:type="dxa"/>
              <w:left w:w="15" w:type="dxa"/>
              <w:bottom w:w="0" w:type="dxa"/>
              <w:right w:w="15" w:type="dxa"/>
            </w:tcMar>
            <w:vAlign w:val="center"/>
          </w:tcPr>
          <w:p>
            <w:pPr>
              <w:pStyle w:val="57"/>
            </w:pPr>
            <w:r>
              <w:rPr>
                <w:rFonts w:hint="eastAsia"/>
              </w:rPr>
              <w:t>城乡融合发展先行区建设项目</w:t>
            </w:r>
          </w:p>
        </w:tc>
        <w:tc>
          <w:tcPr>
            <w:tcW w:w="6991" w:type="dxa"/>
            <w:shd w:val="clear" w:color="auto" w:fill="auto"/>
            <w:tcMar>
              <w:top w:w="15" w:type="dxa"/>
              <w:left w:w="15" w:type="dxa"/>
              <w:bottom w:w="0" w:type="dxa"/>
              <w:right w:w="15" w:type="dxa"/>
            </w:tcMar>
            <w:vAlign w:val="center"/>
          </w:tcPr>
          <w:p>
            <w:pPr>
              <w:pStyle w:val="57"/>
            </w:pPr>
            <w:r>
              <w:rPr>
                <w:rFonts w:hint="eastAsia"/>
              </w:rPr>
              <w:t>在研城街道、集益镇、千佛镇等区域开展城乡融合发展先行区建设。</w:t>
            </w:r>
          </w:p>
        </w:tc>
        <w:tc>
          <w:tcPr>
            <w:tcW w:w="1133" w:type="dxa"/>
            <w:shd w:val="clear" w:color="auto" w:fill="auto"/>
            <w:tcMar>
              <w:top w:w="15" w:type="dxa"/>
              <w:left w:w="15" w:type="dxa"/>
              <w:bottom w:w="0" w:type="dxa"/>
              <w:right w:w="15" w:type="dxa"/>
            </w:tcMar>
            <w:vAlign w:val="center"/>
          </w:tcPr>
          <w:p>
            <w:pPr>
              <w:pStyle w:val="57"/>
            </w:pPr>
            <w:r>
              <w:rPr>
                <w:rFonts w:hint="eastAsia"/>
              </w:rPr>
              <w:t>2021-2025</w:t>
            </w:r>
          </w:p>
        </w:tc>
        <w:tc>
          <w:tcPr>
            <w:tcW w:w="1185" w:type="dxa"/>
            <w:shd w:val="clear" w:color="auto" w:fill="auto"/>
            <w:tcMar>
              <w:top w:w="15" w:type="dxa"/>
              <w:left w:w="15" w:type="dxa"/>
              <w:bottom w:w="0" w:type="dxa"/>
              <w:right w:w="15" w:type="dxa"/>
            </w:tcMar>
            <w:vAlign w:val="center"/>
          </w:tcPr>
          <w:p>
            <w:pPr>
              <w:pStyle w:val="57"/>
            </w:pPr>
            <w:r>
              <w:rPr>
                <w:rFonts w:hint="eastAsia"/>
              </w:rPr>
              <w:t>15000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476" w:type="dxa"/>
            <w:shd w:val="clear" w:color="auto" w:fill="auto"/>
            <w:tcMar>
              <w:top w:w="15" w:type="dxa"/>
              <w:left w:w="15" w:type="dxa"/>
              <w:bottom w:w="0" w:type="dxa"/>
              <w:right w:w="15" w:type="dxa"/>
            </w:tcMar>
            <w:vAlign w:val="center"/>
          </w:tcPr>
          <w:p>
            <w:pPr>
              <w:pStyle w:val="57"/>
              <w:rPr>
                <w:b/>
                <w:bCs/>
              </w:rPr>
            </w:pPr>
            <w:r>
              <w:rPr>
                <w:rFonts w:hint="eastAsia"/>
                <w:b/>
                <w:bCs/>
              </w:rPr>
              <w:t>42</w:t>
            </w:r>
          </w:p>
        </w:tc>
        <w:tc>
          <w:tcPr>
            <w:tcW w:w="1215" w:type="dxa"/>
            <w:vMerge w:val="continue"/>
            <w:vAlign w:val="center"/>
          </w:tcPr>
          <w:p>
            <w:pPr>
              <w:pStyle w:val="57"/>
            </w:pPr>
          </w:p>
        </w:tc>
        <w:tc>
          <w:tcPr>
            <w:tcW w:w="2260" w:type="dxa"/>
            <w:shd w:val="clear" w:color="auto" w:fill="auto"/>
            <w:tcMar>
              <w:top w:w="15" w:type="dxa"/>
              <w:left w:w="15" w:type="dxa"/>
              <w:bottom w:w="0" w:type="dxa"/>
              <w:right w:w="15" w:type="dxa"/>
            </w:tcMar>
            <w:vAlign w:val="center"/>
          </w:tcPr>
          <w:p>
            <w:pPr>
              <w:pStyle w:val="57"/>
            </w:pPr>
            <w:r>
              <w:rPr>
                <w:rFonts w:hint="eastAsia"/>
              </w:rPr>
              <w:t>涉农综合行政执法改革工程</w:t>
            </w:r>
          </w:p>
        </w:tc>
        <w:tc>
          <w:tcPr>
            <w:tcW w:w="6991" w:type="dxa"/>
            <w:shd w:val="clear" w:color="auto" w:fill="auto"/>
            <w:tcMar>
              <w:top w:w="15" w:type="dxa"/>
              <w:left w:w="15" w:type="dxa"/>
              <w:bottom w:w="0" w:type="dxa"/>
              <w:right w:w="15" w:type="dxa"/>
            </w:tcMar>
            <w:vAlign w:val="center"/>
          </w:tcPr>
          <w:p>
            <w:pPr>
              <w:pStyle w:val="57"/>
            </w:pPr>
            <w:r>
              <w:rPr>
                <w:rFonts w:hint="eastAsia"/>
              </w:rPr>
              <w:t>开展农产品安全风险隐患排查，督促企业严格执行质量管理、溯源系统应用等各项规章规定，切实规范农资市场秩序，对已取得经营资质的农资经营企业（户）加强监管。</w:t>
            </w:r>
          </w:p>
        </w:tc>
        <w:tc>
          <w:tcPr>
            <w:tcW w:w="1133" w:type="dxa"/>
            <w:shd w:val="clear" w:color="auto" w:fill="auto"/>
            <w:tcMar>
              <w:top w:w="15" w:type="dxa"/>
              <w:left w:w="15" w:type="dxa"/>
              <w:bottom w:w="0" w:type="dxa"/>
              <w:right w:w="15" w:type="dxa"/>
            </w:tcMar>
            <w:vAlign w:val="center"/>
          </w:tcPr>
          <w:p>
            <w:pPr>
              <w:pStyle w:val="57"/>
            </w:pPr>
            <w:r>
              <w:rPr>
                <w:rFonts w:hint="eastAsia"/>
              </w:rPr>
              <w:t>2021-2025</w:t>
            </w:r>
          </w:p>
        </w:tc>
        <w:tc>
          <w:tcPr>
            <w:tcW w:w="1185" w:type="dxa"/>
            <w:shd w:val="clear" w:color="auto" w:fill="auto"/>
            <w:tcMar>
              <w:top w:w="15" w:type="dxa"/>
              <w:left w:w="15" w:type="dxa"/>
              <w:bottom w:w="0" w:type="dxa"/>
              <w:right w:w="15" w:type="dxa"/>
            </w:tcMar>
            <w:vAlign w:val="center"/>
          </w:tcPr>
          <w:p>
            <w:pPr>
              <w:pStyle w:val="57"/>
            </w:pPr>
            <w:r>
              <w:rPr>
                <w:rFonts w:hint="eastAsia"/>
              </w:rPr>
              <w:t>5000</w:t>
            </w:r>
          </w:p>
        </w:tc>
        <w:tc>
          <w:tcPr>
            <w:tcW w:w="1129" w:type="dxa"/>
            <w:shd w:val="clear" w:color="auto" w:fill="auto"/>
            <w:tcMar>
              <w:top w:w="15" w:type="dxa"/>
              <w:left w:w="15" w:type="dxa"/>
              <w:bottom w:w="0" w:type="dxa"/>
              <w:right w:w="15" w:type="dxa"/>
            </w:tcMar>
            <w:vAlign w:val="center"/>
          </w:tcPr>
          <w:p>
            <w:pPr>
              <w:pStyle w:val="57"/>
            </w:pPr>
            <w:r>
              <w:rPr>
                <w:rFonts w:hint="eastAsi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trPr>
        <w:tc>
          <w:tcPr>
            <w:tcW w:w="12075" w:type="dxa"/>
            <w:gridSpan w:val="5"/>
            <w:shd w:val="clear" w:color="auto" w:fill="auto"/>
            <w:tcMar>
              <w:top w:w="15" w:type="dxa"/>
              <w:left w:w="15" w:type="dxa"/>
              <w:bottom w:w="0" w:type="dxa"/>
              <w:right w:w="15" w:type="dxa"/>
            </w:tcMar>
            <w:vAlign w:val="center"/>
          </w:tcPr>
          <w:p>
            <w:pPr>
              <w:pStyle w:val="57"/>
              <w:rPr>
                <w:b/>
                <w:bCs/>
              </w:rPr>
            </w:pPr>
            <w:r>
              <w:rPr>
                <w:rFonts w:hint="eastAsia"/>
                <w:b/>
                <w:bCs/>
              </w:rPr>
              <w:t>小计</w:t>
            </w:r>
          </w:p>
        </w:tc>
        <w:tc>
          <w:tcPr>
            <w:tcW w:w="1185" w:type="dxa"/>
            <w:shd w:val="clear" w:color="auto" w:fill="auto"/>
            <w:tcMar>
              <w:top w:w="15" w:type="dxa"/>
              <w:left w:w="15" w:type="dxa"/>
              <w:bottom w:w="0" w:type="dxa"/>
              <w:right w:w="15" w:type="dxa"/>
            </w:tcMar>
            <w:vAlign w:val="center"/>
          </w:tcPr>
          <w:p>
            <w:pPr>
              <w:pStyle w:val="57"/>
            </w:pPr>
            <w:r>
              <w:t>58000</w:t>
            </w:r>
          </w:p>
        </w:tc>
        <w:tc>
          <w:tcPr>
            <w:tcW w:w="1129" w:type="dxa"/>
            <w:shd w:val="clear" w:color="auto" w:fill="auto"/>
            <w:tcMar>
              <w:top w:w="15" w:type="dxa"/>
              <w:left w:w="15" w:type="dxa"/>
              <w:bottom w:w="0" w:type="dxa"/>
              <w:right w:w="15" w:type="dxa"/>
            </w:tcMar>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075" w:type="dxa"/>
            <w:gridSpan w:val="5"/>
            <w:shd w:val="clear" w:color="auto" w:fill="auto"/>
            <w:tcMar>
              <w:top w:w="15" w:type="dxa"/>
              <w:left w:w="15" w:type="dxa"/>
              <w:bottom w:w="0" w:type="dxa"/>
              <w:right w:w="15" w:type="dxa"/>
            </w:tcMar>
            <w:vAlign w:val="center"/>
          </w:tcPr>
          <w:p>
            <w:pPr>
              <w:pStyle w:val="57"/>
              <w:rPr>
                <w:b/>
                <w:bCs/>
              </w:rPr>
            </w:pPr>
            <w:r>
              <w:rPr>
                <w:rFonts w:hint="eastAsia"/>
                <w:b/>
                <w:bCs/>
              </w:rPr>
              <w:t>合计</w:t>
            </w:r>
          </w:p>
        </w:tc>
        <w:tc>
          <w:tcPr>
            <w:tcW w:w="1185" w:type="dxa"/>
            <w:shd w:val="clear" w:color="auto" w:fill="auto"/>
            <w:tcMar>
              <w:top w:w="15" w:type="dxa"/>
              <w:left w:w="15" w:type="dxa"/>
              <w:bottom w:w="0" w:type="dxa"/>
              <w:right w:w="15" w:type="dxa"/>
            </w:tcMar>
            <w:vAlign w:val="center"/>
          </w:tcPr>
          <w:p>
            <w:pPr>
              <w:pStyle w:val="57"/>
              <w:rPr>
                <w:b/>
                <w:bCs/>
              </w:rPr>
            </w:pPr>
            <w:r>
              <w:rPr>
                <w:rFonts w:hint="eastAsia"/>
                <w:b/>
                <w:bCs/>
              </w:rPr>
              <w:t>553100</w:t>
            </w:r>
          </w:p>
        </w:tc>
        <w:tc>
          <w:tcPr>
            <w:tcW w:w="1129" w:type="dxa"/>
            <w:shd w:val="clear" w:color="auto" w:fill="auto"/>
            <w:tcMar>
              <w:top w:w="15" w:type="dxa"/>
              <w:left w:w="15" w:type="dxa"/>
              <w:bottom w:w="0" w:type="dxa"/>
              <w:right w:w="15" w:type="dxa"/>
            </w:tcMar>
            <w:vAlign w:val="center"/>
          </w:tcPr>
          <w:p>
            <w:pPr>
              <w:pStyle w:val="57"/>
            </w:pPr>
          </w:p>
        </w:tc>
      </w:tr>
    </w:tbl>
    <w:p>
      <w:pPr>
        <w:widowControl/>
        <w:snapToGrid/>
        <w:spacing w:line="240" w:lineRule="auto"/>
        <w:ind w:firstLine="0" w:firstLineChars="0"/>
        <w:jc w:val="left"/>
      </w:pPr>
    </w:p>
    <w:sectPr>
      <w:footerReference r:id="rId20" w:type="default"/>
      <w:pgSz w:w="16838" w:h="11906" w:orient="landscape"/>
      <w:pgMar w:top="1701" w:right="1531" w:bottom="1588" w:left="1418" w:header="680" w:footer="907"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4981473"/>
    </w:sdtPr>
    <w:sdtContent>
      <w:p>
        <w:pPr>
          <w:pStyle w:val="19"/>
          <w:ind w:firstLine="0" w:firstLineChars="0"/>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7765656"/>
    </w:sdtPr>
    <w:sdtContent>
      <w:p>
        <w:pPr>
          <w:pStyle w:val="19"/>
          <w:ind w:firstLine="0" w:firstLineChars="0"/>
          <w:jc w:val="center"/>
        </w:pPr>
        <w:r>
          <w:fldChar w:fldCharType="begin"/>
        </w:r>
        <w:r>
          <w:instrText xml:space="preserve">PAGE   \* MERGEFORMAT</w:instrText>
        </w:r>
        <w:r>
          <w:fldChar w:fldCharType="separate"/>
        </w:r>
        <w:r>
          <w:rPr>
            <w:lang w:val="zh-CN"/>
          </w:rPr>
          <w:t>III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6772309"/>
    </w:sdtPr>
    <w:sdtContent>
      <w:p>
        <w:pPr>
          <w:pStyle w:val="19"/>
          <w:ind w:firstLine="360"/>
          <w:jc w:val="center"/>
        </w:pPr>
        <w:r>
          <w:fldChar w:fldCharType="begin"/>
        </w:r>
        <w:r>
          <w:instrText xml:space="preserve">PAGE   \* MERGEFORMAT</w:instrText>
        </w:r>
        <w:r>
          <w:fldChar w:fldCharType="separate"/>
        </w:r>
        <w:r>
          <w:rPr>
            <w:lang w:val="zh-CN"/>
          </w:rPr>
          <w:t>I</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0498521"/>
    </w:sdtPr>
    <w:sdtContent>
      <w:p>
        <w:pPr>
          <w:pStyle w:val="19"/>
          <w:ind w:firstLine="0" w:firstLineChars="0"/>
          <w:jc w:val="center"/>
        </w:pPr>
        <w:r>
          <w:fldChar w:fldCharType="begin"/>
        </w:r>
        <w:r>
          <w:instrText xml:space="preserve">PAGE   \* MERGEFORMAT</w:instrText>
        </w:r>
        <w:r>
          <w:fldChar w:fldCharType="separate"/>
        </w:r>
        <w:r>
          <w:rPr>
            <w:lang w:val="zh-CN"/>
          </w:rPr>
          <w:t>2</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4676212"/>
    </w:sdtPr>
    <w:sdtContent>
      <w:p>
        <w:pPr>
          <w:pStyle w:val="19"/>
          <w:ind w:firstLine="0" w:firstLineChars="0"/>
          <w:jc w:val="center"/>
        </w:pPr>
        <w:r>
          <w:fldChar w:fldCharType="begin"/>
        </w:r>
        <w:r>
          <w:instrText xml:space="preserve">PAGE   \* MERGEFORMAT</w:instrText>
        </w:r>
        <w:r>
          <w:fldChar w:fldCharType="separate"/>
        </w:r>
        <w:r>
          <w:rPr>
            <w:lang w:val="zh-CN"/>
          </w:rPr>
          <w:t>4</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414341"/>
    </w:sdtPr>
    <w:sdtContent>
      <w:p>
        <w:pPr>
          <w:pStyle w:val="19"/>
          <w:ind w:firstLine="0" w:firstLineChars="0"/>
          <w:jc w:val="center"/>
        </w:pPr>
        <w:r>
          <w:fldChar w:fldCharType="begin"/>
        </w:r>
        <w:r>
          <w:instrText xml:space="preserve">PAGE   \* MERGEFORMAT</w:instrText>
        </w:r>
        <w:r>
          <w:fldChar w:fldCharType="separate"/>
        </w:r>
        <w:r>
          <w:rPr>
            <w:lang w:val="zh-CN"/>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0">
    <w:p>
      <w:pPr>
        <w:spacing w:line="240" w:lineRule="auto"/>
        <w:ind w:firstLine="640"/>
      </w:pPr>
      <w:r>
        <w:separator/>
      </w:r>
    </w:p>
  </w:footnote>
  <w:footnote w:type="continuationSeparator" w:id="41">
    <w:p>
      <w:pPr>
        <w:spacing w:line="240" w:lineRule="auto"/>
        <w:ind w:firstLine="640"/>
      </w:pPr>
      <w:r>
        <w:continuationSeparator/>
      </w:r>
    </w:p>
  </w:footnote>
  <w:footnote w:id="0">
    <w:p>
      <w:pPr>
        <w:pStyle w:val="24"/>
        <w:ind w:firstLine="0" w:firstLineChars="0"/>
      </w:pPr>
      <w:r>
        <w:rPr>
          <w:rStyle w:val="42"/>
        </w:rPr>
        <w:footnoteRef/>
      </w:r>
      <w:r>
        <w:t xml:space="preserve"> </w:t>
      </w:r>
      <w:r>
        <w:rPr>
          <w:rFonts w:hint="eastAsia"/>
        </w:rPr>
        <w:t>“4+3”：粮油、柑橘、畜牧、水产四大特色优势产业及现代种业、现代农业装备、现代农业烘干冷链物流三大先导性支撑产业。</w:t>
      </w:r>
    </w:p>
  </w:footnote>
  <w:footnote w:id="1">
    <w:p>
      <w:pPr>
        <w:pStyle w:val="24"/>
        <w:ind w:firstLine="0" w:firstLineChars="0"/>
      </w:pPr>
      <w:r>
        <w:rPr>
          <w:rStyle w:val="42"/>
        </w:rPr>
        <w:footnoteRef/>
      </w:r>
      <w:r>
        <w:t xml:space="preserve"> </w:t>
      </w:r>
      <w:r>
        <w:rPr>
          <w:rFonts w:hint="eastAsia"/>
        </w:rPr>
        <w:t>“五定”：核定措施、确定效果、议定成果、审定结果、认定销号。</w:t>
      </w:r>
    </w:p>
  </w:footnote>
  <w:footnote w:id="2">
    <w:p>
      <w:pPr>
        <w:pStyle w:val="24"/>
        <w:ind w:firstLine="0" w:firstLineChars="0"/>
      </w:pPr>
      <w:r>
        <w:rPr>
          <w:rStyle w:val="42"/>
        </w:rPr>
        <w:footnoteRef/>
      </w:r>
      <w:r>
        <w:t xml:space="preserve"> </w:t>
      </w:r>
      <w:r>
        <w:rPr>
          <w:rFonts w:hint="eastAsia"/>
        </w:rPr>
        <w:t>“五化”：肥料化、饲料化、基料化、原料化、燃料化</w:t>
      </w:r>
    </w:p>
  </w:footnote>
  <w:footnote w:id="3">
    <w:p>
      <w:pPr>
        <w:pStyle w:val="24"/>
        <w:ind w:firstLine="0" w:firstLineChars="0"/>
      </w:pPr>
      <w:r>
        <w:rPr>
          <w:rStyle w:val="42"/>
        </w:rPr>
        <w:footnoteRef/>
      </w:r>
      <w:r>
        <w:t xml:space="preserve"> </w:t>
      </w:r>
      <w:r>
        <w:rPr>
          <w:rFonts w:hint="eastAsia"/>
        </w:rPr>
        <w:t>“3+1”：自治、德治、法治及村集体经济壮大。</w:t>
      </w:r>
    </w:p>
  </w:footnote>
  <w:footnote w:id="4">
    <w:p>
      <w:pPr>
        <w:pStyle w:val="24"/>
        <w:ind w:firstLine="0" w:firstLineChars="0"/>
      </w:pPr>
      <w:r>
        <w:rPr>
          <w:rStyle w:val="42"/>
        </w:rPr>
        <w:footnoteRef/>
      </w:r>
      <w:r>
        <w:t xml:space="preserve"> </w:t>
      </w:r>
      <w:r>
        <w:rPr>
          <w:rFonts w:hint="eastAsia"/>
        </w:rPr>
        <w:t>“两不愁三保障”：不愁吃、不愁穿、基本医疗保障、义务教育保障、住房安全保障。</w:t>
      </w:r>
    </w:p>
  </w:footnote>
  <w:footnote w:id="5">
    <w:p>
      <w:pPr>
        <w:pStyle w:val="24"/>
        <w:ind w:firstLine="0" w:firstLineChars="0"/>
      </w:pPr>
      <w:r>
        <w:rPr>
          <w:rStyle w:val="42"/>
        </w:rPr>
        <w:footnoteRef/>
      </w:r>
      <w:r>
        <w:t xml:space="preserve"> </w:t>
      </w:r>
      <w:r>
        <w:rPr>
          <w:rFonts w:hint="eastAsia"/>
        </w:rPr>
        <w:t>“五统一”：统一布局规划，统一建设标准，统一实施主体，统一工程验收，统一后续管护。</w:t>
      </w:r>
    </w:p>
  </w:footnote>
  <w:footnote w:id="6">
    <w:p>
      <w:pPr>
        <w:pStyle w:val="24"/>
        <w:ind w:firstLine="0" w:firstLineChars="0"/>
      </w:pPr>
      <w:r>
        <w:rPr>
          <w:rStyle w:val="42"/>
        </w:rPr>
        <w:footnoteRef/>
      </w:r>
      <w:r>
        <w:t xml:space="preserve"> </w:t>
      </w:r>
      <w:r>
        <w:rPr>
          <w:rFonts w:hint="eastAsia"/>
        </w:rPr>
        <w:t>“四化协同”：标准化、科技化、品牌化和社会化并行。</w:t>
      </w:r>
    </w:p>
  </w:footnote>
  <w:footnote w:id="7">
    <w:p>
      <w:pPr>
        <w:pStyle w:val="24"/>
        <w:ind w:firstLine="0" w:firstLineChars="0"/>
      </w:pPr>
      <w:r>
        <w:rPr>
          <w:rStyle w:val="42"/>
        </w:rPr>
        <w:footnoteRef/>
      </w:r>
      <w:r>
        <w:t xml:space="preserve"> </w:t>
      </w:r>
      <w:r>
        <w:rPr>
          <w:rFonts w:hint="eastAsia"/>
        </w:rPr>
        <w:t>“三链协同”：产业链、价值链、供应链；“五优联动”：优产、优购、优储、优加、优销；“六大行动”：粮食绿色仓储提升行动、粮食品种品质品牌提升行动、粮食质量追溯提升行动、粮食机械装备提升行动、粮食应急保障能力提升行动、粮食节约减损健康消费提升行动。</w:t>
      </w:r>
    </w:p>
  </w:footnote>
  <w:footnote w:id="8">
    <w:p>
      <w:pPr>
        <w:pStyle w:val="24"/>
        <w:ind w:firstLine="0" w:firstLineChars="0"/>
      </w:pPr>
      <w:r>
        <w:rPr>
          <w:rStyle w:val="42"/>
        </w:rPr>
        <w:footnoteRef/>
      </w:r>
      <w:r>
        <w:rPr>
          <w:rFonts w:hint="eastAsia"/>
        </w:rPr>
        <w:t>“两主体、四中心”：</w:t>
      </w:r>
      <w:r>
        <w:t xml:space="preserve"> </w:t>
      </w:r>
      <w:r>
        <w:rPr>
          <w:rFonts w:hint="eastAsia"/>
        </w:rPr>
        <w:t>规模经营主体、社会化服务主体、育秧中心、烘干中心、初加工中心、实训中心。</w:t>
      </w:r>
    </w:p>
  </w:footnote>
  <w:footnote w:id="9">
    <w:p>
      <w:pPr>
        <w:pStyle w:val="24"/>
        <w:ind w:firstLine="0" w:firstLineChars="0"/>
      </w:pPr>
      <w:r>
        <w:rPr>
          <w:rStyle w:val="42"/>
        </w:rPr>
        <w:footnoteRef/>
      </w:r>
      <w:r>
        <w:t xml:space="preserve"> </w:t>
      </w:r>
      <w:r>
        <w:rPr>
          <w:rFonts w:hint="eastAsia"/>
        </w:rPr>
        <w:t>“三大体系”：现代农业产业体系、现代农业生产体系、现代农业经营体系</w:t>
      </w:r>
    </w:p>
  </w:footnote>
  <w:footnote w:id="10">
    <w:p>
      <w:pPr>
        <w:pStyle w:val="24"/>
        <w:ind w:firstLine="0" w:firstLineChars="0"/>
      </w:pPr>
      <w:r>
        <w:rPr>
          <w:rStyle w:val="42"/>
        </w:rPr>
        <w:footnoteRef/>
      </w:r>
      <w:r>
        <w:rPr>
          <w:rFonts w:hint="eastAsia"/>
        </w:rPr>
        <w:t xml:space="preserve"> 三圃：砧木育种圃、苗木繁育圃、采穗圃；三园：母本园、砧木采本园、新品种展示园。</w:t>
      </w:r>
    </w:p>
  </w:footnote>
  <w:footnote w:id="11">
    <w:p>
      <w:pPr>
        <w:pStyle w:val="24"/>
        <w:ind w:firstLine="0" w:firstLineChars="0"/>
      </w:pPr>
      <w:r>
        <w:rPr>
          <w:rStyle w:val="42"/>
        </w:rPr>
        <w:footnoteRef/>
      </w:r>
      <w:r>
        <w:t xml:space="preserve"> </w:t>
      </w:r>
      <w:r>
        <w:rPr>
          <w:rFonts w:hint="eastAsia"/>
        </w:rPr>
        <w:t>“三品一标”：达标合格农产品、绿色食品、有机农产品和农产品地理标志。</w:t>
      </w:r>
    </w:p>
  </w:footnote>
  <w:footnote w:id="12">
    <w:p>
      <w:pPr>
        <w:pStyle w:val="24"/>
        <w:ind w:firstLine="0" w:firstLineChars="0"/>
      </w:pPr>
      <w:r>
        <w:rPr>
          <w:rStyle w:val="42"/>
        </w:rPr>
        <w:footnoteRef/>
      </w:r>
      <w:r>
        <w:t xml:space="preserve"> </w:t>
      </w:r>
      <w:r>
        <w:rPr>
          <w:rFonts w:hint="eastAsia" w:ascii="仿宋_GB2312"/>
        </w:rPr>
        <w:t>“一环线四基地”：</w:t>
      </w:r>
      <w:r>
        <w:rPr>
          <w:rFonts w:hint="eastAsia" w:ascii="仿宋_GB2312" w:hAnsi="仿宋_GB2312" w:cs="仿宋_GB2312"/>
        </w:rPr>
        <w:t>百里产业环线，粮油基地、生猪基地、柑橘基地、水产基地。</w:t>
      </w:r>
    </w:p>
  </w:footnote>
  <w:footnote w:id="13">
    <w:p>
      <w:pPr>
        <w:pStyle w:val="24"/>
        <w:ind w:firstLine="0" w:firstLineChars="0"/>
      </w:pPr>
      <w:r>
        <w:rPr>
          <w:rStyle w:val="42"/>
        </w:rPr>
        <w:footnoteRef/>
      </w:r>
      <w:r>
        <w:t xml:space="preserve"> </w:t>
      </w:r>
      <w:r>
        <w:rPr>
          <w:rFonts w:hint="eastAsia"/>
        </w:rPr>
        <w:t>“四旁”：水旁、路旁、村旁、宅旁。</w:t>
      </w:r>
    </w:p>
  </w:footnote>
  <w:footnote w:id="14">
    <w:p>
      <w:pPr>
        <w:pStyle w:val="24"/>
        <w:ind w:firstLine="0" w:firstLineChars="0"/>
      </w:pPr>
      <w:r>
        <w:rPr>
          <w:rStyle w:val="42"/>
        </w:rPr>
        <w:footnoteRef/>
      </w:r>
      <w:r>
        <w:t xml:space="preserve"> </w:t>
      </w:r>
      <w:r>
        <w:rPr>
          <w:rFonts w:hint="eastAsia"/>
        </w:rPr>
        <w:t>“金通工程”：全面完成“四好农村路”建设运输任务、并在考核年度内未出现通返不通，健全乡村客运公共财政投入保障机制、逐年落实乡村客运补助政策，车辆外观、驾驶员工牌工装、标识标牌、监管投诉平台“四统一”，建设县乡村三级物流节点等。</w:t>
      </w:r>
    </w:p>
  </w:footnote>
  <w:footnote w:id="15">
    <w:p>
      <w:pPr>
        <w:pStyle w:val="24"/>
        <w:ind w:firstLine="0" w:firstLineChars="0"/>
      </w:pPr>
      <w:r>
        <w:rPr>
          <w:rStyle w:val="42"/>
        </w:rPr>
        <w:footnoteRef/>
      </w:r>
      <w:r>
        <w:t xml:space="preserve"> </w:t>
      </w:r>
      <w:r>
        <w:rPr>
          <w:rFonts w:hint="eastAsia"/>
        </w:rPr>
        <w:t>“一控”：控制农业用水总量和农业水环境污染；“两减”：化肥、农药减量使用；“三利用”：畜禽粪污、农膜、农作物秸秆基本得到无害化处理、资源化综合利用。</w:t>
      </w:r>
    </w:p>
  </w:footnote>
  <w:footnote w:id="16">
    <w:p>
      <w:pPr>
        <w:pStyle w:val="24"/>
        <w:ind w:firstLine="0" w:firstLineChars="0"/>
      </w:pPr>
      <w:r>
        <w:rPr>
          <w:rStyle w:val="42"/>
        </w:rPr>
        <w:footnoteRef/>
      </w:r>
      <w:r>
        <w:t xml:space="preserve"> </w:t>
      </w:r>
      <w:r>
        <w:rPr>
          <w:rFonts w:hint="eastAsia" w:ascii="仿宋_GB2312" w:hAnsi="仿宋"/>
        </w:rPr>
        <w:t>“</w:t>
      </w:r>
      <w:r>
        <w:rPr>
          <w:rFonts w:hint="eastAsia"/>
        </w:rPr>
        <w:t>三线一单</w:t>
      </w:r>
      <w:r>
        <w:rPr>
          <w:rFonts w:hint="eastAsia" w:ascii="仿宋_GB2312" w:hAnsi="仿宋"/>
        </w:rPr>
        <w:t>”：</w:t>
      </w:r>
      <w:r>
        <w:rPr>
          <w:rFonts w:hint="eastAsia"/>
        </w:rPr>
        <w:t>指生态保护红线、环境质量底线、资源利用上线和生态环境准入清单。</w:t>
      </w:r>
    </w:p>
  </w:footnote>
  <w:footnote w:id="17">
    <w:p>
      <w:pPr>
        <w:pStyle w:val="24"/>
        <w:ind w:firstLine="0" w:firstLineChars="0"/>
      </w:pPr>
      <w:r>
        <w:rPr>
          <w:rStyle w:val="42"/>
        </w:rPr>
        <w:footnoteRef/>
      </w:r>
      <w:r>
        <w:rPr>
          <w:rFonts w:hint="eastAsia"/>
        </w:rPr>
        <w:t>“</w:t>
      </w:r>
      <w:r>
        <w:t xml:space="preserve"> </w:t>
      </w:r>
      <w:r>
        <w:rPr>
          <w:rFonts w:hint="eastAsia"/>
        </w:rPr>
        <w:t>四个不摘”：即摘帽不摘责任、摘帽不摘政策、摘帽不摘帮扶和摘帽不摘监管。</w:t>
      </w:r>
    </w:p>
  </w:footnote>
  <w:footnote w:id="18">
    <w:p>
      <w:pPr>
        <w:pStyle w:val="24"/>
        <w:ind w:firstLine="0" w:firstLineChars="0"/>
      </w:pPr>
      <w:r>
        <w:rPr>
          <w:rStyle w:val="42"/>
        </w:rPr>
        <w:footnoteRef/>
      </w:r>
      <w:r>
        <w:t xml:space="preserve"> </w:t>
      </w:r>
      <w:r>
        <w:rPr>
          <w:rFonts w:hint="eastAsia"/>
        </w:rPr>
        <w:t>“百县千乡万村”：开展乡村振兴示范创建，采取先创建后认定方式，分级创建一批乡村振兴示范县、示范乡镇、示范村。</w:t>
      </w:r>
    </w:p>
  </w:footnote>
  <w:footnote w:id="19">
    <w:p>
      <w:pPr>
        <w:pStyle w:val="24"/>
        <w:ind w:firstLine="0" w:firstLineChars="0"/>
      </w:pPr>
      <w:r>
        <w:rPr>
          <w:rStyle w:val="42"/>
        </w:rPr>
        <w:footnoteRef/>
      </w:r>
      <w:r>
        <w:t xml:space="preserve"> </w:t>
      </w:r>
      <w:r>
        <w:rPr>
          <w:rFonts w:hint="eastAsia" w:ascii="仿宋_GB2312" w:hAnsi="仿宋"/>
        </w:rPr>
        <w:t>“</w:t>
      </w:r>
      <w:r>
        <w:rPr>
          <w:rFonts w:hint="eastAsia"/>
        </w:rPr>
        <w:t>10＋3</w:t>
      </w:r>
      <w:r>
        <w:rPr>
          <w:rFonts w:hint="eastAsia" w:ascii="仿宋_GB2312" w:hAnsi="仿宋"/>
        </w:rPr>
        <w:t>”：</w:t>
      </w:r>
      <w:r>
        <w:rPr>
          <w:rFonts w:hint="eastAsia"/>
        </w:rPr>
        <w:t>“1</w:t>
      </w:r>
      <w:r>
        <w:t>0</w:t>
      </w:r>
      <w:r>
        <w:rPr>
          <w:rFonts w:hint="eastAsia"/>
        </w:rPr>
        <w:t>”：川粮油、川猪、川茶、川菜、川酒、川竹、川果、川药、川牛羊、川鱼10大优势特色业；“3”：现代农业种业、现代农业装备和现代农业烘干冷链物流三大先导性支撑产业。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ind w:firstLine="0" w:firstLineChars="0"/>
      <w:jc w:val="center"/>
      <w:rPr>
        <w:rFonts w:asciiTheme="minorEastAsia" w:hAnsiTheme="minorEastAsia" w:eastAsiaTheme="minorEastAsia"/>
        <w:sz w:val="21"/>
        <w:szCs w:val="16"/>
      </w:rPr>
    </w:pPr>
    <w:r>
      <w:rPr>
        <w:rFonts w:hint="eastAsia" w:asciiTheme="minorEastAsia" w:hAnsiTheme="minorEastAsia" w:eastAsiaTheme="minorEastAsia"/>
        <w:sz w:val="21"/>
        <w:szCs w:val="16"/>
      </w:rPr>
      <w:t>井研县“十四五”推进农业农村现代化规划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lear" w:pos="720"/>
      </w:tabs>
      <w:spacing w:before="120"/>
      <w:ind w:left="643"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ind w:firstLine="0" w:firstLineChars="0"/>
      <w:jc w:val="center"/>
      <w:rPr>
        <w:rFonts w:asciiTheme="minorEastAsia" w:hAnsiTheme="minorEastAsia" w:eastAsiaTheme="minorEastAsia"/>
        <w:sz w:val="21"/>
        <w:szCs w:val="16"/>
      </w:rPr>
    </w:pPr>
    <w:r>
      <w:rPr>
        <w:rFonts w:hint="eastAsia" w:asciiTheme="minorEastAsia" w:hAnsiTheme="minorEastAsia" w:eastAsiaTheme="minorEastAsia"/>
        <w:sz w:val="21"/>
        <w:szCs w:val="16"/>
      </w:rPr>
      <w:t>井研县“十四五”推进农业农村现代化规划</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ind w:firstLine="0" w:firstLineChars="0"/>
      <w:jc w:val="center"/>
      <w:rPr>
        <w:rFonts w:asciiTheme="minorEastAsia" w:hAnsiTheme="minorEastAsia" w:eastAsiaTheme="minorEastAsia"/>
        <w:sz w:val="21"/>
        <w:szCs w:val="16"/>
      </w:rPr>
    </w:pPr>
    <w:r>
      <w:rPr>
        <w:rFonts w:hint="eastAsia" w:asciiTheme="minorEastAsia" w:hAnsiTheme="minorEastAsia" w:eastAsiaTheme="minorEastAsia"/>
        <w:sz w:val="21"/>
        <w:szCs w:val="16"/>
      </w:rPr>
      <w:t>井研县“十四五”推进农业农村现代化规划</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ind w:firstLine="0" w:firstLineChars="0"/>
      <w:jc w:val="center"/>
      <w:rPr>
        <w:rFonts w:asciiTheme="minorEastAsia" w:hAnsiTheme="minorEastAsia" w:eastAsiaTheme="minorEastAsia"/>
        <w:sz w:val="21"/>
        <w:szCs w:val="16"/>
      </w:rPr>
    </w:pPr>
    <w:r>
      <w:rPr>
        <w:rFonts w:hint="eastAsia" w:asciiTheme="minorEastAsia" w:hAnsiTheme="minorEastAsia" w:eastAsiaTheme="minorEastAsia"/>
        <w:sz w:val="21"/>
        <w:szCs w:val="16"/>
      </w:rPr>
      <w:t>井研县“十四五”推进农业农村现代化规划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F66380"/>
    <w:multiLevelType w:val="multilevel"/>
    <w:tmpl w:val="44F66380"/>
    <w:lvl w:ilvl="0" w:tentative="0">
      <w:start w:val="1"/>
      <w:numFmt w:val="decimal"/>
      <w:pStyle w:val="2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7AA5519E"/>
    <w:multiLevelType w:val="multilevel"/>
    <w:tmpl w:val="7AA5519E"/>
    <w:lvl w:ilvl="0" w:tentative="0">
      <w:start w:val="1"/>
      <w:numFmt w:val="chineseCountingThousand"/>
      <w:pStyle w:val="2"/>
      <w:suff w:val="space"/>
      <w:lvlText w:val="第%1章"/>
      <w:lvlJc w:val="center"/>
      <w:rPr>
        <w:rFonts w:hint="default" w:ascii="Times New Roman" w:hAnsi="Times New Roman" w:eastAsia="黑体"/>
        <w:b/>
        <w:i w:val="0"/>
        <w:caps w:val="0"/>
        <w:strike w:val="0"/>
        <w:dstrike w:val="0"/>
        <w:vanish w:val="0"/>
        <w:color w:val="auto"/>
        <w:sz w:val="36"/>
        <w:vertAlign w:val="baseline"/>
        <w14:shadow w14:blurRad="0" w14:dist="0" w14:dir="0" w14:sx="0" w14:sy="0" w14:kx="0" w14:ky="0" w14:algn="none">
          <w14:srgbClr w14:val="000000"/>
        </w14:shadow>
      </w:rPr>
    </w:lvl>
    <w:lvl w:ilvl="1" w:tentative="0">
      <w:start w:val="1"/>
      <w:numFmt w:val="chineseCountingThousand"/>
      <w:pStyle w:val="3"/>
      <w:suff w:val="space"/>
      <w:lvlText w:val="第%2节"/>
      <w:lvlJc w:val="left"/>
      <w:pPr>
        <w:ind w:left="0" w:firstLine="0"/>
      </w:pPr>
      <w:rPr>
        <w:rFonts w:hint="default" w:ascii="Times New Roman" w:hAnsi="Times New Roman" w:eastAsia="楷体_GB2312"/>
        <w:b/>
        <w:i w:val="0"/>
        <w:sz w:val="32"/>
      </w:rPr>
    </w:lvl>
    <w:lvl w:ilvl="2" w:tentative="0">
      <w:start w:val="1"/>
      <w:numFmt w:val="chineseCountingThousand"/>
      <w:suff w:val="nothing"/>
      <w:lvlText w:val="%3、"/>
      <w:lvlJc w:val="left"/>
      <w:pPr>
        <w:ind w:left="5388" w:firstLine="0"/>
      </w:pPr>
      <w:rPr>
        <w:rFonts w:hint="default" w:ascii="Times New Roman" w:hAnsi="Times New Roman" w:eastAsia="仿宋_GB2312"/>
        <w:b/>
        <w:bCs w:val="0"/>
        <w:i w:val="0"/>
        <w:sz w:val="32"/>
      </w:rPr>
    </w:lvl>
    <w:lvl w:ilvl="3" w:tentative="0">
      <w:start w:val="1"/>
      <w:numFmt w:val="chineseCountingThousand"/>
      <w:pStyle w:val="5"/>
      <w:suff w:val="nothing"/>
      <w:lvlText w:val="（%4）"/>
      <w:lvlJc w:val="left"/>
      <w:pPr>
        <w:ind w:left="0" w:firstLine="0"/>
      </w:pPr>
      <w:rPr>
        <w:rFonts w:hint="default" w:ascii="Times New Roman" w:hAnsi="Times New Roman" w:eastAsia="仿宋_GB2312"/>
        <w:b/>
        <w:i w:val="0"/>
        <w:sz w:val="32"/>
      </w:rPr>
    </w:lvl>
    <w:lvl w:ilvl="4" w:tentative="0">
      <w:start w:val="1"/>
      <w:numFmt w:val="decimal"/>
      <w:pStyle w:val="6"/>
      <w:suff w:val="nothing"/>
      <w:lvlText w:val="%5."/>
      <w:lvlJc w:val="left"/>
      <w:pPr>
        <w:ind w:left="0" w:firstLine="0"/>
      </w:pPr>
      <w:rPr>
        <w:rFonts w:hint="default" w:ascii="Times New Roman" w:hAnsi="Times New Roman" w:eastAsia="仿宋_GB2312"/>
        <w:b/>
        <w:i w:val="0"/>
        <w:sz w:val="32"/>
      </w:rPr>
    </w:lvl>
    <w:lvl w:ilvl="5" w:tentative="0">
      <w:start w:val="1"/>
      <w:numFmt w:val="decimal"/>
      <w:pStyle w:val="7"/>
      <w:suff w:val="nothing"/>
      <w:lvlText w:val="（%6）"/>
      <w:lvlJc w:val="left"/>
      <w:pPr>
        <w:ind w:left="0" w:firstLine="0"/>
      </w:pPr>
      <w:rPr>
        <w:rFonts w:hint="default" w:ascii="Times New Roman" w:hAnsi="Times New Roman" w:eastAsia="仿宋_GB2312"/>
        <w:b/>
        <w:i w:val="0"/>
        <w:sz w:val="32"/>
      </w:rPr>
    </w:lvl>
    <w:lvl w:ilvl="6" w:tentative="0">
      <w:start w:val="1"/>
      <w:numFmt w:val="decimal"/>
      <w:lvlText w:val="%7."/>
      <w:lvlJc w:val="left"/>
      <w:pPr>
        <w:ind w:left="3140" w:hanging="420"/>
      </w:pPr>
      <w:rPr>
        <w:rFonts w:hint="eastAsia"/>
      </w:rPr>
    </w:lvl>
    <w:lvl w:ilvl="7" w:tentative="0">
      <w:start w:val="1"/>
      <w:numFmt w:val="decimal"/>
      <w:lvlRestart w:val="1"/>
      <w:pStyle w:val="60"/>
      <w:isLgl/>
      <w:suff w:val="space"/>
      <w:lvlText w:val="表%1-%8"/>
      <w:lvlJc w:val="left"/>
      <w:pPr>
        <w:ind w:left="0" w:firstLine="0"/>
      </w:pPr>
      <w:rPr>
        <w:rFonts w:hint="eastAsia"/>
      </w:rPr>
    </w:lvl>
    <w:lvl w:ilvl="8" w:tentative="0">
      <w:start w:val="1"/>
      <w:numFmt w:val="decimal"/>
      <w:lvlRestart w:val="1"/>
      <w:pStyle w:val="64"/>
      <w:isLgl/>
      <w:suff w:val="space"/>
      <w:lvlText w:val="图%1-%9"/>
      <w:lvlJc w:val="left"/>
      <w:pPr>
        <w:ind w:left="0" w:firstLine="0"/>
      </w:pPr>
      <w:rPr>
        <w:rFonts w:hint="eastAsia"/>
      </w:rPr>
    </w:lvl>
  </w:abstractNum>
  <w:num w:numId="1">
    <w:abstractNumId w:val="1"/>
  </w:num>
  <w:num w:numId="2">
    <w:abstractNumId w:val="1"/>
    <w:lvlOverride w:ilvl="0">
      <w:lvl w:ilvl="0" w:tentative="1">
        <w:start w:val="1"/>
        <w:numFmt w:val="chineseCountingThousand"/>
        <w:suff w:val="space"/>
        <w:lvlText w:val="第%1章"/>
        <w:lvlJc w:val="center"/>
        <w:pPr>
          <w:ind w:left="0" w:firstLine="0"/>
        </w:pPr>
        <w:rPr>
          <w:rFonts w:hint="default" w:ascii="Times New Roman" w:hAnsi="Times New Roman" w:eastAsia="黑体"/>
          <w:b/>
          <w:i w:val="0"/>
          <w:caps w:val="0"/>
          <w:strike w:val="0"/>
          <w:dstrike w:val="0"/>
          <w:vanish w:val="0"/>
          <w:color w:val="auto"/>
          <w:sz w:val="36"/>
          <w:vertAlign w:val="baseline"/>
        </w:rPr>
      </w:lvl>
    </w:lvlOverride>
    <w:lvlOverride w:ilvl="1">
      <w:lvl w:ilvl="1" w:tentative="1">
        <w:start w:val="1"/>
        <w:numFmt w:val="chineseCountingThousand"/>
        <w:suff w:val="space"/>
        <w:lvlText w:val="第%2节"/>
        <w:lvlJc w:val="left"/>
        <w:pPr>
          <w:ind w:left="0" w:firstLine="0"/>
        </w:pPr>
        <w:rPr>
          <w:rFonts w:hint="default" w:ascii="Times New Roman" w:hAnsi="Times New Roman" w:eastAsia="楷体_GB2312"/>
          <w:b/>
          <w:i w:val="0"/>
          <w:sz w:val="32"/>
        </w:rPr>
      </w:lvl>
    </w:lvlOverride>
    <w:lvlOverride w:ilvl="2">
      <w:lvl w:ilvl="2" w:tentative="1">
        <w:start w:val="1"/>
        <w:numFmt w:val="chineseCountingThousand"/>
        <w:pStyle w:val="4"/>
        <w:suff w:val="nothing"/>
        <w:lvlText w:val="%3、"/>
        <w:lvlJc w:val="left"/>
        <w:pPr>
          <w:ind w:left="1698" w:firstLine="0"/>
        </w:pPr>
        <w:rPr>
          <w:rFonts w:hint="eastAsia" w:ascii="Times New Roman" w:hAnsi="Times New Roman" w:eastAsia="仿宋_GB2312"/>
          <w:b/>
          <w:bCs w:val="0"/>
          <w:i w:val="0"/>
          <w:color w:val="auto"/>
          <w:sz w:val="32"/>
          <w:lang w:val="en-US"/>
        </w:rPr>
      </w:lvl>
    </w:lvlOverride>
    <w:lvlOverride w:ilvl="3">
      <w:lvl w:ilvl="3" w:tentative="1">
        <w:start w:val="1"/>
        <w:numFmt w:val="chineseCountingThousand"/>
        <w:suff w:val="nothing"/>
        <w:lvlText w:val="（%4）"/>
        <w:lvlJc w:val="left"/>
        <w:pPr>
          <w:ind w:left="0" w:firstLine="0"/>
        </w:pPr>
        <w:rPr>
          <w:rFonts w:hint="default" w:ascii="Times New Roman" w:hAnsi="Times New Roman" w:eastAsia="仿宋_GB2312"/>
          <w:b/>
          <w:i w:val="0"/>
          <w:sz w:val="32"/>
        </w:rPr>
      </w:lvl>
    </w:lvlOverride>
    <w:lvlOverride w:ilvl="4">
      <w:lvl w:ilvl="4" w:tentative="1">
        <w:start w:val="1"/>
        <w:numFmt w:val="decimal"/>
        <w:suff w:val="nothing"/>
        <w:lvlText w:val="%5."/>
        <w:lvlJc w:val="left"/>
        <w:pPr>
          <w:ind w:left="0" w:firstLine="0"/>
        </w:pPr>
        <w:rPr>
          <w:rFonts w:hint="default" w:ascii="Times New Roman" w:hAnsi="Times New Roman" w:eastAsia="仿宋_GB2312"/>
          <w:b/>
          <w:i w:val="0"/>
          <w:sz w:val="32"/>
        </w:rPr>
      </w:lvl>
    </w:lvlOverride>
    <w:lvlOverride w:ilvl="5">
      <w:lvl w:ilvl="5" w:tentative="1">
        <w:start w:val="1"/>
        <w:numFmt w:val="decimal"/>
        <w:suff w:val="nothing"/>
        <w:lvlText w:val="（%6）"/>
        <w:lvlJc w:val="left"/>
        <w:pPr>
          <w:ind w:left="0" w:firstLine="0"/>
        </w:pPr>
        <w:rPr>
          <w:rFonts w:hint="default" w:ascii="Times New Roman" w:hAnsi="Times New Roman" w:eastAsia="仿宋_GB2312"/>
          <w:b/>
          <w:i w:val="0"/>
          <w:sz w:val="32"/>
        </w:rPr>
      </w:lvl>
    </w:lvlOverride>
    <w:lvlOverride w:ilvl="6">
      <w:lvl w:ilvl="6" w:tentative="1">
        <w:start w:val="1"/>
        <w:numFmt w:val="decimal"/>
        <w:lvlText w:val="%7."/>
        <w:lvlJc w:val="left"/>
        <w:pPr>
          <w:ind w:left="3140" w:hanging="420"/>
        </w:pPr>
        <w:rPr>
          <w:rFonts w:hint="eastAsia"/>
        </w:rPr>
      </w:lvl>
    </w:lvlOverride>
    <w:lvlOverride w:ilvl="7">
      <w:lvl w:ilvl="7" w:tentative="1">
        <w:start w:val="1"/>
        <w:numFmt w:val="decimal"/>
        <w:lvlRestart w:val="1"/>
        <w:isLgl/>
        <w:suff w:val="space"/>
        <w:lvlText w:val="表%1-%8"/>
        <w:lvlJc w:val="left"/>
        <w:pPr>
          <w:ind w:left="0" w:firstLine="0"/>
        </w:pPr>
        <w:rPr>
          <w:rFonts w:hint="eastAsia"/>
        </w:rPr>
      </w:lvl>
    </w:lvlOverride>
    <w:lvlOverride w:ilvl="8">
      <w:lvl w:ilvl="8" w:tentative="1">
        <w:start w:val="1"/>
        <w:numFmt w:val="decimal"/>
        <w:lvlRestart w:val="1"/>
        <w:isLgl/>
        <w:suff w:val="space"/>
        <w:lvlText w:val="图%1-%9"/>
        <w:lvlJc w:val="left"/>
        <w:pPr>
          <w:ind w:left="0" w:firstLine="0"/>
        </w:pPr>
        <w:rPr>
          <w:rFonts w:hint="eastAsia"/>
        </w:rPr>
      </w:lvl>
    </w:lvlOverride>
  </w:num>
  <w:num w:numId="3">
    <w:abstractNumId w:val="0"/>
  </w:num>
  <w:num w:numId="4">
    <w:abstractNumId w:val="1"/>
    <w:lvlOverride w:ilvl="0">
      <w:lvl w:ilvl="0" w:tentative="1">
        <w:start w:val="3"/>
        <w:numFmt w:val="chineseCountingThousand"/>
        <w:suff w:val="space"/>
        <w:lvlText w:val="第%1章"/>
        <w:lvlJc w:val="center"/>
        <w:pPr>
          <w:ind w:left="0" w:firstLine="0"/>
        </w:pPr>
        <w:rPr>
          <w:rFonts w:hint="default" w:ascii="Times New Roman" w:hAnsi="Times New Roman" w:eastAsia="黑体"/>
          <w:b/>
          <w:i w:val="0"/>
          <w:caps w:val="0"/>
          <w:strike w:val="0"/>
          <w:dstrike w:val="0"/>
          <w:vanish w:val="0"/>
          <w:color w:val="auto"/>
          <w:sz w:val="36"/>
          <w:vertAlign w:val="baseline"/>
        </w:rPr>
      </w:lvl>
    </w:lvlOverride>
    <w:lvlOverride w:ilvl="1">
      <w:lvl w:ilvl="1" w:tentative="1">
        <w:start w:val="1"/>
        <w:numFmt w:val="chineseCountingThousand"/>
        <w:suff w:val="space"/>
        <w:lvlText w:val="第%2节"/>
        <w:lvlJc w:val="left"/>
        <w:pPr>
          <w:ind w:left="0" w:firstLine="0"/>
        </w:pPr>
        <w:rPr>
          <w:rFonts w:hint="default" w:ascii="Times New Roman" w:hAnsi="Times New Roman" w:eastAsia="楷体_GB2312"/>
          <w:b/>
          <w:i w:val="0"/>
          <w:sz w:val="32"/>
        </w:rPr>
      </w:lvl>
    </w:lvlOverride>
    <w:lvlOverride w:ilvl="2">
      <w:lvl w:ilvl="2" w:tentative="1">
        <w:start w:val="1"/>
        <w:numFmt w:val="chineseCountingThousand"/>
        <w:suff w:val="nothing"/>
        <w:lvlText w:val="%3、"/>
        <w:lvlJc w:val="left"/>
        <w:pPr>
          <w:ind w:left="5388" w:firstLine="0"/>
        </w:pPr>
        <w:rPr>
          <w:rFonts w:hint="default" w:ascii="Times New Roman" w:hAnsi="Times New Roman" w:eastAsia="仿宋_GB2312"/>
          <w:b/>
          <w:bCs w:val="0"/>
          <w:i w:val="0"/>
          <w:sz w:val="32"/>
        </w:rPr>
      </w:lvl>
    </w:lvlOverride>
    <w:lvlOverride w:ilvl="3">
      <w:lvl w:ilvl="3" w:tentative="1">
        <w:start w:val="1"/>
        <w:numFmt w:val="chineseCountingThousand"/>
        <w:suff w:val="nothing"/>
        <w:lvlText w:val="（%4）"/>
        <w:lvlJc w:val="left"/>
        <w:pPr>
          <w:ind w:left="0" w:firstLine="0"/>
        </w:pPr>
        <w:rPr>
          <w:rFonts w:hint="default" w:ascii="Times New Roman" w:hAnsi="Times New Roman" w:eastAsia="仿宋_GB2312"/>
          <w:b/>
          <w:i w:val="0"/>
          <w:sz w:val="32"/>
        </w:rPr>
      </w:lvl>
    </w:lvlOverride>
    <w:lvlOverride w:ilvl="4">
      <w:lvl w:ilvl="4" w:tentative="1">
        <w:start w:val="1"/>
        <w:numFmt w:val="decimal"/>
        <w:suff w:val="nothing"/>
        <w:lvlText w:val="%5."/>
        <w:lvlJc w:val="left"/>
        <w:pPr>
          <w:ind w:left="0" w:firstLine="0"/>
        </w:pPr>
        <w:rPr>
          <w:rFonts w:hint="default" w:ascii="Times New Roman" w:hAnsi="Times New Roman" w:eastAsia="仿宋_GB2312"/>
          <w:b/>
          <w:i w:val="0"/>
          <w:sz w:val="32"/>
        </w:rPr>
      </w:lvl>
    </w:lvlOverride>
    <w:lvlOverride w:ilvl="5">
      <w:lvl w:ilvl="5" w:tentative="1">
        <w:start w:val="1"/>
        <w:numFmt w:val="decimal"/>
        <w:suff w:val="nothing"/>
        <w:lvlText w:val="（%6）"/>
        <w:lvlJc w:val="left"/>
        <w:pPr>
          <w:ind w:left="0" w:firstLine="0"/>
        </w:pPr>
        <w:rPr>
          <w:rFonts w:hint="default" w:ascii="Times New Roman" w:hAnsi="Times New Roman" w:eastAsia="仿宋_GB2312"/>
          <w:b/>
          <w:i w:val="0"/>
          <w:sz w:val="32"/>
        </w:rPr>
      </w:lvl>
    </w:lvlOverride>
    <w:lvlOverride w:ilvl="6">
      <w:lvl w:ilvl="6" w:tentative="1">
        <w:start w:val="1"/>
        <w:numFmt w:val="decimal"/>
        <w:lvlText w:val="%7."/>
        <w:lvlJc w:val="left"/>
        <w:pPr>
          <w:ind w:left="3140" w:hanging="420"/>
        </w:pPr>
        <w:rPr>
          <w:rFonts w:hint="eastAsia"/>
        </w:rPr>
      </w:lvl>
    </w:lvlOverride>
    <w:lvlOverride w:ilvl="7">
      <w:lvl w:ilvl="7" w:tentative="1">
        <w:start w:val="1"/>
        <w:numFmt w:val="decimal"/>
        <w:lvlRestart w:val="1"/>
        <w:isLgl/>
        <w:suff w:val="space"/>
        <w:lvlText w:val="表%1-%8"/>
        <w:lvlJc w:val="left"/>
        <w:pPr>
          <w:ind w:left="0" w:firstLine="0"/>
        </w:pPr>
        <w:rPr>
          <w:rFonts w:hint="eastAsia"/>
        </w:rPr>
      </w:lvl>
    </w:lvlOverride>
    <w:lvlOverride w:ilvl="8">
      <w:lvl w:ilvl="8" w:tentative="1">
        <w:start w:val="1"/>
        <w:numFmt w:val="decimal"/>
        <w:lvlRestart w:val="1"/>
        <w:isLgl/>
        <w:suff w:val="space"/>
        <w:lvlText w:val="图%1-%9"/>
        <w:lvlJc w:val="left"/>
        <w:pPr>
          <w:ind w:left="0" w:firstLine="0"/>
        </w:pPr>
        <w:rPr>
          <w:rFonts w:hint="eastAsia"/>
        </w:rPr>
      </w:lvl>
    </w:lvlOverride>
  </w:num>
  <w:num w:numId="5">
    <w:abstractNumId w:val="1"/>
    <w:lvlOverride w:ilvl="0">
      <w:startOverride w:val="3"/>
      <w:lvl w:ilvl="0" w:tentative="1">
        <w:start w:val="3"/>
        <w:numFmt w:val="chineseCountingThousand"/>
        <w:suff w:val="space"/>
        <w:lvlText w:val="第%1章"/>
        <w:lvlJc w:val="center"/>
        <w:pPr>
          <w:ind w:left="0" w:firstLine="0"/>
        </w:pPr>
        <w:rPr>
          <w:rFonts w:hint="default" w:ascii="Times New Roman" w:hAnsi="Times New Roman" w:eastAsia="黑体"/>
          <w:b/>
          <w:i w:val="0"/>
          <w:caps w:val="0"/>
          <w:strike w:val="0"/>
          <w:dstrike w:val="0"/>
          <w:vanish w:val="0"/>
          <w:color w:val="auto"/>
          <w:sz w:val="36"/>
          <w:vertAlign w:val="baseline"/>
        </w:rPr>
      </w:lvl>
    </w:lvlOverride>
    <w:lvlOverride w:ilvl="1">
      <w:startOverride w:val="1"/>
      <w:lvl w:ilvl="1" w:tentative="1">
        <w:start w:val="1"/>
        <w:numFmt w:val="chineseCountingThousand"/>
        <w:suff w:val="space"/>
        <w:lvlText w:val="第%2节"/>
        <w:lvlJc w:val="left"/>
        <w:pPr>
          <w:ind w:left="0" w:firstLine="0"/>
        </w:pPr>
        <w:rPr>
          <w:rFonts w:hint="default" w:ascii="Times New Roman" w:hAnsi="Times New Roman" w:eastAsia="楷体_GB2312"/>
          <w:b/>
          <w:i w:val="0"/>
          <w:sz w:val="32"/>
        </w:rPr>
      </w:lvl>
    </w:lvlOverride>
    <w:lvlOverride w:ilvl="2">
      <w:startOverride w:val="1"/>
      <w:lvl w:ilvl="2" w:tentative="1">
        <w:start w:val="1"/>
        <w:numFmt w:val="chineseCountingThousand"/>
        <w:suff w:val="nothing"/>
        <w:lvlText w:val="%3、"/>
        <w:lvlJc w:val="left"/>
        <w:pPr>
          <w:ind w:left="5388" w:firstLine="0"/>
        </w:pPr>
        <w:rPr>
          <w:rFonts w:hint="default" w:ascii="Times New Roman" w:hAnsi="Times New Roman" w:eastAsia="仿宋_GB2312"/>
          <w:b/>
          <w:bCs w:val="0"/>
          <w:i w:val="0"/>
          <w:sz w:val="32"/>
        </w:rPr>
      </w:lvl>
    </w:lvlOverride>
    <w:lvlOverride w:ilvl="3">
      <w:startOverride w:val="1"/>
      <w:lvl w:ilvl="3" w:tentative="1">
        <w:start w:val="1"/>
        <w:numFmt w:val="chineseCountingThousand"/>
        <w:suff w:val="nothing"/>
        <w:lvlText w:val="（%4）"/>
        <w:lvlJc w:val="left"/>
        <w:pPr>
          <w:ind w:left="0" w:firstLine="0"/>
        </w:pPr>
        <w:rPr>
          <w:rFonts w:hint="default" w:ascii="Times New Roman" w:hAnsi="Times New Roman" w:eastAsia="仿宋_GB2312"/>
          <w:b/>
          <w:i w:val="0"/>
          <w:sz w:val="32"/>
        </w:rPr>
      </w:lvl>
    </w:lvlOverride>
    <w:lvlOverride w:ilvl="4">
      <w:startOverride w:val="1"/>
      <w:lvl w:ilvl="4" w:tentative="1">
        <w:start w:val="1"/>
        <w:numFmt w:val="decimal"/>
        <w:suff w:val="nothing"/>
        <w:lvlText w:val="%5."/>
        <w:lvlJc w:val="left"/>
        <w:pPr>
          <w:ind w:left="0" w:firstLine="0"/>
        </w:pPr>
        <w:rPr>
          <w:rFonts w:hint="default" w:ascii="Times New Roman" w:hAnsi="Times New Roman" w:eastAsia="仿宋_GB2312"/>
          <w:b/>
          <w:i w:val="0"/>
          <w:sz w:val="32"/>
        </w:rPr>
      </w:lvl>
    </w:lvlOverride>
    <w:lvlOverride w:ilvl="5">
      <w:startOverride w:val="1"/>
      <w:lvl w:ilvl="5" w:tentative="1">
        <w:start w:val="1"/>
        <w:numFmt w:val="decimal"/>
        <w:suff w:val="nothing"/>
        <w:lvlText w:val="（%6）"/>
        <w:lvlJc w:val="left"/>
        <w:pPr>
          <w:ind w:left="0" w:firstLine="0"/>
        </w:pPr>
        <w:rPr>
          <w:rFonts w:hint="default" w:ascii="Times New Roman" w:hAnsi="Times New Roman" w:eastAsia="仿宋_GB2312"/>
          <w:b/>
          <w:i w:val="0"/>
          <w:sz w:val="32"/>
        </w:rPr>
      </w:lvl>
    </w:lvlOverride>
    <w:lvlOverride w:ilvl="6">
      <w:startOverride w:val="1"/>
      <w:lvl w:ilvl="6" w:tentative="1">
        <w:start w:val="1"/>
        <w:numFmt w:val="decimal"/>
        <w:lvlText w:val="%7."/>
        <w:lvlJc w:val="left"/>
        <w:pPr>
          <w:ind w:left="3140" w:hanging="420"/>
        </w:pPr>
        <w:rPr>
          <w:rFonts w:hint="eastAsia"/>
        </w:rPr>
      </w:lvl>
    </w:lvlOverride>
    <w:lvlOverride w:ilvl="7">
      <w:startOverride w:val="1"/>
      <w:lvl w:ilvl="7" w:tentative="1">
        <w:start w:val="1"/>
        <w:numFmt w:val="decimal"/>
        <w:lvlRestart w:val="1"/>
        <w:isLgl/>
        <w:suff w:val="space"/>
        <w:lvlText w:val="表%1-%8"/>
        <w:lvlJc w:val="left"/>
        <w:pPr>
          <w:ind w:left="0" w:firstLine="0"/>
        </w:pPr>
        <w:rPr>
          <w:rFonts w:hint="eastAsia"/>
        </w:rPr>
      </w:lvl>
    </w:lvlOverride>
    <w:lvlOverride w:ilvl="8">
      <w:startOverride w:val="1"/>
      <w:lvl w:ilvl="8" w:tentative="1">
        <w:start w:val="1"/>
        <w:numFmt w:val="decimal"/>
        <w:lvlRestart w:val="1"/>
        <w:isLgl/>
        <w:suff w:val="space"/>
        <w:lvlText w:val="图%1-%9"/>
        <w:lvlJc w:val="left"/>
        <w:pPr>
          <w:ind w:left="0" w:firstLine="0"/>
        </w:pPr>
        <w:rPr>
          <w:rFonts w:hint="eastAsia"/>
        </w:rPr>
      </w:lvl>
    </w:lvlOverride>
  </w:num>
  <w:num w:numId="6">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 w:ilvl="0" w:tentative="1">
        <w:start w:val="1"/>
        <w:numFmt w:val="chineseCountingThousand"/>
        <w:suff w:val="space"/>
        <w:lvlText w:val="第%1章"/>
        <w:lvlJc w:val="center"/>
        <w:pPr>
          <w:ind w:left="0" w:firstLine="0"/>
        </w:pPr>
        <w:rPr>
          <w:rFonts w:hint="default" w:ascii="Times New Roman" w:hAnsi="Times New Roman" w:eastAsia="黑体"/>
          <w:b/>
          <w:i w:val="0"/>
          <w:caps w:val="0"/>
          <w:strike w:val="0"/>
          <w:dstrike w:val="0"/>
          <w:vanish w:val="0"/>
          <w:color w:val="auto"/>
          <w:sz w:val="36"/>
          <w:vertAlign w:val="baseline"/>
        </w:rPr>
      </w:lvl>
    </w:lvlOverride>
    <w:lvlOverride w:ilvl="1">
      <w:lvl w:ilvl="1" w:tentative="1">
        <w:start w:val="1"/>
        <w:numFmt w:val="chineseCountingThousand"/>
        <w:suff w:val="space"/>
        <w:lvlText w:val="第%2节"/>
        <w:lvlJc w:val="left"/>
        <w:pPr>
          <w:ind w:left="0" w:firstLine="0"/>
        </w:pPr>
        <w:rPr>
          <w:rFonts w:hint="default" w:ascii="Times New Roman" w:hAnsi="Times New Roman" w:eastAsia="楷体_GB2312"/>
          <w:b/>
          <w:i w:val="0"/>
          <w:sz w:val="32"/>
        </w:rPr>
      </w:lvl>
    </w:lvlOverride>
    <w:lvlOverride w:ilvl="2">
      <w:lvl w:ilvl="2" w:tentative="1">
        <w:start w:val="1"/>
        <w:numFmt w:val="chineseCountingThousand"/>
        <w:suff w:val="nothing"/>
        <w:lvlText w:val="%3、"/>
        <w:lvlJc w:val="left"/>
        <w:pPr>
          <w:ind w:left="1701" w:firstLine="0"/>
        </w:pPr>
        <w:rPr>
          <w:rFonts w:hint="default" w:ascii="Times New Roman" w:hAnsi="Times New Roman" w:eastAsia="仿宋_GB2312"/>
          <w:b/>
          <w:bCs w:val="0"/>
          <w:i w:val="0"/>
          <w:sz w:val="32"/>
          <w:lang w:val="en-US"/>
        </w:rPr>
      </w:lvl>
    </w:lvlOverride>
    <w:lvlOverride w:ilvl="3">
      <w:lvl w:ilvl="3" w:tentative="1">
        <w:start w:val="1"/>
        <w:numFmt w:val="chineseCountingThousand"/>
        <w:suff w:val="nothing"/>
        <w:lvlText w:val="（%4）"/>
        <w:lvlJc w:val="left"/>
        <w:pPr>
          <w:ind w:left="0" w:firstLine="0"/>
        </w:pPr>
        <w:rPr>
          <w:rFonts w:hint="default" w:ascii="Times New Roman" w:hAnsi="Times New Roman" w:eastAsia="仿宋_GB2312"/>
          <w:b/>
          <w:i w:val="0"/>
          <w:sz w:val="32"/>
        </w:rPr>
      </w:lvl>
    </w:lvlOverride>
    <w:lvlOverride w:ilvl="4">
      <w:lvl w:ilvl="4" w:tentative="1">
        <w:start w:val="1"/>
        <w:numFmt w:val="decimal"/>
        <w:suff w:val="nothing"/>
        <w:lvlText w:val="%5."/>
        <w:lvlJc w:val="left"/>
        <w:pPr>
          <w:ind w:left="0" w:firstLine="0"/>
        </w:pPr>
        <w:rPr>
          <w:rFonts w:hint="default" w:ascii="Times New Roman" w:hAnsi="Times New Roman" w:eastAsia="仿宋_GB2312"/>
          <w:b/>
          <w:i w:val="0"/>
          <w:sz w:val="32"/>
        </w:rPr>
      </w:lvl>
    </w:lvlOverride>
    <w:lvlOverride w:ilvl="5">
      <w:lvl w:ilvl="5" w:tentative="1">
        <w:start w:val="1"/>
        <w:numFmt w:val="decimal"/>
        <w:suff w:val="nothing"/>
        <w:lvlText w:val="（%6）"/>
        <w:lvlJc w:val="left"/>
        <w:pPr>
          <w:ind w:left="0" w:firstLine="0"/>
        </w:pPr>
        <w:rPr>
          <w:rFonts w:hint="default" w:ascii="Times New Roman" w:hAnsi="Times New Roman" w:eastAsia="仿宋_GB2312"/>
          <w:b/>
          <w:i w:val="0"/>
          <w:sz w:val="32"/>
        </w:rPr>
      </w:lvl>
    </w:lvlOverride>
    <w:lvlOverride w:ilvl="6">
      <w:lvl w:ilvl="6" w:tentative="1">
        <w:start w:val="1"/>
        <w:numFmt w:val="decimal"/>
        <w:lvlText w:val="%7."/>
        <w:lvlJc w:val="left"/>
        <w:pPr>
          <w:ind w:left="3140" w:hanging="420"/>
        </w:pPr>
        <w:rPr>
          <w:rFonts w:hint="eastAsia"/>
        </w:rPr>
      </w:lvl>
    </w:lvlOverride>
    <w:lvlOverride w:ilvl="7">
      <w:lvl w:ilvl="7" w:tentative="1">
        <w:start w:val="1"/>
        <w:numFmt w:val="decimal"/>
        <w:lvlRestart w:val="1"/>
        <w:isLgl/>
        <w:suff w:val="space"/>
        <w:lvlText w:val="表%1-%8"/>
        <w:lvlJc w:val="left"/>
        <w:pPr>
          <w:ind w:left="0" w:firstLine="0"/>
        </w:pPr>
        <w:rPr>
          <w:rFonts w:hint="eastAsia"/>
        </w:rPr>
      </w:lvl>
    </w:lvlOverride>
    <w:lvlOverride w:ilvl="8">
      <w:lvl w:ilvl="8" w:tentative="1">
        <w:start w:val="1"/>
        <w:numFmt w:val="decimal"/>
        <w:lvlRestart w:val="1"/>
        <w:isLgl/>
        <w:suff w:val="space"/>
        <w:lvlText w:val="图%1-%9"/>
        <w:lvlJc w:val="left"/>
        <w:pPr>
          <w:ind w:left="0" w:firstLine="0"/>
        </w:pPr>
        <w:rPr>
          <w:rFonts w:hint="eastAsia"/>
        </w:rPr>
      </w:lvl>
    </w:lvlOverride>
  </w:num>
  <w:num w:numId="8">
    <w:abstractNumId w:val="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160"/>
  <w:drawingGridHorizontalSpacing w:val="160"/>
  <w:drawingGridVerticalSpacing w:val="435"/>
  <w:displayHorizontalDrawingGridEvery w:val="1"/>
  <w:displayVerticalDrawingGridEvery w:val="1"/>
  <w:noPunctuationKerning w:val="1"/>
  <w:characterSpacingControl w:val="compressPunctuation"/>
  <w:footnotePr>
    <w:footnote w:id="40"/>
    <w:footnote w:id="4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g0YzQ4ZDliYTZlN2IwOWQ1ZjU4YThhOTZlNGM1MGUifQ=="/>
    <w:docVar w:name="KSO_WPS_MARK_KEY" w:val="032dcd84-ec94-4bd6-9861-1c264fc4c3c5"/>
  </w:docVars>
  <w:rsids>
    <w:rsidRoot w:val="00D80E4B"/>
    <w:rsid w:val="00003565"/>
    <w:rsid w:val="000046C1"/>
    <w:rsid w:val="00005ECE"/>
    <w:rsid w:val="00014E6E"/>
    <w:rsid w:val="0001512D"/>
    <w:rsid w:val="0001631B"/>
    <w:rsid w:val="00022DB9"/>
    <w:rsid w:val="00023422"/>
    <w:rsid w:val="000310C5"/>
    <w:rsid w:val="00033CBE"/>
    <w:rsid w:val="00034564"/>
    <w:rsid w:val="00037FC2"/>
    <w:rsid w:val="0004281D"/>
    <w:rsid w:val="000458B7"/>
    <w:rsid w:val="00051035"/>
    <w:rsid w:val="00057E58"/>
    <w:rsid w:val="000603C7"/>
    <w:rsid w:val="000628B5"/>
    <w:rsid w:val="00070971"/>
    <w:rsid w:val="00071A3D"/>
    <w:rsid w:val="000725C1"/>
    <w:rsid w:val="00074654"/>
    <w:rsid w:val="00075C5D"/>
    <w:rsid w:val="000829CA"/>
    <w:rsid w:val="00090915"/>
    <w:rsid w:val="0009583F"/>
    <w:rsid w:val="000A3A32"/>
    <w:rsid w:val="000B0DD5"/>
    <w:rsid w:val="000B592F"/>
    <w:rsid w:val="000C4B29"/>
    <w:rsid w:val="000D05BE"/>
    <w:rsid w:val="000D0B0F"/>
    <w:rsid w:val="000D4161"/>
    <w:rsid w:val="000D47C0"/>
    <w:rsid w:val="000E3C27"/>
    <w:rsid w:val="000F13B9"/>
    <w:rsid w:val="000F20AC"/>
    <w:rsid w:val="000F615F"/>
    <w:rsid w:val="0010053B"/>
    <w:rsid w:val="00100A29"/>
    <w:rsid w:val="001010A7"/>
    <w:rsid w:val="0010153F"/>
    <w:rsid w:val="00105ADC"/>
    <w:rsid w:val="00105E1C"/>
    <w:rsid w:val="001071DC"/>
    <w:rsid w:val="00110899"/>
    <w:rsid w:val="00112A32"/>
    <w:rsid w:val="001225C4"/>
    <w:rsid w:val="00123A36"/>
    <w:rsid w:val="00123B77"/>
    <w:rsid w:val="00124FA4"/>
    <w:rsid w:val="001315B0"/>
    <w:rsid w:val="001348BD"/>
    <w:rsid w:val="00135145"/>
    <w:rsid w:val="00140FEC"/>
    <w:rsid w:val="0014120B"/>
    <w:rsid w:val="001434AB"/>
    <w:rsid w:val="0014431F"/>
    <w:rsid w:val="001465BD"/>
    <w:rsid w:val="001473BC"/>
    <w:rsid w:val="00147B0C"/>
    <w:rsid w:val="00150989"/>
    <w:rsid w:val="001513D4"/>
    <w:rsid w:val="00155DEA"/>
    <w:rsid w:val="00156A61"/>
    <w:rsid w:val="0016453A"/>
    <w:rsid w:val="001656E5"/>
    <w:rsid w:val="00165BE1"/>
    <w:rsid w:val="001674F3"/>
    <w:rsid w:val="00167FC9"/>
    <w:rsid w:val="00171CD4"/>
    <w:rsid w:val="00177CBC"/>
    <w:rsid w:val="00182B17"/>
    <w:rsid w:val="00183A55"/>
    <w:rsid w:val="00186B3A"/>
    <w:rsid w:val="001871B2"/>
    <w:rsid w:val="00187A11"/>
    <w:rsid w:val="0019038F"/>
    <w:rsid w:val="00194BFC"/>
    <w:rsid w:val="001A12A4"/>
    <w:rsid w:val="001A17FB"/>
    <w:rsid w:val="001A46CD"/>
    <w:rsid w:val="001A530B"/>
    <w:rsid w:val="001A53AA"/>
    <w:rsid w:val="001B00F6"/>
    <w:rsid w:val="001B033A"/>
    <w:rsid w:val="001B2CF8"/>
    <w:rsid w:val="001B4B79"/>
    <w:rsid w:val="001B621F"/>
    <w:rsid w:val="001B652B"/>
    <w:rsid w:val="001C3445"/>
    <w:rsid w:val="001D063F"/>
    <w:rsid w:val="001D094D"/>
    <w:rsid w:val="001D23C1"/>
    <w:rsid w:val="001D2F06"/>
    <w:rsid w:val="001D77B3"/>
    <w:rsid w:val="001E137C"/>
    <w:rsid w:val="001E1A4C"/>
    <w:rsid w:val="001F0B63"/>
    <w:rsid w:val="001F0C67"/>
    <w:rsid w:val="001F3A89"/>
    <w:rsid w:val="001F3AF6"/>
    <w:rsid w:val="001F6BB0"/>
    <w:rsid w:val="001F717F"/>
    <w:rsid w:val="00202100"/>
    <w:rsid w:val="00203113"/>
    <w:rsid w:val="002074FC"/>
    <w:rsid w:val="002077F6"/>
    <w:rsid w:val="002078F0"/>
    <w:rsid w:val="00207F2F"/>
    <w:rsid w:val="00217CBA"/>
    <w:rsid w:val="00220ED5"/>
    <w:rsid w:val="00222CD1"/>
    <w:rsid w:val="0022610B"/>
    <w:rsid w:val="00230ECF"/>
    <w:rsid w:val="0023292C"/>
    <w:rsid w:val="00233840"/>
    <w:rsid w:val="0024171F"/>
    <w:rsid w:val="0024198B"/>
    <w:rsid w:val="00243C26"/>
    <w:rsid w:val="002504F2"/>
    <w:rsid w:val="0025640C"/>
    <w:rsid w:val="002574AB"/>
    <w:rsid w:val="00257679"/>
    <w:rsid w:val="00257EE8"/>
    <w:rsid w:val="002601C2"/>
    <w:rsid w:val="00263089"/>
    <w:rsid w:val="002637E6"/>
    <w:rsid w:val="00265192"/>
    <w:rsid w:val="00272672"/>
    <w:rsid w:val="0027579C"/>
    <w:rsid w:val="00275970"/>
    <w:rsid w:val="00276557"/>
    <w:rsid w:val="0028037F"/>
    <w:rsid w:val="00281AC3"/>
    <w:rsid w:val="0028363B"/>
    <w:rsid w:val="0028685E"/>
    <w:rsid w:val="00290018"/>
    <w:rsid w:val="00292522"/>
    <w:rsid w:val="002949F4"/>
    <w:rsid w:val="00294C0E"/>
    <w:rsid w:val="002A1368"/>
    <w:rsid w:val="002A1F0E"/>
    <w:rsid w:val="002A4904"/>
    <w:rsid w:val="002A4FD8"/>
    <w:rsid w:val="002B153A"/>
    <w:rsid w:val="002B1E35"/>
    <w:rsid w:val="002B3849"/>
    <w:rsid w:val="002B550C"/>
    <w:rsid w:val="002C0E5A"/>
    <w:rsid w:val="002C2EA2"/>
    <w:rsid w:val="002C4F3C"/>
    <w:rsid w:val="002C5974"/>
    <w:rsid w:val="002C7FA1"/>
    <w:rsid w:val="002D4BB0"/>
    <w:rsid w:val="002E0DEF"/>
    <w:rsid w:val="002E56B6"/>
    <w:rsid w:val="002E5E45"/>
    <w:rsid w:val="002E7F9C"/>
    <w:rsid w:val="002F0437"/>
    <w:rsid w:val="002F1478"/>
    <w:rsid w:val="002F6E22"/>
    <w:rsid w:val="00301A25"/>
    <w:rsid w:val="00303664"/>
    <w:rsid w:val="003037D6"/>
    <w:rsid w:val="003057A9"/>
    <w:rsid w:val="00305CCC"/>
    <w:rsid w:val="00306780"/>
    <w:rsid w:val="00312F8A"/>
    <w:rsid w:val="0031637A"/>
    <w:rsid w:val="00317648"/>
    <w:rsid w:val="00320E2B"/>
    <w:rsid w:val="003214F0"/>
    <w:rsid w:val="00321EBE"/>
    <w:rsid w:val="00322AF7"/>
    <w:rsid w:val="00326BAC"/>
    <w:rsid w:val="00330A2C"/>
    <w:rsid w:val="00335ACF"/>
    <w:rsid w:val="0034143F"/>
    <w:rsid w:val="00353B5C"/>
    <w:rsid w:val="00355E54"/>
    <w:rsid w:val="00364E99"/>
    <w:rsid w:val="0036677D"/>
    <w:rsid w:val="00372D28"/>
    <w:rsid w:val="0037504E"/>
    <w:rsid w:val="00377F53"/>
    <w:rsid w:val="00381014"/>
    <w:rsid w:val="0038571C"/>
    <w:rsid w:val="00386199"/>
    <w:rsid w:val="0039349B"/>
    <w:rsid w:val="00396A4F"/>
    <w:rsid w:val="00396CF3"/>
    <w:rsid w:val="003974EB"/>
    <w:rsid w:val="003A40C4"/>
    <w:rsid w:val="003A4F6F"/>
    <w:rsid w:val="003A5C55"/>
    <w:rsid w:val="003A6075"/>
    <w:rsid w:val="003A6CEF"/>
    <w:rsid w:val="003B1304"/>
    <w:rsid w:val="003B15D3"/>
    <w:rsid w:val="003B1F59"/>
    <w:rsid w:val="003B434B"/>
    <w:rsid w:val="003C26A8"/>
    <w:rsid w:val="003C5EED"/>
    <w:rsid w:val="003C739F"/>
    <w:rsid w:val="003D49E2"/>
    <w:rsid w:val="003E5A20"/>
    <w:rsid w:val="003F10E7"/>
    <w:rsid w:val="003F1184"/>
    <w:rsid w:val="003F752A"/>
    <w:rsid w:val="00404018"/>
    <w:rsid w:val="004043B7"/>
    <w:rsid w:val="004045E9"/>
    <w:rsid w:val="00412291"/>
    <w:rsid w:val="0041446F"/>
    <w:rsid w:val="00423099"/>
    <w:rsid w:val="004253CE"/>
    <w:rsid w:val="00425B9C"/>
    <w:rsid w:val="00426BBF"/>
    <w:rsid w:val="00433063"/>
    <w:rsid w:val="00445FE7"/>
    <w:rsid w:val="00446572"/>
    <w:rsid w:val="0045188D"/>
    <w:rsid w:val="00451AB0"/>
    <w:rsid w:val="00452CD6"/>
    <w:rsid w:val="00454993"/>
    <w:rsid w:val="0045514B"/>
    <w:rsid w:val="004607F2"/>
    <w:rsid w:val="0046303C"/>
    <w:rsid w:val="00472339"/>
    <w:rsid w:val="0047325C"/>
    <w:rsid w:val="00475DA7"/>
    <w:rsid w:val="00477C33"/>
    <w:rsid w:val="00480CDC"/>
    <w:rsid w:val="00487CF7"/>
    <w:rsid w:val="00494287"/>
    <w:rsid w:val="00495FC7"/>
    <w:rsid w:val="004A05DA"/>
    <w:rsid w:val="004A2EEB"/>
    <w:rsid w:val="004A2F22"/>
    <w:rsid w:val="004A4E12"/>
    <w:rsid w:val="004A682E"/>
    <w:rsid w:val="004B18BB"/>
    <w:rsid w:val="004B2E2A"/>
    <w:rsid w:val="004B5E65"/>
    <w:rsid w:val="004C343D"/>
    <w:rsid w:val="004C3EB5"/>
    <w:rsid w:val="004C45A3"/>
    <w:rsid w:val="004D5060"/>
    <w:rsid w:val="004D6C6D"/>
    <w:rsid w:val="004D7224"/>
    <w:rsid w:val="004E148E"/>
    <w:rsid w:val="004E49B4"/>
    <w:rsid w:val="004E5FD8"/>
    <w:rsid w:val="004F3B97"/>
    <w:rsid w:val="004F6CC8"/>
    <w:rsid w:val="004F6EDB"/>
    <w:rsid w:val="00502048"/>
    <w:rsid w:val="005040DD"/>
    <w:rsid w:val="00510280"/>
    <w:rsid w:val="00510C9B"/>
    <w:rsid w:val="00515042"/>
    <w:rsid w:val="00522940"/>
    <w:rsid w:val="00522D31"/>
    <w:rsid w:val="005259CE"/>
    <w:rsid w:val="0053027E"/>
    <w:rsid w:val="00533103"/>
    <w:rsid w:val="00533D1A"/>
    <w:rsid w:val="00534BC8"/>
    <w:rsid w:val="00535778"/>
    <w:rsid w:val="00535BFD"/>
    <w:rsid w:val="00536A31"/>
    <w:rsid w:val="00543B32"/>
    <w:rsid w:val="0054775D"/>
    <w:rsid w:val="00553567"/>
    <w:rsid w:val="00554187"/>
    <w:rsid w:val="00554F6D"/>
    <w:rsid w:val="0055674A"/>
    <w:rsid w:val="0055798B"/>
    <w:rsid w:val="00557B2F"/>
    <w:rsid w:val="00560120"/>
    <w:rsid w:val="0056268B"/>
    <w:rsid w:val="0056273E"/>
    <w:rsid w:val="005654A2"/>
    <w:rsid w:val="0056630F"/>
    <w:rsid w:val="0056721F"/>
    <w:rsid w:val="0057427A"/>
    <w:rsid w:val="00577DB9"/>
    <w:rsid w:val="0058416A"/>
    <w:rsid w:val="005872CD"/>
    <w:rsid w:val="00590805"/>
    <w:rsid w:val="0059692A"/>
    <w:rsid w:val="00596D4B"/>
    <w:rsid w:val="005A4FAD"/>
    <w:rsid w:val="005A6376"/>
    <w:rsid w:val="005A6A11"/>
    <w:rsid w:val="005B7207"/>
    <w:rsid w:val="005B7778"/>
    <w:rsid w:val="005C0A98"/>
    <w:rsid w:val="005C4C29"/>
    <w:rsid w:val="005C6195"/>
    <w:rsid w:val="005D2865"/>
    <w:rsid w:val="005D5434"/>
    <w:rsid w:val="005D7BF7"/>
    <w:rsid w:val="005E493E"/>
    <w:rsid w:val="005E7EB9"/>
    <w:rsid w:val="005F6ACD"/>
    <w:rsid w:val="00600C65"/>
    <w:rsid w:val="00601FF3"/>
    <w:rsid w:val="0060202B"/>
    <w:rsid w:val="0061207A"/>
    <w:rsid w:val="0061332A"/>
    <w:rsid w:val="00614E7D"/>
    <w:rsid w:val="00617557"/>
    <w:rsid w:val="006179C0"/>
    <w:rsid w:val="006206BA"/>
    <w:rsid w:val="006230E7"/>
    <w:rsid w:val="00623CD0"/>
    <w:rsid w:val="00624122"/>
    <w:rsid w:val="0062518C"/>
    <w:rsid w:val="00630BD9"/>
    <w:rsid w:val="00632177"/>
    <w:rsid w:val="006347BA"/>
    <w:rsid w:val="006371BE"/>
    <w:rsid w:val="006371F7"/>
    <w:rsid w:val="006431B7"/>
    <w:rsid w:val="00647536"/>
    <w:rsid w:val="00650E0F"/>
    <w:rsid w:val="00650F4B"/>
    <w:rsid w:val="00654116"/>
    <w:rsid w:val="006567AF"/>
    <w:rsid w:val="00661A8C"/>
    <w:rsid w:val="00666600"/>
    <w:rsid w:val="00670BBA"/>
    <w:rsid w:val="00671E9B"/>
    <w:rsid w:val="0067382F"/>
    <w:rsid w:val="00674975"/>
    <w:rsid w:val="00675548"/>
    <w:rsid w:val="00677DAA"/>
    <w:rsid w:val="00681A06"/>
    <w:rsid w:val="00683EFB"/>
    <w:rsid w:val="006846B5"/>
    <w:rsid w:val="00691ABD"/>
    <w:rsid w:val="00692EC7"/>
    <w:rsid w:val="00693446"/>
    <w:rsid w:val="006944A0"/>
    <w:rsid w:val="00696D92"/>
    <w:rsid w:val="006A3D91"/>
    <w:rsid w:val="006A5A7A"/>
    <w:rsid w:val="006B49B9"/>
    <w:rsid w:val="006B6712"/>
    <w:rsid w:val="006C0C4B"/>
    <w:rsid w:val="006C4419"/>
    <w:rsid w:val="006C74C7"/>
    <w:rsid w:val="006C7D36"/>
    <w:rsid w:val="006D033A"/>
    <w:rsid w:val="006D0720"/>
    <w:rsid w:val="006D4F01"/>
    <w:rsid w:val="006D6F81"/>
    <w:rsid w:val="006E221E"/>
    <w:rsid w:val="006E5523"/>
    <w:rsid w:val="006E6993"/>
    <w:rsid w:val="006F1612"/>
    <w:rsid w:val="006F2725"/>
    <w:rsid w:val="006F6CF3"/>
    <w:rsid w:val="00701307"/>
    <w:rsid w:val="00702B38"/>
    <w:rsid w:val="007053C8"/>
    <w:rsid w:val="0070708A"/>
    <w:rsid w:val="007130AD"/>
    <w:rsid w:val="0071678C"/>
    <w:rsid w:val="00721CA6"/>
    <w:rsid w:val="00727B4C"/>
    <w:rsid w:val="0073457A"/>
    <w:rsid w:val="00736248"/>
    <w:rsid w:val="007500D7"/>
    <w:rsid w:val="00750B74"/>
    <w:rsid w:val="007511B5"/>
    <w:rsid w:val="0075435E"/>
    <w:rsid w:val="0076008C"/>
    <w:rsid w:val="007602F7"/>
    <w:rsid w:val="00763ED4"/>
    <w:rsid w:val="007640DD"/>
    <w:rsid w:val="00764781"/>
    <w:rsid w:val="00772562"/>
    <w:rsid w:val="00776377"/>
    <w:rsid w:val="007805C7"/>
    <w:rsid w:val="00780ACD"/>
    <w:rsid w:val="00780D26"/>
    <w:rsid w:val="00785999"/>
    <w:rsid w:val="00787E94"/>
    <w:rsid w:val="0079048C"/>
    <w:rsid w:val="007972F4"/>
    <w:rsid w:val="007A5AA9"/>
    <w:rsid w:val="007B3D4D"/>
    <w:rsid w:val="007B3F85"/>
    <w:rsid w:val="007C0617"/>
    <w:rsid w:val="007C08F0"/>
    <w:rsid w:val="007C6C66"/>
    <w:rsid w:val="007D034F"/>
    <w:rsid w:val="007D0F63"/>
    <w:rsid w:val="007E65B9"/>
    <w:rsid w:val="007E7F78"/>
    <w:rsid w:val="007F6A92"/>
    <w:rsid w:val="00800D64"/>
    <w:rsid w:val="00802610"/>
    <w:rsid w:val="008038BE"/>
    <w:rsid w:val="00804F69"/>
    <w:rsid w:val="00807009"/>
    <w:rsid w:val="008148E4"/>
    <w:rsid w:val="00815C8D"/>
    <w:rsid w:val="0081616E"/>
    <w:rsid w:val="00820AD8"/>
    <w:rsid w:val="00820DB2"/>
    <w:rsid w:val="008243DA"/>
    <w:rsid w:val="008251BF"/>
    <w:rsid w:val="0082531F"/>
    <w:rsid w:val="008264D2"/>
    <w:rsid w:val="00830754"/>
    <w:rsid w:val="00831ACB"/>
    <w:rsid w:val="00834B30"/>
    <w:rsid w:val="008416B9"/>
    <w:rsid w:val="0084183F"/>
    <w:rsid w:val="00841D8C"/>
    <w:rsid w:val="00845566"/>
    <w:rsid w:val="0085097C"/>
    <w:rsid w:val="008550AC"/>
    <w:rsid w:val="00860093"/>
    <w:rsid w:val="008723AE"/>
    <w:rsid w:val="0087418C"/>
    <w:rsid w:val="00877612"/>
    <w:rsid w:val="00880ABA"/>
    <w:rsid w:val="00880BDC"/>
    <w:rsid w:val="00881544"/>
    <w:rsid w:val="0088362C"/>
    <w:rsid w:val="008859E5"/>
    <w:rsid w:val="008860BE"/>
    <w:rsid w:val="00887E27"/>
    <w:rsid w:val="00891C6B"/>
    <w:rsid w:val="00894400"/>
    <w:rsid w:val="00894ABB"/>
    <w:rsid w:val="00896524"/>
    <w:rsid w:val="008A3CAB"/>
    <w:rsid w:val="008A3D63"/>
    <w:rsid w:val="008A43D5"/>
    <w:rsid w:val="008A6C8D"/>
    <w:rsid w:val="008B06C0"/>
    <w:rsid w:val="008B16D9"/>
    <w:rsid w:val="008B43BB"/>
    <w:rsid w:val="008B4803"/>
    <w:rsid w:val="008B7F07"/>
    <w:rsid w:val="008C46E1"/>
    <w:rsid w:val="008C472B"/>
    <w:rsid w:val="008C4799"/>
    <w:rsid w:val="008C552F"/>
    <w:rsid w:val="008C6AC3"/>
    <w:rsid w:val="008C6BAB"/>
    <w:rsid w:val="008C6D78"/>
    <w:rsid w:val="008D05A8"/>
    <w:rsid w:val="008D0D73"/>
    <w:rsid w:val="008D2126"/>
    <w:rsid w:val="008D395F"/>
    <w:rsid w:val="008E3776"/>
    <w:rsid w:val="008E3FE2"/>
    <w:rsid w:val="008E73CF"/>
    <w:rsid w:val="008F1BC8"/>
    <w:rsid w:val="009036BB"/>
    <w:rsid w:val="0090502F"/>
    <w:rsid w:val="00912A44"/>
    <w:rsid w:val="00913107"/>
    <w:rsid w:val="00913E89"/>
    <w:rsid w:val="00917A98"/>
    <w:rsid w:val="00923272"/>
    <w:rsid w:val="009251B1"/>
    <w:rsid w:val="00925305"/>
    <w:rsid w:val="00925F27"/>
    <w:rsid w:val="00927D89"/>
    <w:rsid w:val="009308C4"/>
    <w:rsid w:val="009372BF"/>
    <w:rsid w:val="0094005C"/>
    <w:rsid w:val="009406BF"/>
    <w:rsid w:val="00950F66"/>
    <w:rsid w:val="00955CE3"/>
    <w:rsid w:val="00961321"/>
    <w:rsid w:val="009613E8"/>
    <w:rsid w:val="00961C13"/>
    <w:rsid w:val="009655D6"/>
    <w:rsid w:val="0096715A"/>
    <w:rsid w:val="009706C3"/>
    <w:rsid w:val="00972E08"/>
    <w:rsid w:val="00975713"/>
    <w:rsid w:val="009766F2"/>
    <w:rsid w:val="00981849"/>
    <w:rsid w:val="00982DFB"/>
    <w:rsid w:val="00984705"/>
    <w:rsid w:val="009847AB"/>
    <w:rsid w:val="00984F8B"/>
    <w:rsid w:val="00995FF0"/>
    <w:rsid w:val="00996FAE"/>
    <w:rsid w:val="0099732D"/>
    <w:rsid w:val="00997E68"/>
    <w:rsid w:val="009A3929"/>
    <w:rsid w:val="009A415F"/>
    <w:rsid w:val="009B020E"/>
    <w:rsid w:val="009B0A79"/>
    <w:rsid w:val="009B5E4A"/>
    <w:rsid w:val="009B6013"/>
    <w:rsid w:val="009B7ADA"/>
    <w:rsid w:val="009B7AF2"/>
    <w:rsid w:val="009D29EB"/>
    <w:rsid w:val="009D6CDF"/>
    <w:rsid w:val="009E0E6A"/>
    <w:rsid w:val="009E2E99"/>
    <w:rsid w:val="009E7677"/>
    <w:rsid w:val="009F0EE1"/>
    <w:rsid w:val="009F381C"/>
    <w:rsid w:val="009F3A92"/>
    <w:rsid w:val="009F6D59"/>
    <w:rsid w:val="00A0313F"/>
    <w:rsid w:val="00A07F42"/>
    <w:rsid w:val="00A1044B"/>
    <w:rsid w:val="00A1410F"/>
    <w:rsid w:val="00A15B8F"/>
    <w:rsid w:val="00A162EA"/>
    <w:rsid w:val="00A17245"/>
    <w:rsid w:val="00A2087F"/>
    <w:rsid w:val="00A24615"/>
    <w:rsid w:val="00A264EB"/>
    <w:rsid w:val="00A35E81"/>
    <w:rsid w:val="00A4682B"/>
    <w:rsid w:val="00A46FA9"/>
    <w:rsid w:val="00A46FCF"/>
    <w:rsid w:val="00A54A86"/>
    <w:rsid w:val="00A5710A"/>
    <w:rsid w:val="00A6003A"/>
    <w:rsid w:val="00A6244B"/>
    <w:rsid w:val="00A65ABD"/>
    <w:rsid w:val="00A65C97"/>
    <w:rsid w:val="00A6784A"/>
    <w:rsid w:val="00A72C26"/>
    <w:rsid w:val="00A72E4E"/>
    <w:rsid w:val="00A74EBD"/>
    <w:rsid w:val="00A75F68"/>
    <w:rsid w:val="00A760C1"/>
    <w:rsid w:val="00A81425"/>
    <w:rsid w:val="00A81BB7"/>
    <w:rsid w:val="00A86F0F"/>
    <w:rsid w:val="00A87D3F"/>
    <w:rsid w:val="00A97A71"/>
    <w:rsid w:val="00AA1CB1"/>
    <w:rsid w:val="00AA2C19"/>
    <w:rsid w:val="00AA677F"/>
    <w:rsid w:val="00AB2820"/>
    <w:rsid w:val="00AB603B"/>
    <w:rsid w:val="00AC4665"/>
    <w:rsid w:val="00AD0B84"/>
    <w:rsid w:val="00AD10F8"/>
    <w:rsid w:val="00AD1D9E"/>
    <w:rsid w:val="00AD482C"/>
    <w:rsid w:val="00AD57B7"/>
    <w:rsid w:val="00AD62F1"/>
    <w:rsid w:val="00AE1712"/>
    <w:rsid w:val="00AE379E"/>
    <w:rsid w:val="00AE3CAF"/>
    <w:rsid w:val="00AF40E9"/>
    <w:rsid w:val="00AF785B"/>
    <w:rsid w:val="00B0517F"/>
    <w:rsid w:val="00B07D2C"/>
    <w:rsid w:val="00B10D4F"/>
    <w:rsid w:val="00B14010"/>
    <w:rsid w:val="00B17A45"/>
    <w:rsid w:val="00B211F7"/>
    <w:rsid w:val="00B22911"/>
    <w:rsid w:val="00B267DB"/>
    <w:rsid w:val="00B27D0F"/>
    <w:rsid w:val="00B37839"/>
    <w:rsid w:val="00B4324E"/>
    <w:rsid w:val="00B435AD"/>
    <w:rsid w:val="00B444B6"/>
    <w:rsid w:val="00B448ED"/>
    <w:rsid w:val="00B4783F"/>
    <w:rsid w:val="00B50C09"/>
    <w:rsid w:val="00B61093"/>
    <w:rsid w:val="00B613E8"/>
    <w:rsid w:val="00B64062"/>
    <w:rsid w:val="00B660D4"/>
    <w:rsid w:val="00B6671F"/>
    <w:rsid w:val="00B716AF"/>
    <w:rsid w:val="00B7599C"/>
    <w:rsid w:val="00B7634D"/>
    <w:rsid w:val="00B76BCF"/>
    <w:rsid w:val="00B84FC7"/>
    <w:rsid w:val="00B90244"/>
    <w:rsid w:val="00B9266D"/>
    <w:rsid w:val="00BA106B"/>
    <w:rsid w:val="00BB0BFF"/>
    <w:rsid w:val="00BB62EB"/>
    <w:rsid w:val="00BB7139"/>
    <w:rsid w:val="00BC54BE"/>
    <w:rsid w:val="00BD29F9"/>
    <w:rsid w:val="00BD3000"/>
    <w:rsid w:val="00BD52C0"/>
    <w:rsid w:val="00BD53DA"/>
    <w:rsid w:val="00BD5A1A"/>
    <w:rsid w:val="00BE7072"/>
    <w:rsid w:val="00BF4ACA"/>
    <w:rsid w:val="00BF58B2"/>
    <w:rsid w:val="00BF708F"/>
    <w:rsid w:val="00BF76B0"/>
    <w:rsid w:val="00BF7EC4"/>
    <w:rsid w:val="00C02AA7"/>
    <w:rsid w:val="00C0581D"/>
    <w:rsid w:val="00C12281"/>
    <w:rsid w:val="00C16164"/>
    <w:rsid w:val="00C21484"/>
    <w:rsid w:val="00C27596"/>
    <w:rsid w:val="00C27DD4"/>
    <w:rsid w:val="00C30F30"/>
    <w:rsid w:val="00C34DBB"/>
    <w:rsid w:val="00C35A83"/>
    <w:rsid w:val="00C3630C"/>
    <w:rsid w:val="00C4477D"/>
    <w:rsid w:val="00C52F76"/>
    <w:rsid w:val="00C57786"/>
    <w:rsid w:val="00C60B9A"/>
    <w:rsid w:val="00C6378E"/>
    <w:rsid w:val="00C646A9"/>
    <w:rsid w:val="00C67B09"/>
    <w:rsid w:val="00C73354"/>
    <w:rsid w:val="00C735A4"/>
    <w:rsid w:val="00C73D94"/>
    <w:rsid w:val="00C750E4"/>
    <w:rsid w:val="00C753FB"/>
    <w:rsid w:val="00C75AB2"/>
    <w:rsid w:val="00C8111A"/>
    <w:rsid w:val="00C87293"/>
    <w:rsid w:val="00C91115"/>
    <w:rsid w:val="00C969B8"/>
    <w:rsid w:val="00C975CB"/>
    <w:rsid w:val="00CA2414"/>
    <w:rsid w:val="00CA5288"/>
    <w:rsid w:val="00CB016D"/>
    <w:rsid w:val="00CB0DF8"/>
    <w:rsid w:val="00CB30D6"/>
    <w:rsid w:val="00CB3619"/>
    <w:rsid w:val="00CB7957"/>
    <w:rsid w:val="00CC0783"/>
    <w:rsid w:val="00CC1661"/>
    <w:rsid w:val="00CC1782"/>
    <w:rsid w:val="00CC29A5"/>
    <w:rsid w:val="00CC3C56"/>
    <w:rsid w:val="00CC4C91"/>
    <w:rsid w:val="00CD20D1"/>
    <w:rsid w:val="00CD5549"/>
    <w:rsid w:val="00CD78BC"/>
    <w:rsid w:val="00CE4CA0"/>
    <w:rsid w:val="00CF1415"/>
    <w:rsid w:val="00CF2A02"/>
    <w:rsid w:val="00CF51BF"/>
    <w:rsid w:val="00CF5EF6"/>
    <w:rsid w:val="00D00980"/>
    <w:rsid w:val="00D05BD1"/>
    <w:rsid w:val="00D062D4"/>
    <w:rsid w:val="00D0673D"/>
    <w:rsid w:val="00D145CC"/>
    <w:rsid w:val="00D15BCD"/>
    <w:rsid w:val="00D16400"/>
    <w:rsid w:val="00D172E2"/>
    <w:rsid w:val="00D177A1"/>
    <w:rsid w:val="00D218AF"/>
    <w:rsid w:val="00D258E8"/>
    <w:rsid w:val="00D3065C"/>
    <w:rsid w:val="00D3387B"/>
    <w:rsid w:val="00D3672B"/>
    <w:rsid w:val="00D3687B"/>
    <w:rsid w:val="00D3783A"/>
    <w:rsid w:val="00D40C54"/>
    <w:rsid w:val="00D41151"/>
    <w:rsid w:val="00D437F1"/>
    <w:rsid w:val="00D50F1D"/>
    <w:rsid w:val="00D517A2"/>
    <w:rsid w:val="00D57B1C"/>
    <w:rsid w:val="00D57EC7"/>
    <w:rsid w:val="00D609CE"/>
    <w:rsid w:val="00D63810"/>
    <w:rsid w:val="00D6505A"/>
    <w:rsid w:val="00D661C2"/>
    <w:rsid w:val="00D67965"/>
    <w:rsid w:val="00D714D9"/>
    <w:rsid w:val="00D725DD"/>
    <w:rsid w:val="00D731A7"/>
    <w:rsid w:val="00D732DE"/>
    <w:rsid w:val="00D753ED"/>
    <w:rsid w:val="00D80E4B"/>
    <w:rsid w:val="00D8163E"/>
    <w:rsid w:val="00D8447D"/>
    <w:rsid w:val="00D84E58"/>
    <w:rsid w:val="00D8616E"/>
    <w:rsid w:val="00DA0E30"/>
    <w:rsid w:val="00DA2B95"/>
    <w:rsid w:val="00DA5BD8"/>
    <w:rsid w:val="00DA6944"/>
    <w:rsid w:val="00DA6FB2"/>
    <w:rsid w:val="00DA7EA3"/>
    <w:rsid w:val="00DB1A70"/>
    <w:rsid w:val="00DB422C"/>
    <w:rsid w:val="00DC6E7D"/>
    <w:rsid w:val="00DC7975"/>
    <w:rsid w:val="00DD3B68"/>
    <w:rsid w:val="00DE588F"/>
    <w:rsid w:val="00DF1F8D"/>
    <w:rsid w:val="00E04C7B"/>
    <w:rsid w:val="00E05449"/>
    <w:rsid w:val="00E064EB"/>
    <w:rsid w:val="00E072F1"/>
    <w:rsid w:val="00E1043B"/>
    <w:rsid w:val="00E14935"/>
    <w:rsid w:val="00E15661"/>
    <w:rsid w:val="00E17DF2"/>
    <w:rsid w:val="00E23782"/>
    <w:rsid w:val="00E255E8"/>
    <w:rsid w:val="00E31AB3"/>
    <w:rsid w:val="00E42C6A"/>
    <w:rsid w:val="00E503F8"/>
    <w:rsid w:val="00E5256A"/>
    <w:rsid w:val="00E60FD3"/>
    <w:rsid w:val="00E64098"/>
    <w:rsid w:val="00E661AC"/>
    <w:rsid w:val="00E66267"/>
    <w:rsid w:val="00E663F2"/>
    <w:rsid w:val="00E6767E"/>
    <w:rsid w:val="00E70CA2"/>
    <w:rsid w:val="00E75269"/>
    <w:rsid w:val="00E75E1B"/>
    <w:rsid w:val="00E768E6"/>
    <w:rsid w:val="00E76C60"/>
    <w:rsid w:val="00E816DC"/>
    <w:rsid w:val="00E8742F"/>
    <w:rsid w:val="00E95A81"/>
    <w:rsid w:val="00E975DC"/>
    <w:rsid w:val="00EA104B"/>
    <w:rsid w:val="00EA1228"/>
    <w:rsid w:val="00EA217A"/>
    <w:rsid w:val="00EA2BF3"/>
    <w:rsid w:val="00EA3238"/>
    <w:rsid w:val="00EA78CB"/>
    <w:rsid w:val="00EB10B6"/>
    <w:rsid w:val="00EB4E4C"/>
    <w:rsid w:val="00EB53A0"/>
    <w:rsid w:val="00EB54D2"/>
    <w:rsid w:val="00EC11A1"/>
    <w:rsid w:val="00EC45DF"/>
    <w:rsid w:val="00EC48BD"/>
    <w:rsid w:val="00EC4AE4"/>
    <w:rsid w:val="00EC6A58"/>
    <w:rsid w:val="00EE0BB9"/>
    <w:rsid w:val="00EE1C6D"/>
    <w:rsid w:val="00EE73EA"/>
    <w:rsid w:val="00EE7530"/>
    <w:rsid w:val="00EE7958"/>
    <w:rsid w:val="00EF100D"/>
    <w:rsid w:val="00EF57BB"/>
    <w:rsid w:val="00EF623D"/>
    <w:rsid w:val="00EF7139"/>
    <w:rsid w:val="00EF7A4A"/>
    <w:rsid w:val="00F0410B"/>
    <w:rsid w:val="00F07D35"/>
    <w:rsid w:val="00F10F9A"/>
    <w:rsid w:val="00F121FB"/>
    <w:rsid w:val="00F146AD"/>
    <w:rsid w:val="00F17865"/>
    <w:rsid w:val="00F2074D"/>
    <w:rsid w:val="00F229E9"/>
    <w:rsid w:val="00F23705"/>
    <w:rsid w:val="00F33718"/>
    <w:rsid w:val="00F35AD5"/>
    <w:rsid w:val="00F403D7"/>
    <w:rsid w:val="00F50558"/>
    <w:rsid w:val="00F5151C"/>
    <w:rsid w:val="00F57C67"/>
    <w:rsid w:val="00F60118"/>
    <w:rsid w:val="00F6039F"/>
    <w:rsid w:val="00F6499E"/>
    <w:rsid w:val="00F70814"/>
    <w:rsid w:val="00F72915"/>
    <w:rsid w:val="00F733CB"/>
    <w:rsid w:val="00F857D1"/>
    <w:rsid w:val="00F942DA"/>
    <w:rsid w:val="00F94C63"/>
    <w:rsid w:val="00F94FEB"/>
    <w:rsid w:val="00F96EEE"/>
    <w:rsid w:val="00FA1B6C"/>
    <w:rsid w:val="00FA3C02"/>
    <w:rsid w:val="00FB1907"/>
    <w:rsid w:val="00FB35FA"/>
    <w:rsid w:val="00FB637E"/>
    <w:rsid w:val="00FB660F"/>
    <w:rsid w:val="00FC5AD8"/>
    <w:rsid w:val="00FC7326"/>
    <w:rsid w:val="00FC73E7"/>
    <w:rsid w:val="00FD1D26"/>
    <w:rsid w:val="00FD7126"/>
    <w:rsid w:val="00FD7F7D"/>
    <w:rsid w:val="00FE0B9E"/>
    <w:rsid w:val="00FE307D"/>
    <w:rsid w:val="00FE5F2A"/>
    <w:rsid w:val="00FF3BF9"/>
    <w:rsid w:val="00FF6837"/>
    <w:rsid w:val="00FF6D75"/>
    <w:rsid w:val="0130450B"/>
    <w:rsid w:val="016E5167"/>
    <w:rsid w:val="01805DAF"/>
    <w:rsid w:val="019645B5"/>
    <w:rsid w:val="019B2F5B"/>
    <w:rsid w:val="02186A33"/>
    <w:rsid w:val="0244021F"/>
    <w:rsid w:val="028E1FFA"/>
    <w:rsid w:val="03285EDA"/>
    <w:rsid w:val="037F35DE"/>
    <w:rsid w:val="03B31109"/>
    <w:rsid w:val="03C074D9"/>
    <w:rsid w:val="03F66069"/>
    <w:rsid w:val="041251D3"/>
    <w:rsid w:val="046649CA"/>
    <w:rsid w:val="048452F0"/>
    <w:rsid w:val="048B5BE2"/>
    <w:rsid w:val="04C13FE8"/>
    <w:rsid w:val="04C63633"/>
    <w:rsid w:val="04E90A22"/>
    <w:rsid w:val="04EB7A5F"/>
    <w:rsid w:val="052F2A11"/>
    <w:rsid w:val="05EF21A1"/>
    <w:rsid w:val="06563FCE"/>
    <w:rsid w:val="06667BC7"/>
    <w:rsid w:val="068074B8"/>
    <w:rsid w:val="068E19BA"/>
    <w:rsid w:val="07500389"/>
    <w:rsid w:val="07797F74"/>
    <w:rsid w:val="08255F75"/>
    <w:rsid w:val="082A5712"/>
    <w:rsid w:val="082E22DB"/>
    <w:rsid w:val="083B08A6"/>
    <w:rsid w:val="084A41E4"/>
    <w:rsid w:val="084A7A37"/>
    <w:rsid w:val="086701AD"/>
    <w:rsid w:val="08765691"/>
    <w:rsid w:val="08896BA5"/>
    <w:rsid w:val="08901A19"/>
    <w:rsid w:val="08BB595E"/>
    <w:rsid w:val="098F1CD1"/>
    <w:rsid w:val="09C9203C"/>
    <w:rsid w:val="09EF09C1"/>
    <w:rsid w:val="0A301518"/>
    <w:rsid w:val="0A5C1203"/>
    <w:rsid w:val="0A641526"/>
    <w:rsid w:val="0A833EF9"/>
    <w:rsid w:val="0ADD006E"/>
    <w:rsid w:val="0B103D8D"/>
    <w:rsid w:val="0B270573"/>
    <w:rsid w:val="0B27077E"/>
    <w:rsid w:val="0BD67F7E"/>
    <w:rsid w:val="0BF01C6E"/>
    <w:rsid w:val="0C2E76CB"/>
    <w:rsid w:val="0C7E4E96"/>
    <w:rsid w:val="0C984883"/>
    <w:rsid w:val="0D763322"/>
    <w:rsid w:val="0DB07E20"/>
    <w:rsid w:val="0DCE6B40"/>
    <w:rsid w:val="0DEC3D54"/>
    <w:rsid w:val="0E1B6398"/>
    <w:rsid w:val="0E4A266A"/>
    <w:rsid w:val="0E4E4692"/>
    <w:rsid w:val="0E5A41E4"/>
    <w:rsid w:val="0EB04D78"/>
    <w:rsid w:val="0EC06984"/>
    <w:rsid w:val="0EC211BA"/>
    <w:rsid w:val="0F2F4AC3"/>
    <w:rsid w:val="103A1754"/>
    <w:rsid w:val="11107E0D"/>
    <w:rsid w:val="115E01DA"/>
    <w:rsid w:val="11B34A31"/>
    <w:rsid w:val="12191612"/>
    <w:rsid w:val="12381658"/>
    <w:rsid w:val="12524563"/>
    <w:rsid w:val="1299148C"/>
    <w:rsid w:val="12DD44FB"/>
    <w:rsid w:val="12DF72E2"/>
    <w:rsid w:val="12F0630A"/>
    <w:rsid w:val="1324699F"/>
    <w:rsid w:val="134319D2"/>
    <w:rsid w:val="13905B88"/>
    <w:rsid w:val="13B37E7B"/>
    <w:rsid w:val="13C927A1"/>
    <w:rsid w:val="13CB4909"/>
    <w:rsid w:val="13EB34DA"/>
    <w:rsid w:val="14226537"/>
    <w:rsid w:val="14257059"/>
    <w:rsid w:val="14DA45FD"/>
    <w:rsid w:val="15770089"/>
    <w:rsid w:val="15B871E8"/>
    <w:rsid w:val="15DB5019"/>
    <w:rsid w:val="16A14A66"/>
    <w:rsid w:val="16A21B82"/>
    <w:rsid w:val="17325938"/>
    <w:rsid w:val="17817072"/>
    <w:rsid w:val="182709F6"/>
    <w:rsid w:val="186E7CAB"/>
    <w:rsid w:val="18BA5EB3"/>
    <w:rsid w:val="19455433"/>
    <w:rsid w:val="19922F14"/>
    <w:rsid w:val="199A1226"/>
    <w:rsid w:val="19A660AF"/>
    <w:rsid w:val="1A085FD3"/>
    <w:rsid w:val="1A0D3691"/>
    <w:rsid w:val="1A0E3B0C"/>
    <w:rsid w:val="1A7A4F5E"/>
    <w:rsid w:val="1AC6751C"/>
    <w:rsid w:val="1ACC4407"/>
    <w:rsid w:val="1AE95787"/>
    <w:rsid w:val="1AF21822"/>
    <w:rsid w:val="1B83398A"/>
    <w:rsid w:val="1D092887"/>
    <w:rsid w:val="1D5F1C7A"/>
    <w:rsid w:val="1DAA4A53"/>
    <w:rsid w:val="1DBA49EB"/>
    <w:rsid w:val="1E122DC0"/>
    <w:rsid w:val="1E4243A1"/>
    <w:rsid w:val="1E877AE6"/>
    <w:rsid w:val="1E8F40C9"/>
    <w:rsid w:val="1EA268AC"/>
    <w:rsid w:val="1EAD3723"/>
    <w:rsid w:val="1F1B2CC6"/>
    <w:rsid w:val="1F721A21"/>
    <w:rsid w:val="1FAD7955"/>
    <w:rsid w:val="1FAE2077"/>
    <w:rsid w:val="202E2537"/>
    <w:rsid w:val="202F2447"/>
    <w:rsid w:val="20785977"/>
    <w:rsid w:val="20BF142C"/>
    <w:rsid w:val="20D34741"/>
    <w:rsid w:val="20E83E27"/>
    <w:rsid w:val="215D400B"/>
    <w:rsid w:val="21BB34D2"/>
    <w:rsid w:val="21C5052E"/>
    <w:rsid w:val="21FC597C"/>
    <w:rsid w:val="21FE134A"/>
    <w:rsid w:val="230C043C"/>
    <w:rsid w:val="24066BDB"/>
    <w:rsid w:val="243A289C"/>
    <w:rsid w:val="24786DBC"/>
    <w:rsid w:val="24A0608C"/>
    <w:rsid w:val="24C801EE"/>
    <w:rsid w:val="24CD3AD1"/>
    <w:rsid w:val="258721A0"/>
    <w:rsid w:val="25D95FB1"/>
    <w:rsid w:val="25FB24AE"/>
    <w:rsid w:val="26256302"/>
    <w:rsid w:val="2699509C"/>
    <w:rsid w:val="26B56800"/>
    <w:rsid w:val="277C1A8B"/>
    <w:rsid w:val="27A2316D"/>
    <w:rsid w:val="281D606F"/>
    <w:rsid w:val="28357A8F"/>
    <w:rsid w:val="284275D7"/>
    <w:rsid w:val="295F015D"/>
    <w:rsid w:val="29EE7EF6"/>
    <w:rsid w:val="2A7008A4"/>
    <w:rsid w:val="2ABD206C"/>
    <w:rsid w:val="2ACD60EE"/>
    <w:rsid w:val="2B1C0A93"/>
    <w:rsid w:val="2B1E71B6"/>
    <w:rsid w:val="2B400C25"/>
    <w:rsid w:val="2C4C53A8"/>
    <w:rsid w:val="2CA03989"/>
    <w:rsid w:val="2CF76449"/>
    <w:rsid w:val="2D4E5111"/>
    <w:rsid w:val="2D6E5D3D"/>
    <w:rsid w:val="2D7707D2"/>
    <w:rsid w:val="2DC37F3C"/>
    <w:rsid w:val="2E612148"/>
    <w:rsid w:val="2EC12DE1"/>
    <w:rsid w:val="2ED22B8F"/>
    <w:rsid w:val="2EEF1900"/>
    <w:rsid w:val="2F281FD8"/>
    <w:rsid w:val="2F8E5BE1"/>
    <w:rsid w:val="2FB3328B"/>
    <w:rsid w:val="2FE204FD"/>
    <w:rsid w:val="2FE905B8"/>
    <w:rsid w:val="2FF00EBA"/>
    <w:rsid w:val="301020AD"/>
    <w:rsid w:val="306D73EE"/>
    <w:rsid w:val="30AA6066"/>
    <w:rsid w:val="30AF6316"/>
    <w:rsid w:val="30D63748"/>
    <w:rsid w:val="31171594"/>
    <w:rsid w:val="31305298"/>
    <w:rsid w:val="315C608D"/>
    <w:rsid w:val="318373A3"/>
    <w:rsid w:val="318600D2"/>
    <w:rsid w:val="319E3BB6"/>
    <w:rsid w:val="327C3BA1"/>
    <w:rsid w:val="32F62EF6"/>
    <w:rsid w:val="3326297A"/>
    <w:rsid w:val="3350661A"/>
    <w:rsid w:val="339715FE"/>
    <w:rsid w:val="33D91C17"/>
    <w:rsid w:val="33DC7D0F"/>
    <w:rsid w:val="34895CFE"/>
    <w:rsid w:val="34AD2EE1"/>
    <w:rsid w:val="34C93A39"/>
    <w:rsid w:val="35DD0E91"/>
    <w:rsid w:val="3627042C"/>
    <w:rsid w:val="36C51A7E"/>
    <w:rsid w:val="36DB7A54"/>
    <w:rsid w:val="371F5B92"/>
    <w:rsid w:val="372F119D"/>
    <w:rsid w:val="378943DA"/>
    <w:rsid w:val="378D7F74"/>
    <w:rsid w:val="37A4222B"/>
    <w:rsid w:val="37F8679B"/>
    <w:rsid w:val="384A515C"/>
    <w:rsid w:val="384F69A0"/>
    <w:rsid w:val="38AD5420"/>
    <w:rsid w:val="38B9443F"/>
    <w:rsid w:val="38C426A4"/>
    <w:rsid w:val="38C44207"/>
    <w:rsid w:val="38EB7B37"/>
    <w:rsid w:val="3928768C"/>
    <w:rsid w:val="39986359"/>
    <w:rsid w:val="39B867C5"/>
    <w:rsid w:val="39D561A2"/>
    <w:rsid w:val="39F36F04"/>
    <w:rsid w:val="3A1F40FB"/>
    <w:rsid w:val="3A536ACE"/>
    <w:rsid w:val="3A8B49E9"/>
    <w:rsid w:val="3B0D7D39"/>
    <w:rsid w:val="3B23782F"/>
    <w:rsid w:val="3BA40D5C"/>
    <w:rsid w:val="3BEC625F"/>
    <w:rsid w:val="3C1A07CA"/>
    <w:rsid w:val="3CEE549F"/>
    <w:rsid w:val="3CF735EA"/>
    <w:rsid w:val="3D0334F1"/>
    <w:rsid w:val="3D8C5F4C"/>
    <w:rsid w:val="3DD049B2"/>
    <w:rsid w:val="3DD5344F"/>
    <w:rsid w:val="3DD82F3F"/>
    <w:rsid w:val="3DF064DB"/>
    <w:rsid w:val="3E0B52DE"/>
    <w:rsid w:val="3E1B2A45"/>
    <w:rsid w:val="3E7066AC"/>
    <w:rsid w:val="3EA307AC"/>
    <w:rsid w:val="3EBC2E64"/>
    <w:rsid w:val="3EEC7809"/>
    <w:rsid w:val="3F0640DC"/>
    <w:rsid w:val="3F9B5067"/>
    <w:rsid w:val="3FF532C4"/>
    <w:rsid w:val="4004626D"/>
    <w:rsid w:val="40385BD7"/>
    <w:rsid w:val="40905D53"/>
    <w:rsid w:val="40B01F51"/>
    <w:rsid w:val="40BA73DD"/>
    <w:rsid w:val="41A16BEB"/>
    <w:rsid w:val="41CF1D2F"/>
    <w:rsid w:val="41DA1C92"/>
    <w:rsid w:val="42055AA3"/>
    <w:rsid w:val="42274495"/>
    <w:rsid w:val="42435798"/>
    <w:rsid w:val="4281303C"/>
    <w:rsid w:val="4282419C"/>
    <w:rsid w:val="42AB0734"/>
    <w:rsid w:val="42B15B0D"/>
    <w:rsid w:val="43160791"/>
    <w:rsid w:val="43EA2F55"/>
    <w:rsid w:val="43F7516A"/>
    <w:rsid w:val="441F08C4"/>
    <w:rsid w:val="447E50F8"/>
    <w:rsid w:val="448C1BDC"/>
    <w:rsid w:val="448C6831"/>
    <w:rsid w:val="44F85C75"/>
    <w:rsid w:val="45062140"/>
    <w:rsid w:val="45BD3146"/>
    <w:rsid w:val="45FC21C4"/>
    <w:rsid w:val="461F7CF2"/>
    <w:rsid w:val="46695106"/>
    <w:rsid w:val="46836744"/>
    <w:rsid w:val="468B32B4"/>
    <w:rsid w:val="47130DDA"/>
    <w:rsid w:val="47896DB5"/>
    <w:rsid w:val="47EF0197"/>
    <w:rsid w:val="480F0040"/>
    <w:rsid w:val="4812704D"/>
    <w:rsid w:val="482B6DB9"/>
    <w:rsid w:val="498B7884"/>
    <w:rsid w:val="499F7616"/>
    <w:rsid w:val="49EF7FBD"/>
    <w:rsid w:val="4AF26835"/>
    <w:rsid w:val="4B855ADF"/>
    <w:rsid w:val="4BC03FC2"/>
    <w:rsid w:val="4BE55114"/>
    <w:rsid w:val="4BF01A4B"/>
    <w:rsid w:val="4C9F1D4F"/>
    <w:rsid w:val="4CA64611"/>
    <w:rsid w:val="4CD0624E"/>
    <w:rsid w:val="4D895523"/>
    <w:rsid w:val="4DC4528E"/>
    <w:rsid w:val="4E02744F"/>
    <w:rsid w:val="4E042648"/>
    <w:rsid w:val="4E282D4B"/>
    <w:rsid w:val="4E9B1137"/>
    <w:rsid w:val="4EB00458"/>
    <w:rsid w:val="4EF67AD6"/>
    <w:rsid w:val="4F0900E2"/>
    <w:rsid w:val="4F18763F"/>
    <w:rsid w:val="4F1A75A7"/>
    <w:rsid w:val="4F1D6EAC"/>
    <w:rsid w:val="4F4B48E3"/>
    <w:rsid w:val="4FBC6903"/>
    <w:rsid w:val="4FCC2E01"/>
    <w:rsid w:val="50366FEC"/>
    <w:rsid w:val="50FD4EFE"/>
    <w:rsid w:val="51DF61F2"/>
    <w:rsid w:val="523222C0"/>
    <w:rsid w:val="52846466"/>
    <w:rsid w:val="52E9649F"/>
    <w:rsid w:val="531B3260"/>
    <w:rsid w:val="531F0298"/>
    <w:rsid w:val="53560D23"/>
    <w:rsid w:val="535624E4"/>
    <w:rsid w:val="536B52AC"/>
    <w:rsid w:val="54436DEA"/>
    <w:rsid w:val="544607AB"/>
    <w:rsid w:val="546000A4"/>
    <w:rsid w:val="54823D8D"/>
    <w:rsid w:val="54A24918"/>
    <w:rsid w:val="54A773C1"/>
    <w:rsid w:val="54D44BD5"/>
    <w:rsid w:val="552E2FF3"/>
    <w:rsid w:val="5531145B"/>
    <w:rsid w:val="553B7BE4"/>
    <w:rsid w:val="5579695E"/>
    <w:rsid w:val="56A64E48"/>
    <w:rsid w:val="56BE73A4"/>
    <w:rsid w:val="56BF421F"/>
    <w:rsid w:val="56CF2CD9"/>
    <w:rsid w:val="57343F1B"/>
    <w:rsid w:val="57796469"/>
    <w:rsid w:val="57CF3B0E"/>
    <w:rsid w:val="57EA6A8B"/>
    <w:rsid w:val="57F443D2"/>
    <w:rsid w:val="5816029A"/>
    <w:rsid w:val="5837638C"/>
    <w:rsid w:val="587007C4"/>
    <w:rsid w:val="588B38D8"/>
    <w:rsid w:val="58B53869"/>
    <w:rsid w:val="59730E1B"/>
    <w:rsid w:val="597B5EB9"/>
    <w:rsid w:val="59B33307"/>
    <w:rsid w:val="5A41017F"/>
    <w:rsid w:val="5AC03D87"/>
    <w:rsid w:val="5AFC4F2C"/>
    <w:rsid w:val="5B760DB2"/>
    <w:rsid w:val="5C0E40B2"/>
    <w:rsid w:val="5C1C69AB"/>
    <w:rsid w:val="5C431FF2"/>
    <w:rsid w:val="5C593045"/>
    <w:rsid w:val="5CCF5921"/>
    <w:rsid w:val="5DE60909"/>
    <w:rsid w:val="5E2875CC"/>
    <w:rsid w:val="5E6C0789"/>
    <w:rsid w:val="5E704B52"/>
    <w:rsid w:val="5EA36E6B"/>
    <w:rsid w:val="5EB14568"/>
    <w:rsid w:val="5ECB2E4B"/>
    <w:rsid w:val="5EF442F3"/>
    <w:rsid w:val="5F3E43AF"/>
    <w:rsid w:val="5F676130"/>
    <w:rsid w:val="5F7903E1"/>
    <w:rsid w:val="5FD62369"/>
    <w:rsid w:val="60066E41"/>
    <w:rsid w:val="60FB0B6F"/>
    <w:rsid w:val="6112031C"/>
    <w:rsid w:val="613528C1"/>
    <w:rsid w:val="615472BD"/>
    <w:rsid w:val="6159686F"/>
    <w:rsid w:val="6195215E"/>
    <w:rsid w:val="61CD250B"/>
    <w:rsid w:val="61E64E67"/>
    <w:rsid w:val="627E3805"/>
    <w:rsid w:val="62A27C0B"/>
    <w:rsid w:val="62D02854"/>
    <w:rsid w:val="63471E49"/>
    <w:rsid w:val="637D3687"/>
    <w:rsid w:val="63974B7F"/>
    <w:rsid w:val="63C619C7"/>
    <w:rsid w:val="63F13F28"/>
    <w:rsid w:val="6408221F"/>
    <w:rsid w:val="64857F61"/>
    <w:rsid w:val="65130235"/>
    <w:rsid w:val="651915C4"/>
    <w:rsid w:val="65367854"/>
    <w:rsid w:val="653A7EB8"/>
    <w:rsid w:val="65DC52E3"/>
    <w:rsid w:val="65FC652F"/>
    <w:rsid w:val="661F4B14"/>
    <w:rsid w:val="67425BF6"/>
    <w:rsid w:val="678D2A70"/>
    <w:rsid w:val="679D07B4"/>
    <w:rsid w:val="67B657F0"/>
    <w:rsid w:val="67D12BF7"/>
    <w:rsid w:val="683A1F7D"/>
    <w:rsid w:val="683E7CB7"/>
    <w:rsid w:val="688D3181"/>
    <w:rsid w:val="68956C76"/>
    <w:rsid w:val="68CA55A1"/>
    <w:rsid w:val="68DC554A"/>
    <w:rsid w:val="69015A74"/>
    <w:rsid w:val="698C0E53"/>
    <w:rsid w:val="699D108B"/>
    <w:rsid w:val="69B96ED5"/>
    <w:rsid w:val="69CC199E"/>
    <w:rsid w:val="69F525FF"/>
    <w:rsid w:val="69F620C4"/>
    <w:rsid w:val="6AA51A9C"/>
    <w:rsid w:val="6ACF1574"/>
    <w:rsid w:val="6BE953C1"/>
    <w:rsid w:val="6BF003DB"/>
    <w:rsid w:val="6CE73060"/>
    <w:rsid w:val="6D2A6B79"/>
    <w:rsid w:val="6D372F2F"/>
    <w:rsid w:val="6D3854C8"/>
    <w:rsid w:val="6DA24723"/>
    <w:rsid w:val="6DDA236B"/>
    <w:rsid w:val="6E134E2F"/>
    <w:rsid w:val="6E3000AA"/>
    <w:rsid w:val="6E315BD0"/>
    <w:rsid w:val="6E9D2C03"/>
    <w:rsid w:val="6F0A08FB"/>
    <w:rsid w:val="6F3516F0"/>
    <w:rsid w:val="6F4C23E3"/>
    <w:rsid w:val="6F5C1B95"/>
    <w:rsid w:val="6F72126A"/>
    <w:rsid w:val="6F78276F"/>
    <w:rsid w:val="6F7F185B"/>
    <w:rsid w:val="6F974134"/>
    <w:rsid w:val="6FA80AF4"/>
    <w:rsid w:val="6FB862EC"/>
    <w:rsid w:val="6FD25146"/>
    <w:rsid w:val="700D2DDE"/>
    <w:rsid w:val="701E2184"/>
    <w:rsid w:val="702D371A"/>
    <w:rsid w:val="708F2CC4"/>
    <w:rsid w:val="70D770AA"/>
    <w:rsid w:val="71102185"/>
    <w:rsid w:val="711E068D"/>
    <w:rsid w:val="71285068"/>
    <w:rsid w:val="71DB657E"/>
    <w:rsid w:val="71E62568"/>
    <w:rsid w:val="71E85D6D"/>
    <w:rsid w:val="722A12B4"/>
    <w:rsid w:val="726E73F3"/>
    <w:rsid w:val="727019F7"/>
    <w:rsid w:val="727948F9"/>
    <w:rsid w:val="727D3EC6"/>
    <w:rsid w:val="72BD3ED6"/>
    <w:rsid w:val="72DB20BD"/>
    <w:rsid w:val="73076264"/>
    <w:rsid w:val="74292165"/>
    <w:rsid w:val="743E7CED"/>
    <w:rsid w:val="743F2875"/>
    <w:rsid w:val="748B268B"/>
    <w:rsid w:val="74B96A6F"/>
    <w:rsid w:val="74C87AF0"/>
    <w:rsid w:val="74F5128A"/>
    <w:rsid w:val="75263FB5"/>
    <w:rsid w:val="756607EB"/>
    <w:rsid w:val="757A15E0"/>
    <w:rsid w:val="75A66EA3"/>
    <w:rsid w:val="75C4732A"/>
    <w:rsid w:val="767E3C49"/>
    <w:rsid w:val="76872831"/>
    <w:rsid w:val="77316C41"/>
    <w:rsid w:val="77385952"/>
    <w:rsid w:val="775B75C8"/>
    <w:rsid w:val="77B303EC"/>
    <w:rsid w:val="77E61F36"/>
    <w:rsid w:val="78110C5B"/>
    <w:rsid w:val="78184124"/>
    <w:rsid w:val="78801013"/>
    <w:rsid w:val="788121AD"/>
    <w:rsid w:val="78C543D8"/>
    <w:rsid w:val="78EC13B8"/>
    <w:rsid w:val="79321317"/>
    <w:rsid w:val="79662493"/>
    <w:rsid w:val="79DF2984"/>
    <w:rsid w:val="7A7F5248"/>
    <w:rsid w:val="7AB55309"/>
    <w:rsid w:val="7ABC2F5F"/>
    <w:rsid w:val="7AC62FD5"/>
    <w:rsid w:val="7AF40B71"/>
    <w:rsid w:val="7B4F7695"/>
    <w:rsid w:val="7B875081"/>
    <w:rsid w:val="7B8A691F"/>
    <w:rsid w:val="7BC2001A"/>
    <w:rsid w:val="7BE35377"/>
    <w:rsid w:val="7C182621"/>
    <w:rsid w:val="7C2C6EDE"/>
    <w:rsid w:val="7C482A62"/>
    <w:rsid w:val="7D2406A8"/>
    <w:rsid w:val="7D254B52"/>
    <w:rsid w:val="7DB570A3"/>
    <w:rsid w:val="7DBE3303"/>
    <w:rsid w:val="7DDE638F"/>
    <w:rsid w:val="7DEC7621"/>
    <w:rsid w:val="7E331EED"/>
    <w:rsid w:val="7E89471D"/>
    <w:rsid w:val="7EDE1272"/>
    <w:rsid w:val="7F4D5B91"/>
    <w:rsid w:val="7F562191"/>
    <w:rsid w:val="7F8B4C7C"/>
    <w:rsid w:val="7FA23C18"/>
    <w:rsid w:val="7FE8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nhideWhenUsed="0"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43"/>
    <w:qFormat/>
    <w:uiPriority w:val="9"/>
    <w:pPr>
      <w:keepNext/>
      <w:pageBreakBefore/>
      <w:numPr>
        <w:ilvl w:val="0"/>
        <w:numId w:val="1"/>
      </w:numPr>
      <w:spacing w:before="50" w:beforeLines="50" w:after="50" w:afterLines="50"/>
      <w:ind w:firstLine="0" w:firstLineChars="0"/>
      <w:jc w:val="center"/>
      <w:outlineLvl w:val="0"/>
    </w:pPr>
    <w:rPr>
      <w:rFonts w:eastAsia="黑体"/>
      <w:b/>
      <w:bCs/>
      <w:kern w:val="44"/>
      <w:sz w:val="36"/>
      <w:szCs w:val="44"/>
    </w:rPr>
  </w:style>
  <w:style w:type="paragraph" w:styleId="3">
    <w:name w:val="heading 2"/>
    <w:basedOn w:val="1"/>
    <w:next w:val="1"/>
    <w:link w:val="44"/>
    <w:unhideWhenUsed/>
    <w:qFormat/>
    <w:uiPriority w:val="9"/>
    <w:pPr>
      <w:keepNext/>
      <w:keepLines/>
      <w:numPr>
        <w:ilvl w:val="1"/>
        <w:numId w:val="1"/>
      </w:numPr>
      <w:spacing w:before="217" w:beforeLines="50"/>
      <w:ind w:firstLineChars="0"/>
      <w:jc w:val="center"/>
      <w:outlineLvl w:val="1"/>
    </w:pPr>
    <w:rPr>
      <w:rFonts w:eastAsia="楷体_GB2312" w:cstheme="majorBidi"/>
      <w:b/>
      <w:bCs/>
      <w:szCs w:val="32"/>
    </w:rPr>
  </w:style>
  <w:style w:type="paragraph" w:styleId="4">
    <w:name w:val="heading 3"/>
    <w:basedOn w:val="1"/>
    <w:next w:val="1"/>
    <w:link w:val="45"/>
    <w:unhideWhenUsed/>
    <w:qFormat/>
    <w:uiPriority w:val="9"/>
    <w:pPr>
      <w:keepNext/>
      <w:keepLines/>
      <w:numPr>
        <w:ilvl w:val="2"/>
        <w:numId w:val="2"/>
      </w:numPr>
      <w:spacing w:before="60"/>
      <w:ind w:left="0" w:firstLine="200"/>
      <w:outlineLvl w:val="2"/>
    </w:pPr>
    <w:rPr>
      <w:b/>
      <w:szCs w:val="32"/>
    </w:rPr>
  </w:style>
  <w:style w:type="paragraph" w:styleId="5">
    <w:name w:val="heading 4"/>
    <w:basedOn w:val="1"/>
    <w:next w:val="1"/>
    <w:link w:val="46"/>
    <w:unhideWhenUsed/>
    <w:qFormat/>
    <w:uiPriority w:val="9"/>
    <w:pPr>
      <w:keepNext/>
      <w:keepLines/>
      <w:numPr>
        <w:ilvl w:val="3"/>
        <w:numId w:val="1"/>
      </w:numPr>
      <w:spacing w:before="50" w:beforeLines="50" w:line="264" w:lineRule="auto"/>
      <w:ind w:firstLineChars="0"/>
      <w:outlineLvl w:val="3"/>
    </w:pPr>
    <w:rPr>
      <w:rFonts w:cstheme="majorBidi"/>
      <w:b/>
      <w:bCs/>
      <w:szCs w:val="28"/>
    </w:rPr>
  </w:style>
  <w:style w:type="paragraph" w:styleId="6">
    <w:name w:val="heading 5"/>
    <w:basedOn w:val="1"/>
    <w:next w:val="1"/>
    <w:link w:val="47"/>
    <w:semiHidden/>
    <w:unhideWhenUsed/>
    <w:qFormat/>
    <w:uiPriority w:val="9"/>
    <w:pPr>
      <w:keepNext/>
      <w:keepLines/>
      <w:numPr>
        <w:ilvl w:val="4"/>
        <w:numId w:val="1"/>
      </w:numPr>
      <w:spacing w:before="50" w:beforeLines="50" w:line="264" w:lineRule="auto"/>
      <w:ind w:firstLineChars="0"/>
      <w:outlineLvl w:val="4"/>
    </w:pPr>
    <w:rPr>
      <w:b/>
      <w:bCs/>
      <w:szCs w:val="28"/>
    </w:rPr>
  </w:style>
  <w:style w:type="paragraph" w:styleId="7">
    <w:name w:val="heading 6"/>
    <w:basedOn w:val="1"/>
    <w:next w:val="1"/>
    <w:link w:val="48"/>
    <w:semiHidden/>
    <w:unhideWhenUsed/>
    <w:qFormat/>
    <w:uiPriority w:val="9"/>
    <w:pPr>
      <w:keepNext/>
      <w:keepLines/>
      <w:numPr>
        <w:ilvl w:val="5"/>
        <w:numId w:val="1"/>
      </w:numPr>
      <w:spacing w:before="50" w:beforeLines="50" w:line="264" w:lineRule="auto"/>
      <w:ind w:firstLineChars="0"/>
      <w:outlineLvl w:val="5"/>
    </w:pPr>
    <w:rPr>
      <w:rFonts w:cstheme="majorBidi"/>
      <w:b/>
      <w:bCs/>
      <w:szCs w:val="24"/>
    </w:rPr>
  </w:style>
  <w:style w:type="paragraph" w:styleId="8">
    <w:name w:val="heading 7"/>
    <w:basedOn w:val="1"/>
    <w:next w:val="1"/>
    <w:link w:val="49"/>
    <w:semiHidden/>
    <w:unhideWhenUsed/>
    <w:qFormat/>
    <w:uiPriority w:val="9"/>
    <w:pPr>
      <w:keepNext/>
      <w:keepLines/>
      <w:spacing w:before="240" w:after="64" w:line="320" w:lineRule="atLeast"/>
      <w:outlineLvl w:val="6"/>
    </w:pPr>
    <w:rPr>
      <w:b/>
      <w:bCs/>
      <w:sz w:val="24"/>
      <w:szCs w:val="24"/>
    </w:rPr>
  </w:style>
  <w:style w:type="character" w:default="1" w:styleId="35">
    <w:name w:val="Default Paragraph Font"/>
    <w:autoRedefine/>
    <w:semiHidden/>
    <w:unhideWhenUsed/>
    <w:qFormat/>
    <w:uiPriority w:val="1"/>
  </w:style>
  <w:style w:type="table" w:default="1" w:styleId="33">
    <w:name w:val="Normal Table"/>
    <w:autoRedefine/>
    <w:semiHidden/>
    <w:unhideWhenUsed/>
    <w:qFormat/>
    <w:uiPriority w:val="99"/>
    <w:tblPr>
      <w:tblCellMar>
        <w:top w:w="0" w:type="dxa"/>
        <w:left w:w="108" w:type="dxa"/>
        <w:bottom w:w="0" w:type="dxa"/>
        <w:right w:w="108" w:type="dxa"/>
      </w:tblCellMar>
    </w:tblPr>
  </w:style>
  <w:style w:type="paragraph" w:styleId="9">
    <w:name w:val="toc 7"/>
    <w:basedOn w:val="1"/>
    <w:next w:val="1"/>
    <w:autoRedefine/>
    <w:unhideWhenUsed/>
    <w:qFormat/>
    <w:uiPriority w:val="39"/>
    <w:pPr>
      <w:adjustRightInd/>
      <w:snapToGrid/>
      <w:spacing w:line="240" w:lineRule="auto"/>
      <w:ind w:left="2520" w:leftChars="1200" w:firstLine="0" w:firstLineChars="0"/>
    </w:pPr>
    <w:rPr>
      <w:rFonts w:asciiTheme="minorHAnsi" w:eastAsiaTheme="minorEastAsia"/>
      <w:sz w:val="21"/>
    </w:rPr>
  </w:style>
  <w:style w:type="paragraph" w:styleId="10">
    <w:name w:val="caption"/>
    <w:basedOn w:val="1"/>
    <w:next w:val="1"/>
    <w:link w:val="59"/>
    <w:unhideWhenUsed/>
    <w:qFormat/>
    <w:uiPriority w:val="35"/>
    <w:rPr>
      <w:rFonts w:eastAsia="黑体" w:asciiTheme="majorHAnsi" w:hAnsiTheme="majorHAnsi" w:cstheme="majorBidi"/>
      <w:sz w:val="20"/>
      <w:szCs w:val="20"/>
    </w:rPr>
  </w:style>
  <w:style w:type="paragraph" w:styleId="11">
    <w:name w:val="annotation text"/>
    <w:basedOn w:val="1"/>
    <w:link w:val="69"/>
    <w:semiHidden/>
    <w:unhideWhenUsed/>
    <w:qFormat/>
    <w:uiPriority w:val="99"/>
    <w:pPr>
      <w:jc w:val="left"/>
    </w:pPr>
  </w:style>
  <w:style w:type="paragraph" w:styleId="12">
    <w:name w:val="Body Text 3"/>
    <w:basedOn w:val="1"/>
    <w:autoRedefine/>
    <w:unhideWhenUsed/>
    <w:qFormat/>
    <w:uiPriority w:val="99"/>
    <w:pPr>
      <w:spacing w:after="120"/>
    </w:pPr>
    <w:rPr>
      <w:sz w:val="16"/>
      <w:szCs w:val="16"/>
    </w:rPr>
  </w:style>
  <w:style w:type="paragraph" w:styleId="13">
    <w:name w:val="Body Text"/>
    <w:basedOn w:val="1"/>
    <w:qFormat/>
    <w:uiPriority w:val="99"/>
    <w:pPr>
      <w:spacing w:after="120"/>
    </w:pPr>
    <w:rPr>
      <w:rFonts w:ascii="Calibri" w:cs="Calibri"/>
      <w:color w:val="000000"/>
    </w:rPr>
  </w:style>
  <w:style w:type="paragraph" w:styleId="14">
    <w:name w:val="toc 5"/>
    <w:basedOn w:val="1"/>
    <w:next w:val="1"/>
    <w:unhideWhenUsed/>
    <w:qFormat/>
    <w:uiPriority w:val="39"/>
    <w:pPr>
      <w:adjustRightInd/>
      <w:snapToGrid/>
      <w:spacing w:line="240" w:lineRule="auto"/>
      <w:ind w:left="1680" w:leftChars="800" w:firstLine="0" w:firstLineChars="0"/>
    </w:pPr>
    <w:rPr>
      <w:rFonts w:asciiTheme="minorHAnsi" w:eastAsiaTheme="minorEastAsia"/>
      <w:sz w:val="21"/>
    </w:rPr>
  </w:style>
  <w:style w:type="paragraph" w:styleId="15">
    <w:name w:val="toc 3"/>
    <w:basedOn w:val="1"/>
    <w:next w:val="1"/>
    <w:autoRedefine/>
    <w:unhideWhenUsed/>
    <w:qFormat/>
    <w:uiPriority w:val="39"/>
    <w:pPr>
      <w:tabs>
        <w:tab w:val="right" w:leader="dot" w:pos="8607"/>
      </w:tabs>
      <w:spacing w:line="240" w:lineRule="auto"/>
    </w:pPr>
  </w:style>
  <w:style w:type="paragraph" w:styleId="16">
    <w:name w:val="Plain Text"/>
    <w:basedOn w:val="1"/>
    <w:autoRedefine/>
    <w:qFormat/>
    <w:uiPriority w:val="99"/>
    <w:rPr>
      <w:rFonts w:ascii="宋体" w:hAnsi="Courier New"/>
      <w:szCs w:val="21"/>
    </w:rPr>
  </w:style>
  <w:style w:type="paragraph" w:styleId="17">
    <w:name w:val="toc 8"/>
    <w:basedOn w:val="1"/>
    <w:next w:val="1"/>
    <w:autoRedefine/>
    <w:unhideWhenUsed/>
    <w:qFormat/>
    <w:uiPriority w:val="39"/>
    <w:pPr>
      <w:adjustRightInd/>
      <w:snapToGrid/>
      <w:spacing w:line="240" w:lineRule="auto"/>
      <w:ind w:left="2940" w:leftChars="1400" w:firstLine="0" w:firstLineChars="0"/>
    </w:pPr>
    <w:rPr>
      <w:rFonts w:asciiTheme="minorHAnsi" w:eastAsiaTheme="minorEastAsia"/>
      <w:sz w:val="21"/>
    </w:rPr>
  </w:style>
  <w:style w:type="paragraph" w:styleId="18">
    <w:name w:val="endnote text"/>
    <w:basedOn w:val="1"/>
    <w:link w:val="85"/>
    <w:autoRedefine/>
    <w:semiHidden/>
    <w:unhideWhenUsed/>
    <w:qFormat/>
    <w:uiPriority w:val="99"/>
    <w:pPr>
      <w:jc w:val="left"/>
    </w:pPr>
  </w:style>
  <w:style w:type="paragraph" w:styleId="19">
    <w:name w:val="footer"/>
    <w:basedOn w:val="1"/>
    <w:link w:val="54"/>
    <w:unhideWhenUsed/>
    <w:qFormat/>
    <w:uiPriority w:val="99"/>
    <w:pPr>
      <w:tabs>
        <w:tab w:val="center" w:pos="4153"/>
        <w:tab w:val="right" w:pos="8306"/>
      </w:tabs>
      <w:spacing w:line="240" w:lineRule="auto"/>
      <w:jc w:val="left"/>
    </w:pPr>
    <w:rPr>
      <w:sz w:val="18"/>
      <w:szCs w:val="18"/>
    </w:rPr>
  </w:style>
  <w:style w:type="paragraph" w:styleId="20">
    <w:name w:val="header"/>
    <w:basedOn w:val="1"/>
    <w:link w:val="53"/>
    <w:unhideWhenUsed/>
    <w:qFormat/>
    <w:uiPriority w:val="99"/>
    <w:pPr>
      <w:pBdr>
        <w:bottom w:val="single" w:color="auto" w:sz="6" w:space="1"/>
      </w:pBdr>
      <w:tabs>
        <w:tab w:val="center" w:pos="4153"/>
        <w:tab w:val="right" w:pos="8306"/>
      </w:tabs>
      <w:spacing w:line="240" w:lineRule="auto"/>
      <w:jc w:val="center"/>
    </w:pPr>
    <w:rPr>
      <w:sz w:val="18"/>
      <w:szCs w:val="18"/>
    </w:rPr>
  </w:style>
  <w:style w:type="paragraph" w:styleId="21">
    <w:name w:val="toc 1"/>
    <w:basedOn w:val="1"/>
    <w:next w:val="1"/>
    <w:unhideWhenUsed/>
    <w:qFormat/>
    <w:uiPriority w:val="39"/>
    <w:pPr>
      <w:tabs>
        <w:tab w:val="right" w:leader="dot" w:pos="8607"/>
      </w:tabs>
      <w:spacing w:before="120"/>
      <w:ind w:firstLine="0" w:firstLineChars="0"/>
    </w:pPr>
    <w:rPr>
      <w:rFonts w:ascii="黑体" w:hAnsi="黑体" w:eastAsia="黑体"/>
      <w:b/>
      <w:bCs/>
    </w:rPr>
  </w:style>
  <w:style w:type="paragraph" w:styleId="22">
    <w:name w:val="toc 4"/>
    <w:basedOn w:val="1"/>
    <w:next w:val="1"/>
    <w:unhideWhenUsed/>
    <w:qFormat/>
    <w:uiPriority w:val="39"/>
    <w:pPr>
      <w:adjustRightInd/>
      <w:snapToGrid/>
      <w:spacing w:line="240" w:lineRule="auto"/>
      <w:ind w:left="1260" w:leftChars="600" w:firstLine="0" w:firstLineChars="0"/>
    </w:pPr>
    <w:rPr>
      <w:rFonts w:asciiTheme="minorHAnsi" w:eastAsiaTheme="minorEastAsia"/>
      <w:sz w:val="21"/>
    </w:rPr>
  </w:style>
  <w:style w:type="paragraph" w:styleId="23">
    <w:name w:val="Subtitle"/>
    <w:basedOn w:val="1"/>
    <w:next w:val="1"/>
    <w:link w:val="51"/>
    <w:qFormat/>
    <w:uiPriority w:val="11"/>
    <w:pPr>
      <w:numPr>
        <w:ilvl w:val="0"/>
        <w:numId w:val="3"/>
      </w:numPr>
      <w:spacing w:line="288" w:lineRule="auto"/>
      <w:outlineLvl w:val="3"/>
    </w:pPr>
    <w:rPr>
      <w:bCs/>
      <w:kern w:val="28"/>
      <w:szCs w:val="32"/>
    </w:rPr>
  </w:style>
  <w:style w:type="paragraph" w:styleId="24">
    <w:name w:val="footnote text"/>
    <w:basedOn w:val="1"/>
    <w:link w:val="68"/>
    <w:qFormat/>
    <w:uiPriority w:val="0"/>
    <w:pPr>
      <w:adjustRightInd/>
      <w:spacing w:line="240" w:lineRule="auto"/>
      <w:jc w:val="left"/>
    </w:pPr>
    <w:rPr>
      <w:sz w:val="18"/>
      <w:szCs w:val="18"/>
    </w:rPr>
  </w:style>
  <w:style w:type="paragraph" w:styleId="25">
    <w:name w:val="toc 6"/>
    <w:basedOn w:val="1"/>
    <w:next w:val="1"/>
    <w:unhideWhenUsed/>
    <w:qFormat/>
    <w:uiPriority w:val="39"/>
    <w:pPr>
      <w:adjustRightInd/>
      <w:snapToGrid/>
      <w:spacing w:line="240" w:lineRule="auto"/>
      <w:ind w:left="2100" w:leftChars="1000" w:firstLine="0" w:firstLineChars="0"/>
    </w:pPr>
    <w:rPr>
      <w:rFonts w:asciiTheme="minorHAnsi" w:eastAsiaTheme="minorEastAsia"/>
      <w:sz w:val="21"/>
    </w:rPr>
  </w:style>
  <w:style w:type="paragraph" w:styleId="26">
    <w:name w:val="table of figures"/>
    <w:basedOn w:val="1"/>
    <w:next w:val="1"/>
    <w:qFormat/>
    <w:uiPriority w:val="0"/>
    <w:pPr>
      <w:adjustRightInd/>
      <w:snapToGrid/>
      <w:ind w:left="200" w:leftChars="200" w:hanging="200" w:hangingChars="200"/>
    </w:pPr>
    <w:rPr>
      <w:rFonts w:eastAsia="仿宋" w:asciiTheme="minorHAnsi" w:hAnsiTheme="minorHAnsi"/>
      <w:szCs w:val="24"/>
    </w:rPr>
  </w:style>
  <w:style w:type="paragraph" w:styleId="27">
    <w:name w:val="toc 2"/>
    <w:basedOn w:val="1"/>
    <w:next w:val="1"/>
    <w:autoRedefine/>
    <w:unhideWhenUsed/>
    <w:qFormat/>
    <w:uiPriority w:val="39"/>
    <w:pPr>
      <w:tabs>
        <w:tab w:val="right" w:leader="dot" w:pos="8607"/>
      </w:tabs>
      <w:spacing w:before="60"/>
      <w:ind w:firstLine="321" w:firstLineChars="100"/>
    </w:pPr>
    <w:rPr>
      <w:rFonts w:ascii="楷体_GB2312" w:eastAsia="楷体_GB2312"/>
      <w:b/>
      <w:bCs/>
    </w:rPr>
  </w:style>
  <w:style w:type="paragraph" w:styleId="28">
    <w:name w:val="toc 9"/>
    <w:basedOn w:val="1"/>
    <w:next w:val="1"/>
    <w:unhideWhenUsed/>
    <w:qFormat/>
    <w:uiPriority w:val="39"/>
    <w:pPr>
      <w:adjustRightInd/>
      <w:snapToGrid/>
      <w:spacing w:line="240" w:lineRule="auto"/>
      <w:ind w:left="3360" w:leftChars="1600" w:firstLine="0" w:firstLineChars="0"/>
    </w:pPr>
    <w:rPr>
      <w:rFonts w:asciiTheme="minorHAnsi" w:eastAsiaTheme="minorEastAsia"/>
      <w:sz w:val="21"/>
    </w:rPr>
  </w:style>
  <w:style w:type="paragraph" w:styleId="29">
    <w:name w:val="Normal (Web)"/>
    <w:basedOn w:val="1"/>
    <w:qFormat/>
    <w:uiPriority w:val="0"/>
    <w:pPr>
      <w:spacing w:beforeAutospacing="1" w:afterAutospacing="1"/>
      <w:jc w:val="left"/>
    </w:pPr>
    <w:rPr>
      <w:rFonts w:cs="Times New Roman"/>
      <w:kern w:val="0"/>
      <w:sz w:val="24"/>
    </w:rPr>
  </w:style>
  <w:style w:type="paragraph" w:styleId="30">
    <w:name w:val="Title"/>
    <w:basedOn w:val="3"/>
    <w:next w:val="1"/>
    <w:link w:val="52"/>
    <w:qFormat/>
    <w:uiPriority w:val="10"/>
    <w:pPr>
      <w:numPr>
        <w:ilvl w:val="0"/>
        <w:numId w:val="0"/>
      </w:numPr>
      <w:tabs>
        <w:tab w:val="left" w:pos="720"/>
      </w:tabs>
      <w:ind w:firstLine="200" w:firstLineChars="200"/>
    </w:pPr>
  </w:style>
  <w:style w:type="paragraph" w:styleId="31">
    <w:name w:val="annotation subject"/>
    <w:basedOn w:val="11"/>
    <w:next w:val="11"/>
    <w:link w:val="70"/>
    <w:semiHidden/>
    <w:unhideWhenUsed/>
    <w:qFormat/>
    <w:uiPriority w:val="99"/>
    <w:rPr>
      <w:b/>
      <w:bCs/>
    </w:rPr>
  </w:style>
  <w:style w:type="paragraph" w:styleId="32">
    <w:name w:val="Body Text First Indent"/>
    <w:basedOn w:val="13"/>
    <w:autoRedefine/>
    <w:qFormat/>
    <w:uiPriority w:val="99"/>
    <w:pPr>
      <w:ind w:firstLine="420" w:firstLineChars="100"/>
    </w:pPr>
  </w:style>
  <w:style w:type="table" w:styleId="34">
    <w:name w:val="Table Grid"/>
    <w:basedOn w:val="3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endnote reference"/>
    <w:basedOn w:val="35"/>
    <w:autoRedefine/>
    <w:semiHidden/>
    <w:unhideWhenUsed/>
    <w:qFormat/>
    <w:uiPriority w:val="99"/>
    <w:rPr>
      <w:vertAlign w:val="superscript"/>
    </w:rPr>
  </w:style>
  <w:style w:type="character" w:styleId="37">
    <w:name w:val="FollowedHyperlink"/>
    <w:basedOn w:val="35"/>
    <w:autoRedefine/>
    <w:semiHidden/>
    <w:unhideWhenUsed/>
    <w:qFormat/>
    <w:uiPriority w:val="99"/>
    <w:rPr>
      <w:color w:val="771CAA"/>
      <w:u w:val="none"/>
    </w:rPr>
  </w:style>
  <w:style w:type="character" w:styleId="38">
    <w:name w:val="Emphasis"/>
    <w:basedOn w:val="35"/>
    <w:autoRedefine/>
    <w:qFormat/>
    <w:uiPriority w:val="20"/>
    <w:rPr>
      <w:color w:val="F73131"/>
    </w:rPr>
  </w:style>
  <w:style w:type="character" w:styleId="39">
    <w:name w:val="Hyperlink"/>
    <w:basedOn w:val="35"/>
    <w:autoRedefine/>
    <w:unhideWhenUsed/>
    <w:qFormat/>
    <w:uiPriority w:val="99"/>
    <w:rPr>
      <w:color w:val="0000FF" w:themeColor="hyperlink"/>
      <w:u w:val="single"/>
      <w14:textFill>
        <w14:solidFill>
          <w14:schemeClr w14:val="hlink"/>
        </w14:solidFill>
      </w14:textFill>
    </w:rPr>
  </w:style>
  <w:style w:type="character" w:styleId="40">
    <w:name w:val="annotation reference"/>
    <w:basedOn w:val="35"/>
    <w:autoRedefine/>
    <w:semiHidden/>
    <w:unhideWhenUsed/>
    <w:qFormat/>
    <w:uiPriority w:val="99"/>
    <w:rPr>
      <w:sz w:val="21"/>
      <w:szCs w:val="21"/>
    </w:rPr>
  </w:style>
  <w:style w:type="character" w:styleId="41">
    <w:name w:val="HTML Cite"/>
    <w:basedOn w:val="35"/>
    <w:autoRedefine/>
    <w:semiHidden/>
    <w:unhideWhenUsed/>
    <w:qFormat/>
    <w:uiPriority w:val="99"/>
    <w:rPr>
      <w:color w:val="008000"/>
    </w:rPr>
  </w:style>
  <w:style w:type="character" w:styleId="42">
    <w:name w:val="footnote reference"/>
    <w:basedOn w:val="35"/>
    <w:autoRedefine/>
    <w:qFormat/>
    <w:uiPriority w:val="0"/>
    <w:rPr>
      <w:vertAlign w:val="superscript"/>
    </w:rPr>
  </w:style>
  <w:style w:type="character" w:customStyle="1" w:styleId="43">
    <w:name w:val="标题 1 字符"/>
    <w:basedOn w:val="35"/>
    <w:link w:val="2"/>
    <w:autoRedefine/>
    <w:qFormat/>
    <w:uiPriority w:val="9"/>
    <w:rPr>
      <w:rFonts w:ascii="Times New Roman" w:hAnsi="Times New Roman" w:eastAsia="黑体"/>
      <w:b/>
      <w:bCs/>
      <w:kern w:val="44"/>
      <w:sz w:val="36"/>
      <w:szCs w:val="44"/>
    </w:rPr>
  </w:style>
  <w:style w:type="character" w:customStyle="1" w:styleId="44">
    <w:name w:val="标题 2 字符"/>
    <w:basedOn w:val="35"/>
    <w:link w:val="3"/>
    <w:autoRedefine/>
    <w:qFormat/>
    <w:uiPriority w:val="9"/>
    <w:rPr>
      <w:rFonts w:ascii="Times New Roman" w:hAnsi="Times New Roman" w:eastAsia="楷体_GB2312" w:cstheme="majorBidi"/>
      <w:b/>
      <w:bCs/>
      <w:sz w:val="32"/>
      <w:szCs w:val="32"/>
    </w:rPr>
  </w:style>
  <w:style w:type="character" w:customStyle="1" w:styleId="45">
    <w:name w:val="标题 3 字符"/>
    <w:basedOn w:val="35"/>
    <w:link w:val="4"/>
    <w:autoRedefine/>
    <w:qFormat/>
    <w:uiPriority w:val="9"/>
    <w:rPr>
      <w:rFonts w:eastAsia="仿宋_GB2312" w:cstheme="minorBidi"/>
      <w:b/>
      <w:kern w:val="2"/>
      <w:sz w:val="32"/>
      <w:szCs w:val="32"/>
    </w:rPr>
  </w:style>
  <w:style w:type="character" w:customStyle="1" w:styleId="46">
    <w:name w:val="标题 4 字符"/>
    <w:basedOn w:val="35"/>
    <w:link w:val="5"/>
    <w:autoRedefine/>
    <w:qFormat/>
    <w:uiPriority w:val="9"/>
    <w:rPr>
      <w:rFonts w:ascii="Times New Roman" w:hAnsi="Times New Roman" w:eastAsia="仿宋_GB2312" w:cstheme="majorBidi"/>
      <w:b/>
      <w:bCs/>
      <w:sz w:val="32"/>
      <w:szCs w:val="28"/>
    </w:rPr>
  </w:style>
  <w:style w:type="character" w:customStyle="1" w:styleId="47">
    <w:name w:val="标题 5 字符"/>
    <w:basedOn w:val="35"/>
    <w:link w:val="6"/>
    <w:autoRedefine/>
    <w:semiHidden/>
    <w:qFormat/>
    <w:uiPriority w:val="9"/>
    <w:rPr>
      <w:rFonts w:ascii="Times New Roman" w:hAnsi="Times New Roman" w:eastAsia="仿宋_GB2312"/>
      <w:b/>
      <w:bCs/>
      <w:sz w:val="32"/>
      <w:szCs w:val="28"/>
    </w:rPr>
  </w:style>
  <w:style w:type="character" w:customStyle="1" w:styleId="48">
    <w:name w:val="标题 6 字符"/>
    <w:basedOn w:val="35"/>
    <w:link w:val="7"/>
    <w:autoRedefine/>
    <w:semiHidden/>
    <w:qFormat/>
    <w:uiPriority w:val="9"/>
    <w:rPr>
      <w:rFonts w:ascii="Times New Roman" w:hAnsi="Times New Roman" w:eastAsia="仿宋_GB2312" w:cstheme="majorBidi"/>
      <w:b/>
      <w:bCs/>
      <w:sz w:val="32"/>
      <w:szCs w:val="24"/>
    </w:rPr>
  </w:style>
  <w:style w:type="character" w:customStyle="1" w:styleId="49">
    <w:name w:val="标题 7 字符"/>
    <w:basedOn w:val="35"/>
    <w:link w:val="8"/>
    <w:autoRedefine/>
    <w:semiHidden/>
    <w:qFormat/>
    <w:uiPriority w:val="9"/>
    <w:rPr>
      <w:rFonts w:ascii="Times New Roman" w:hAnsi="Times New Roman" w:eastAsia="仿宋_GB2312"/>
      <w:b/>
      <w:bCs/>
      <w:sz w:val="24"/>
      <w:szCs w:val="24"/>
    </w:rPr>
  </w:style>
  <w:style w:type="paragraph" w:styleId="50">
    <w:name w:val="No Spacing"/>
    <w:autoRedefine/>
    <w:qFormat/>
    <w:uiPriority w:val="1"/>
    <w:pPr>
      <w:widowControl w:val="0"/>
      <w:spacing w:line="288" w:lineRule="auto"/>
      <w:ind w:firstLine="200" w:firstLineChars="200"/>
      <w:jc w:val="both"/>
    </w:pPr>
    <w:rPr>
      <w:rFonts w:eastAsia="黑体" w:asciiTheme="minorHAnsi" w:hAnsiTheme="minorHAnsi" w:cstheme="minorBidi"/>
      <w:b/>
      <w:kern w:val="2"/>
      <w:sz w:val="30"/>
      <w:szCs w:val="22"/>
      <w:lang w:val="en-US" w:eastAsia="zh-CN" w:bidi="ar-SA"/>
    </w:rPr>
  </w:style>
  <w:style w:type="character" w:customStyle="1" w:styleId="51">
    <w:name w:val="副标题 字符"/>
    <w:basedOn w:val="35"/>
    <w:link w:val="23"/>
    <w:autoRedefine/>
    <w:qFormat/>
    <w:uiPriority w:val="11"/>
    <w:rPr>
      <w:rFonts w:ascii="Times New Roman" w:hAnsi="Times New Roman" w:eastAsia="仿宋_GB2312"/>
      <w:bCs/>
      <w:kern w:val="28"/>
      <w:sz w:val="32"/>
      <w:szCs w:val="32"/>
    </w:rPr>
  </w:style>
  <w:style w:type="character" w:customStyle="1" w:styleId="52">
    <w:name w:val="标题 字符"/>
    <w:basedOn w:val="35"/>
    <w:link w:val="30"/>
    <w:autoRedefine/>
    <w:qFormat/>
    <w:uiPriority w:val="10"/>
    <w:rPr>
      <w:rFonts w:ascii="Times New Roman" w:hAnsi="Times New Roman" w:eastAsia="楷体_GB2312" w:cstheme="majorBidi"/>
      <w:b/>
      <w:bCs/>
      <w:sz w:val="32"/>
      <w:szCs w:val="32"/>
    </w:rPr>
  </w:style>
  <w:style w:type="character" w:customStyle="1" w:styleId="53">
    <w:name w:val="页眉 字符"/>
    <w:basedOn w:val="35"/>
    <w:link w:val="20"/>
    <w:autoRedefine/>
    <w:qFormat/>
    <w:uiPriority w:val="99"/>
    <w:rPr>
      <w:rFonts w:eastAsia="仿宋"/>
      <w:sz w:val="18"/>
      <w:szCs w:val="18"/>
    </w:rPr>
  </w:style>
  <w:style w:type="character" w:customStyle="1" w:styleId="54">
    <w:name w:val="页脚 字符"/>
    <w:basedOn w:val="35"/>
    <w:link w:val="19"/>
    <w:autoRedefine/>
    <w:qFormat/>
    <w:uiPriority w:val="99"/>
    <w:rPr>
      <w:rFonts w:eastAsia="仿宋"/>
      <w:sz w:val="18"/>
      <w:szCs w:val="18"/>
    </w:rPr>
  </w:style>
  <w:style w:type="table" w:customStyle="1" w:styleId="55">
    <w:name w:val="表格内容"/>
    <w:basedOn w:val="33"/>
    <w:autoRedefine/>
    <w:qFormat/>
    <w:uiPriority w:val="99"/>
    <w:pPr>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table" w:customStyle="1" w:styleId="56">
    <w:name w:val="表格"/>
    <w:basedOn w:val="33"/>
    <w:autoRedefine/>
    <w:qFormat/>
    <w:uiPriority w:val="99"/>
    <w:pPr>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paragraph" w:customStyle="1" w:styleId="57">
    <w:name w:val="表格内容1"/>
    <w:basedOn w:val="1"/>
    <w:next w:val="1"/>
    <w:link w:val="58"/>
    <w:autoRedefine/>
    <w:qFormat/>
    <w:uiPriority w:val="0"/>
    <w:pPr>
      <w:spacing w:line="240" w:lineRule="auto"/>
      <w:ind w:firstLine="0" w:firstLineChars="0"/>
      <w:jc w:val="center"/>
    </w:pPr>
    <w:rPr>
      <w:rFonts w:eastAsia="宋体"/>
      <w:sz w:val="21"/>
    </w:rPr>
  </w:style>
  <w:style w:type="character" w:customStyle="1" w:styleId="58">
    <w:name w:val="表格内容1 字符"/>
    <w:basedOn w:val="35"/>
    <w:link w:val="57"/>
    <w:autoRedefine/>
    <w:qFormat/>
    <w:uiPriority w:val="0"/>
    <w:rPr>
      <w:rFonts w:ascii="Times New Roman" w:hAnsi="Times New Roman" w:eastAsia="宋体"/>
    </w:rPr>
  </w:style>
  <w:style w:type="character" w:customStyle="1" w:styleId="59">
    <w:name w:val="题注 字符"/>
    <w:basedOn w:val="35"/>
    <w:link w:val="10"/>
    <w:autoRedefine/>
    <w:qFormat/>
    <w:uiPriority w:val="35"/>
    <w:rPr>
      <w:rFonts w:eastAsia="黑体" w:asciiTheme="majorHAnsi" w:hAnsiTheme="majorHAnsi" w:cstheme="majorBidi"/>
      <w:sz w:val="20"/>
      <w:szCs w:val="20"/>
    </w:rPr>
  </w:style>
  <w:style w:type="paragraph" w:customStyle="1" w:styleId="60">
    <w:name w:val="表头"/>
    <w:basedOn w:val="10"/>
    <w:next w:val="1"/>
    <w:link w:val="61"/>
    <w:autoRedefine/>
    <w:qFormat/>
    <w:uiPriority w:val="0"/>
    <w:pPr>
      <w:keepNext/>
      <w:numPr>
        <w:ilvl w:val="7"/>
        <w:numId w:val="1"/>
      </w:numPr>
      <w:spacing w:before="50" w:beforeLines="50" w:line="240" w:lineRule="auto"/>
      <w:ind w:firstLineChars="0"/>
      <w:jc w:val="center"/>
    </w:pPr>
    <w:rPr>
      <w:rFonts w:ascii="Times New Roman" w:hAnsi="Times New Roman" w:eastAsia="宋体"/>
      <w:b/>
    </w:rPr>
  </w:style>
  <w:style w:type="character" w:customStyle="1" w:styleId="61">
    <w:name w:val="表头 字符"/>
    <w:basedOn w:val="59"/>
    <w:link w:val="60"/>
    <w:autoRedefine/>
    <w:qFormat/>
    <w:uiPriority w:val="0"/>
    <w:rPr>
      <w:rFonts w:ascii="Times New Roman" w:hAnsi="Times New Roman" w:eastAsia="宋体" w:cstheme="majorBidi"/>
      <w:b/>
      <w:sz w:val="20"/>
      <w:szCs w:val="20"/>
    </w:rPr>
  </w:style>
  <w:style w:type="paragraph" w:customStyle="1" w:styleId="62">
    <w:name w:val="图片格式"/>
    <w:basedOn w:val="1"/>
    <w:next w:val="1"/>
    <w:link w:val="63"/>
    <w:autoRedefine/>
    <w:qFormat/>
    <w:uiPriority w:val="0"/>
    <w:pPr>
      <w:spacing w:line="240" w:lineRule="auto"/>
      <w:ind w:firstLine="0" w:firstLineChars="0"/>
      <w:jc w:val="center"/>
    </w:pPr>
  </w:style>
  <w:style w:type="character" w:customStyle="1" w:styleId="63">
    <w:name w:val="图片格式 字符"/>
    <w:basedOn w:val="35"/>
    <w:link w:val="62"/>
    <w:autoRedefine/>
    <w:qFormat/>
    <w:uiPriority w:val="0"/>
    <w:rPr>
      <w:rFonts w:ascii="Times New Roman" w:hAnsi="Times New Roman" w:eastAsia="仿宋_GB2312"/>
      <w:sz w:val="32"/>
    </w:rPr>
  </w:style>
  <w:style w:type="paragraph" w:customStyle="1" w:styleId="64">
    <w:name w:val="图例"/>
    <w:basedOn w:val="62"/>
    <w:next w:val="1"/>
    <w:link w:val="65"/>
    <w:autoRedefine/>
    <w:qFormat/>
    <w:uiPriority w:val="0"/>
    <w:pPr>
      <w:numPr>
        <w:ilvl w:val="8"/>
        <w:numId w:val="1"/>
      </w:numPr>
      <w:spacing w:after="50" w:afterLines="50"/>
    </w:pPr>
    <w:rPr>
      <w:rFonts w:eastAsia="宋体"/>
      <w:b/>
      <w:sz w:val="21"/>
    </w:rPr>
  </w:style>
  <w:style w:type="character" w:customStyle="1" w:styleId="65">
    <w:name w:val="图例 字符"/>
    <w:basedOn w:val="63"/>
    <w:link w:val="64"/>
    <w:autoRedefine/>
    <w:qFormat/>
    <w:uiPriority w:val="0"/>
    <w:rPr>
      <w:rFonts w:ascii="Times New Roman" w:hAnsi="Times New Roman" w:eastAsia="宋体"/>
      <w:b/>
      <w:sz w:val="32"/>
    </w:rPr>
  </w:style>
  <w:style w:type="character" w:customStyle="1" w:styleId="66">
    <w:name w:val="NormalCharacter"/>
    <w:link w:val="67"/>
    <w:autoRedefine/>
    <w:semiHidden/>
    <w:qFormat/>
    <w:uiPriority w:val="0"/>
    <w:rPr>
      <w:rFonts w:ascii="黑体" w:eastAsia="黑体"/>
      <w:szCs w:val="20"/>
    </w:rPr>
  </w:style>
  <w:style w:type="paragraph" w:customStyle="1" w:styleId="67">
    <w:name w:val="UserStyle_0"/>
    <w:basedOn w:val="1"/>
    <w:link w:val="66"/>
    <w:autoRedefine/>
    <w:qFormat/>
    <w:uiPriority w:val="0"/>
    <w:pPr>
      <w:ind w:firstLine="636"/>
    </w:pPr>
    <w:rPr>
      <w:rFonts w:ascii="黑体" w:eastAsia="黑体"/>
      <w:szCs w:val="20"/>
    </w:rPr>
  </w:style>
  <w:style w:type="character" w:customStyle="1" w:styleId="68">
    <w:name w:val="脚注文本 字符"/>
    <w:basedOn w:val="35"/>
    <w:link w:val="24"/>
    <w:autoRedefine/>
    <w:qFormat/>
    <w:uiPriority w:val="0"/>
    <w:rPr>
      <w:rFonts w:ascii="Times New Roman" w:hAnsi="Times New Roman" w:eastAsia="仿宋"/>
      <w:sz w:val="18"/>
      <w:szCs w:val="18"/>
    </w:rPr>
  </w:style>
  <w:style w:type="character" w:customStyle="1" w:styleId="69">
    <w:name w:val="批注文字 字符"/>
    <w:basedOn w:val="35"/>
    <w:link w:val="11"/>
    <w:autoRedefine/>
    <w:semiHidden/>
    <w:qFormat/>
    <w:uiPriority w:val="99"/>
    <w:rPr>
      <w:rFonts w:ascii="仿宋" w:eastAsia="仿宋"/>
      <w:sz w:val="32"/>
    </w:rPr>
  </w:style>
  <w:style w:type="character" w:customStyle="1" w:styleId="70">
    <w:name w:val="批注主题 字符"/>
    <w:basedOn w:val="69"/>
    <w:link w:val="31"/>
    <w:autoRedefine/>
    <w:semiHidden/>
    <w:qFormat/>
    <w:uiPriority w:val="99"/>
    <w:rPr>
      <w:rFonts w:ascii="仿宋" w:eastAsia="仿宋"/>
      <w:b/>
      <w:bCs/>
      <w:sz w:val="32"/>
    </w:rPr>
  </w:style>
  <w:style w:type="paragraph" w:customStyle="1" w:styleId="71">
    <w:name w:val="TOC 标题1"/>
    <w:basedOn w:val="2"/>
    <w:next w:val="1"/>
    <w:autoRedefine/>
    <w:unhideWhenUsed/>
    <w:qFormat/>
    <w:uiPriority w:val="39"/>
    <w:pPr>
      <w:keepLines/>
      <w:pageBreakBefore w:val="0"/>
      <w:widowControl/>
      <w:numPr>
        <w:numId w:val="0"/>
      </w:numPr>
      <w:adjustRightInd/>
      <w:snapToGrid/>
      <w:spacing w:before="240" w:beforeLines="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72">
    <w:name w:val="专栏内容"/>
    <w:basedOn w:val="1"/>
    <w:link w:val="73"/>
    <w:autoRedefine/>
    <w:qFormat/>
    <w:uiPriority w:val="0"/>
    <w:pPr>
      <w:widowControl/>
      <w:adjustRightInd/>
      <w:snapToGrid/>
      <w:spacing w:line="360" w:lineRule="exact"/>
      <w:jc w:val="left"/>
    </w:pPr>
    <w:rPr>
      <w:rFonts w:eastAsia="仿宋"/>
      <w:bCs/>
      <w:sz w:val="24"/>
      <w:szCs w:val="21"/>
    </w:rPr>
  </w:style>
  <w:style w:type="character" w:customStyle="1" w:styleId="73">
    <w:name w:val="专栏内容 字符"/>
    <w:basedOn w:val="35"/>
    <w:link w:val="72"/>
    <w:autoRedefine/>
    <w:qFormat/>
    <w:uiPriority w:val="0"/>
    <w:rPr>
      <w:rFonts w:ascii="Times New Roman" w:hAnsi="Times New Roman" w:eastAsia="仿宋"/>
      <w:bCs/>
      <w:sz w:val="24"/>
      <w:szCs w:val="21"/>
    </w:rPr>
  </w:style>
  <w:style w:type="paragraph" w:customStyle="1" w:styleId="74">
    <w:name w:val="专栏标题"/>
    <w:basedOn w:val="1"/>
    <w:link w:val="79"/>
    <w:autoRedefine/>
    <w:qFormat/>
    <w:uiPriority w:val="0"/>
    <w:pPr>
      <w:widowControl/>
      <w:spacing w:line="500" w:lineRule="exact"/>
      <w:ind w:firstLine="0" w:firstLineChars="0"/>
      <w:jc w:val="center"/>
    </w:pPr>
    <w:rPr>
      <w:rFonts w:eastAsia="仿宋" w:asciiTheme="minorHAnsi"/>
      <w:b/>
      <w:kern w:val="0"/>
      <w:sz w:val="24"/>
    </w:rPr>
  </w:style>
  <w:style w:type="character" w:customStyle="1" w:styleId="75">
    <w:name w:val="未处理的提及1"/>
    <w:basedOn w:val="35"/>
    <w:autoRedefine/>
    <w:semiHidden/>
    <w:unhideWhenUsed/>
    <w:qFormat/>
    <w:uiPriority w:val="99"/>
    <w:rPr>
      <w:color w:val="605E5C"/>
      <w:shd w:val="clear" w:color="auto" w:fill="E1DFDD"/>
    </w:rPr>
  </w:style>
  <w:style w:type="paragraph" w:customStyle="1" w:styleId="76">
    <w:name w:val="正文2"/>
    <w:basedOn w:val="1"/>
    <w:next w:val="1"/>
    <w:autoRedefine/>
    <w:qFormat/>
    <w:uiPriority w:val="0"/>
    <w:pPr>
      <w:spacing w:line="500" w:lineRule="exact"/>
    </w:pPr>
    <w:rPr>
      <w:rFonts w:eastAsia="仿宋"/>
    </w:rPr>
  </w:style>
  <w:style w:type="character" w:customStyle="1" w:styleId="77">
    <w:name w:val="未处理的提及2"/>
    <w:basedOn w:val="35"/>
    <w:autoRedefine/>
    <w:semiHidden/>
    <w:unhideWhenUsed/>
    <w:qFormat/>
    <w:uiPriority w:val="99"/>
    <w:rPr>
      <w:color w:val="605E5C"/>
      <w:shd w:val="clear" w:color="auto" w:fill="E1DFDD"/>
    </w:rPr>
  </w:style>
  <w:style w:type="character" w:customStyle="1" w:styleId="78">
    <w:name w:val="未处理的提及3"/>
    <w:basedOn w:val="35"/>
    <w:autoRedefine/>
    <w:semiHidden/>
    <w:unhideWhenUsed/>
    <w:qFormat/>
    <w:uiPriority w:val="99"/>
    <w:rPr>
      <w:color w:val="605E5C"/>
      <w:shd w:val="clear" w:color="auto" w:fill="E1DFDD"/>
    </w:rPr>
  </w:style>
  <w:style w:type="character" w:customStyle="1" w:styleId="79">
    <w:name w:val="专栏标题 字符"/>
    <w:basedOn w:val="35"/>
    <w:link w:val="74"/>
    <w:autoRedefine/>
    <w:qFormat/>
    <w:uiPriority w:val="0"/>
    <w:rPr>
      <w:rFonts w:hAnsi="Times New Roman" w:eastAsia="仿宋"/>
      <w:b/>
      <w:sz w:val="24"/>
      <w:szCs w:val="22"/>
    </w:rPr>
  </w:style>
  <w:style w:type="character" w:customStyle="1" w:styleId="80">
    <w:name w:val="bjh-p"/>
    <w:basedOn w:val="35"/>
    <w:autoRedefine/>
    <w:qFormat/>
    <w:uiPriority w:val="0"/>
  </w:style>
  <w:style w:type="paragraph" w:customStyle="1" w:styleId="81">
    <w:name w:val="修订1"/>
    <w:autoRedefine/>
    <w:hidden/>
    <w:semiHidden/>
    <w:qFormat/>
    <w:uiPriority w:val="99"/>
    <w:rPr>
      <w:rFonts w:ascii="Times New Roman" w:hAnsi="Times New Roman" w:eastAsia="仿宋_GB2312" w:cstheme="minorBidi"/>
      <w:kern w:val="2"/>
      <w:sz w:val="32"/>
      <w:szCs w:val="22"/>
      <w:lang w:val="en-US" w:eastAsia="zh-CN" w:bidi="ar-SA"/>
    </w:rPr>
  </w:style>
  <w:style w:type="character" w:customStyle="1" w:styleId="82">
    <w:name w:val="未处理的提及4"/>
    <w:basedOn w:val="35"/>
    <w:autoRedefine/>
    <w:semiHidden/>
    <w:unhideWhenUsed/>
    <w:qFormat/>
    <w:uiPriority w:val="99"/>
    <w:rPr>
      <w:color w:val="605E5C"/>
      <w:shd w:val="clear" w:color="auto" w:fill="E1DFDD"/>
    </w:rPr>
  </w:style>
  <w:style w:type="paragraph" w:customStyle="1" w:styleId="83">
    <w:name w:val="修订2"/>
    <w:autoRedefine/>
    <w:hidden/>
    <w:semiHidden/>
    <w:qFormat/>
    <w:uiPriority w:val="99"/>
    <w:rPr>
      <w:rFonts w:ascii="Times New Roman" w:hAnsi="Times New Roman" w:eastAsia="仿宋_GB2312" w:cstheme="minorBidi"/>
      <w:kern w:val="2"/>
      <w:sz w:val="32"/>
      <w:szCs w:val="22"/>
      <w:lang w:val="en-US" w:eastAsia="zh-CN" w:bidi="ar-SA"/>
    </w:rPr>
  </w:style>
  <w:style w:type="character" w:customStyle="1" w:styleId="84">
    <w:name w:val="未处理的提及5"/>
    <w:basedOn w:val="35"/>
    <w:autoRedefine/>
    <w:semiHidden/>
    <w:unhideWhenUsed/>
    <w:qFormat/>
    <w:uiPriority w:val="99"/>
    <w:rPr>
      <w:color w:val="605E5C"/>
      <w:shd w:val="clear" w:color="auto" w:fill="E1DFDD"/>
    </w:rPr>
  </w:style>
  <w:style w:type="character" w:customStyle="1" w:styleId="85">
    <w:name w:val="尾注文本 字符"/>
    <w:basedOn w:val="35"/>
    <w:link w:val="18"/>
    <w:autoRedefine/>
    <w:semiHidden/>
    <w:qFormat/>
    <w:uiPriority w:val="99"/>
    <w:rPr>
      <w:rFonts w:ascii="Times New Roman" w:hAnsi="Times New Roman" w:eastAsia="仿宋_GB2312"/>
      <w:kern w:val="2"/>
      <w:sz w:val="32"/>
      <w:szCs w:val="22"/>
    </w:rPr>
  </w:style>
  <w:style w:type="paragraph" w:customStyle="1" w:styleId="86">
    <w:name w:val="BodyText1I2"/>
    <w:basedOn w:val="87"/>
    <w:autoRedefine/>
    <w:qFormat/>
    <w:uiPriority w:val="0"/>
    <w:pPr>
      <w:spacing w:before="100" w:beforeAutospacing="1"/>
      <w:ind w:firstLine="420"/>
    </w:pPr>
  </w:style>
  <w:style w:type="paragraph" w:customStyle="1" w:styleId="87">
    <w:name w:val="BodyTextIndent"/>
    <w:basedOn w:val="1"/>
    <w:qFormat/>
    <w:uiPriority w:val="0"/>
    <w:pPr>
      <w:spacing w:after="120"/>
      <w:ind w:left="420" w:leftChars="200"/>
      <w:textAlignment w:val="baseline"/>
    </w:pPr>
  </w:style>
  <w:style w:type="character" w:customStyle="1" w:styleId="88">
    <w:name w:val="UserStyle_0 Char"/>
    <w:basedOn w:val="35"/>
    <w:qFormat/>
    <w:uiPriority w:val="0"/>
    <w:rPr>
      <w:rFonts w:ascii="黑体" w:hAnsi="黑体" w:eastAsia="黑体" w:cs="Times New Roman"/>
      <w:color w:val="auto"/>
      <w:kern w:val="2"/>
      <w:sz w:val="21"/>
      <w:szCs w:val="20"/>
    </w:rPr>
  </w:style>
  <w:style w:type="character" w:customStyle="1" w:styleId="89">
    <w:name w:val="未处理的提及6"/>
    <w:basedOn w:val="35"/>
    <w:semiHidden/>
    <w:unhideWhenUsed/>
    <w:qFormat/>
    <w:uiPriority w:val="99"/>
    <w:rPr>
      <w:color w:val="605E5C"/>
      <w:shd w:val="clear" w:color="auto" w:fill="E1DFDD"/>
    </w:rPr>
  </w:style>
  <w:style w:type="paragraph" w:customStyle="1" w:styleId="90">
    <w:name w:val="修订3"/>
    <w:hidden/>
    <w:semiHidden/>
    <w:qFormat/>
    <w:uiPriority w:val="99"/>
    <w:rPr>
      <w:rFonts w:ascii="Times New Roman" w:hAnsi="Times New Roman" w:eastAsia="仿宋_GB2312" w:cstheme="minorBidi"/>
      <w:kern w:val="2"/>
      <w:sz w:val="32"/>
      <w:szCs w:val="22"/>
      <w:lang w:val="en-US" w:eastAsia="zh-CN" w:bidi="ar-SA"/>
    </w:rPr>
  </w:style>
  <w:style w:type="character" w:customStyle="1" w:styleId="91">
    <w:name w:val="二级标题 Char"/>
    <w:basedOn w:val="35"/>
    <w:link w:val="92"/>
    <w:qFormat/>
    <w:uiPriority w:val="0"/>
    <w:rPr>
      <w:rFonts w:ascii="楷体" w:hAnsi="楷体" w:eastAsia="楷体" w:cs="宋体"/>
    </w:rPr>
  </w:style>
  <w:style w:type="paragraph" w:customStyle="1" w:styleId="92">
    <w:name w:val="二级标题"/>
    <w:basedOn w:val="1"/>
    <w:link w:val="91"/>
    <w:qFormat/>
    <w:uiPriority w:val="0"/>
    <w:pPr>
      <w:jc w:val="left"/>
    </w:pPr>
    <w:rPr>
      <w:rFonts w:ascii="楷体" w:hAnsi="楷体" w:eastAsia="楷体" w:cs="宋体"/>
    </w:rPr>
  </w:style>
  <w:style w:type="paragraph" w:customStyle="1" w:styleId="93">
    <w:name w:val="修订4"/>
    <w:hidden/>
    <w:semiHidden/>
    <w:qFormat/>
    <w:uiPriority w:val="99"/>
    <w:rPr>
      <w:rFonts w:ascii="Times New Roman" w:hAnsi="Times New Roman" w:eastAsia="仿宋_GB2312" w:cstheme="minorBidi"/>
      <w:kern w:val="2"/>
      <w:sz w:val="32"/>
      <w:szCs w:val="22"/>
      <w:lang w:val="en-US" w:eastAsia="zh-CN" w:bidi="ar-SA"/>
    </w:rPr>
  </w:style>
  <w:style w:type="character" w:customStyle="1" w:styleId="94">
    <w:name w:val="hover25"/>
    <w:basedOn w:val="35"/>
    <w:qFormat/>
    <w:uiPriority w:val="0"/>
  </w:style>
  <w:style w:type="character" w:customStyle="1" w:styleId="95">
    <w:name w:val="hover26"/>
    <w:basedOn w:val="35"/>
    <w:qFormat/>
    <w:uiPriority w:val="0"/>
    <w:rPr>
      <w:color w:val="315EFB"/>
    </w:rPr>
  </w:style>
  <w:style w:type="character" w:customStyle="1" w:styleId="96">
    <w:name w:val="hover27"/>
    <w:basedOn w:val="35"/>
    <w:qFormat/>
    <w:uiPriority w:val="0"/>
    <w:rPr>
      <w:color w:val="315EFB"/>
    </w:rPr>
  </w:style>
  <w:style w:type="character" w:customStyle="1" w:styleId="97">
    <w:name w:val="c-icon25"/>
    <w:basedOn w:val="35"/>
    <w:qFormat/>
    <w:uiPriority w:val="0"/>
  </w:style>
  <w:style w:type="character" w:customStyle="1" w:styleId="98">
    <w:name w:val="content-right_8zs401"/>
    <w:basedOn w:val="35"/>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numbering" Target="numbering.xml"/><Relationship Id="rId24" Type="http://schemas.openxmlformats.org/officeDocument/2006/relationships/image" Target="media/image3.png"/><Relationship Id="rId23" Type="http://schemas.openxmlformats.org/officeDocument/2006/relationships/image" Target="media/image2.png"/><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kmxm\Desktop\&#65288;&#31456;-&#33410;&#65289;&#26631;&#20934;&#26684;&#2433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80FB-1A60-4728-8BE0-E4F4878407E4}">
  <ds:schemaRefs/>
</ds:datastoreItem>
</file>

<file path=docProps/app.xml><?xml version="1.0" encoding="utf-8"?>
<Properties xmlns="http://schemas.openxmlformats.org/officeDocument/2006/extended-properties" xmlns:vt="http://schemas.openxmlformats.org/officeDocument/2006/docPropsVTypes">
  <Template>（章-节）标准格式.dotx</Template>
  <Company>Home</Company>
  <Pages>133</Pages>
  <Words>71627</Words>
  <Characters>73019</Characters>
  <Lines>558</Lines>
  <Paragraphs>157</Paragraphs>
  <TotalTime>105</TotalTime>
  <ScaleCrop>false</ScaleCrop>
  <LinksUpToDate>false</LinksUpToDate>
  <CharactersWithSpaces>73387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2022-11-09T05:30:00Z</dcterms:created>
  <dc:creator>ADMIN</dc:creator>
  <cp:lastModifiedBy>熊倩利</cp:lastModifiedBy>
  <cp:lastPrinted>2023-11-15T07:38:00Z</cp:lastPrinted>
  <dcterms:modified xsi:type="dcterms:W3CDTF">2024-03-28T08:30:20Z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D998392B9F9441BAA02CD289F21861A1_13</vt:lpwstr>
  </property>
</Properties>
</file>