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井研县生态脆弱河段水产养殖退养工作方案</w:t>
      </w:r>
    </w:p>
    <w:p>
      <w:pPr>
        <w:pStyle w:val="2"/>
        <w:adjustRightInd w:val="0"/>
        <w:spacing w:line="600" w:lineRule="exact"/>
        <w:ind w:firstLine="0" w:firstLineChars="0"/>
        <w:jc w:val="left"/>
        <w:rPr>
          <w:lang w:val="en-US"/>
        </w:rPr>
      </w:pPr>
    </w:p>
    <w:p>
      <w:pPr>
        <w:pStyle w:val="2"/>
        <w:adjustRightInd w:val="0"/>
        <w:spacing w:line="600" w:lineRule="exact"/>
        <w:jc w:val="left"/>
        <w:rPr>
          <w:lang w:val="en-US"/>
        </w:rPr>
      </w:pPr>
      <w:r>
        <w:rPr>
          <w:rFonts w:hint="eastAsia"/>
          <w:lang w:val="en-US"/>
        </w:rPr>
        <w:t>为全面改善茫溪河水环境质量，根治我县茫溪河流域生态脆弱河段水产养殖尾水污染问题，坚决打赢水污染防治攻坚战，根据《中华人民共和国水法》《中华人民共和国水污染防治法》《中华人民共和国环境保护法》《中华人民共和国渔业法》等法律法规，结合《井研县养殖水域滩涂规划（2017-2030）》《井研县茫溪河流域水质达标攻坚方案》要求，现制定实施方案如下。</w:t>
      </w:r>
    </w:p>
    <w:p>
      <w:pPr>
        <w:pStyle w:val="13"/>
        <w:adjustRightInd w:val="0"/>
        <w:spacing w:line="600" w:lineRule="exact"/>
        <w:rPr>
          <w:lang w:val="en-US"/>
        </w:rPr>
      </w:pPr>
      <w:r>
        <w:rPr>
          <w:rFonts w:hint="eastAsia"/>
          <w:lang w:val="en-US"/>
        </w:rPr>
        <w:t>一、总体目标</w:t>
      </w:r>
    </w:p>
    <w:p>
      <w:pPr>
        <w:pStyle w:val="2"/>
        <w:adjustRightInd w:val="0"/>
        <w:spacing w:line="600" w:lineRule="exact"/>
        <w:jc w:val="left"/>
        <w:rPr>
          <w:lang w:val="en-US"/>
        </w:rPr>
      </w:pPr>
      <w:r>
        <w:rPr>
          <w:rFonts w:hint="eastAsia"/>
          <w:lang w:val="en-US"/>
        </w:rPr>
        <w:t>以习近平新时代中国特色社会主义思想为指导，全面贯彻</w:t>
      </w:r>
      <w:bookmarkStart w:id="0" w:name="_GoBack"/>
      <w:r>
        <w:rPr>
          <w:rFonts w:hint="eastAsia"/>
          <w:lang w:val="en-US"/>
        </w:rPr>
        <w:t>党的十九大精神，践行“绿水青山就是金山银山”理念，按照“属地负责、上下联动”“分类施策、确保实效”原则，积极稳妥推</w:t>
      </w:r>
      <w:bookmarkEnd w:id="0"/>
      <w:r>
        <w:rPr>
          <w:rFonts w:hint="eastAsia"/>
          <w:lang w:val="en-US"/>
        </w:rPr>
        <w:t>进全县生态脆弱河段水产养殖退养工作，促进茫溪河流域水域生态环境持续改善。到2022年底，全面完成全县水域生态脆弱河段内水产养殖户清退工作。</w:t>
      </w:r>
    </w:p>
    <w:p>
      <w:pPr>
        <w:pStyle w:val="13"/>
        <w:adjustRightInd w:val="0"/>
        <w:spacing w:line="600" w:lineRule="exact"/>
        <w:rPr>
          <w:lang w:val="en-US"/>
        </w:rPr>
      </w:pPr>
      <w:r>
        <w:rPr>
          <w:rFonts w:hint="eastAsia"/>
          <w:lang w:val="en-US"/>
        </w:rPr>
        <w:t>二、清退范围</w:t>
      </w:r>
    </w:p>
    <w:p>
      <w:pPr>
        <w:pStyle w:val="2"/>
        <w:adjustRightInd w:val="0"/>
        <w:spacing w:line="600" w:lineRule="exact"/>
        <w:rPr>
          <w:lang w:val="en-US"/>
        </w:rPr>
      </w:pPr>
      <w:r>
        <w:rPr>
          <w:rFonts w:hint="eastAsia"/>
          <w:lang w:val="en-US"/>
        </w:rPr>
        <w:t>茫溪河</w:t>
      </w:r>
      <w:r>
        <w:rPr>
          <w:rFonts w:hint="eastAsia"/>
          <w:lang w:val="en-US" w:eastAsia="zh-CN"/>
        </w:rPr>
        <w:t>（含支流新店子河）</w:t>
      </w:r>
      <w:r>
        <w:rPr>
          <w:rFonts w:hint="eastAsia"/>
          <w:lang w:val="en-US"/>
        </w:rPr>
        <w:t>、磨池河、泥溪河、麻柳湾沟、赛功河</w:t>
      </w:r>
      <w:r>
        <w:rPr>
          <w:rFonts w:hint="eastAsia"/>
          <w:lang w:val="en-US" w:eastAsia="zh-CN"/>
        </w:rPr>
        <w:t>主干</w:t>
      </w:r>
      <w:r>
        <w:rPr>
          <w:rFonts w:hint="eastAsia"/>
          <w:lang w:val="en-US"/>
        </w:rPr>
        <w:t>道沿岸200米范围内从事传统高密度养殖的水产养殖池塘。</w:t>
      </w:r>
    </w:p>
    <w:p>
      <w:pPr>
        <w:pStyle w:val="13"/>
        <w:adjustRightInd w:val="0"/>
        <w:spacing w:line="600" w:lineRule="exact"/>
        <w:rPr>
          <w:lang w:val="en-US"/>
        </w:rPr>
      </w:pPr>
      <w:r>
        <w:rPr>
          <w:rFonts w:hint="eastAsia"/>
          <w:lang w:val="en-US"/>
        </w:rPr>
        <w:t>三、清退方式</w:t>
      </w:r>
    </w:p>
    <w:p>
      <w:pPr>
        <w:pStyle w:val="2"/>
        <w:adjustRightInd w:val="0"/>
        <w:spacing w:line="600" w:lineRule="exact"/>
        <w:rPr>
          <w:lang w:val="en-US"/>
        </w:rPr>
      </w:pPr>
      <w:r>
        <w:rPr>
          <w:rFonts w:hint="eastAsia" w:ascii="楷体_GB2312" w:hAnsi="楷体_GB2312" w:eastAsia="楷体_GB2312" w:cs="楷体_GB2312"/>
          <w:lang w:val="en-US"/>
        </w:rPr>
        <w:t>（一）清水养鱼。</w:t>
      </w:r>
      <w:r>
        <w:rPr>
          <w:rFonts w:hint="eastAsia"/>
          <w:lang w:val="en-US"/>
        </w:rPr>
        <w:t>养殖户与农户解除土地流转合同，全面</w:t>
      </w:r>
      <w:r>
        <w:rPr>
          <w:rFonts w:hint="eastAsia"/>
        </w:rPr>
        <w:t>拆除其用于生产管理的守护房（棚）、增氧设备、投饵设备、电力设施等设施设备，</w:t>
      </w:r>
      <w:r>
        <w:rPr>
          <w:rFonts w:hint="eastAsia"/>
          <w:lang w:eastAsia="zh-CN"/>
        </w:rPr>
        <w:t>交</w:t>
      </w:r>
      <w:r>
        <w:rPr>
          <w:rFonts w:hint="eastAsia"/>
        </w:rPr>
        <w:t>由村集体经济组织与农户</w:t>
      </w:r>
      <w:r>
        <w:rPr>
          <w:rFonts w:hint="eastAsia"/>
          <w:lang w:eastAsia="zh-CN"/>
        </w:rPr>
        <w:t>重新</w:t>
      </w:r>
      <w:r>
        <w:rPr>
          <w:rFonts w:hint="eastAsia"/>
        </w:rPr>
        <w:t>签订土地流转合同，并开展清水养鱼</w:t>
      </w:r>
      <w:r>
        <w:rPr>
          <w:rFonts w:hint="eastAsia"/>
          <w:lang w:val="en-US"/>
        </w:rPr>
        <w:t>。</w:t>
      </w:r>
    </w:p>
    <w:p>
      <w:pPr>
        <w:pStyle w:val="2"/>
        <w:adjustRightInd w:val="0"/>
        <w:spacing w:line="600" w:lineRule="exact"/>
        <w:rPr>
          <w:rFonts w:hint="eastAsia"/>
          <w:lang w:val="en-US"/>
        </w:rPr>
      </w:pPr>
      <w:r>
        <w:rPr>
          <w:rFonts w:hint="eastAsia"/>
          <w:lang w:val="en-US"/>
        </w:rPr>
        <w:t>（二）退塘还田（土）。</w:t>
      </w:r>
      <w:r>
        <w:rPr>
          <w:rFonts w:hint="eastAsia" w:cs="仿宋_GB2312"/>
          <w:sz w:val="32"/>
          <w:szCs w:val="32"/>
          <w:lang w:eastAsia="zh-CN"/>
        </w:rPr>
        <w:t>严格按照《土地复垦条例》和《土地复垦条例实施办法》的规定，在</w:t>
      </w:r>
      <w:r>
        <w:rPr>
          <w:rFonts w:hint="eastAsia" w:cs="仿宋_GB2312"/>
          <w:sz w:val="32"/>
          <w:szCs w:val="32"/>
          <w:lang w:val="en-US" w:eastAsia="zh-CN"/>
        </w:rPr>
        <w:t>2024年3月前，完成</w:t>
      </w:r>
      <w:r>
        <w:rPr>
          <w:rFonts w:hint="eastAsia" w:cs="仿宋_GB2312"/>
          <w:sz w:val="32"/>
          <w:szCs w:val="32"/>
          <w:lang w:eastAsia="zh-CN"/>
        </w:rPr>
        <w:t>退养池塘的复垦工作。</w:t>
      </w:r>
    </w:p>
    <w:p>
      <w:pPr>
        <w:pStyle w:val="13"/>
        <w:adjustRightInd w:val="0"/>
        <w:spacing w:line="600" w:lineRule="exact"/>
        <w:rPr>
          <w:lang w:val="en-US"/>
        </w:rPr>
      </w:pPr>
      <w:r>
        <w:rPr>
          <w:rFonts w:hint="eastAsia"/>
          <w:lang w:val="en-US"/>
        </w:rPr>
        <w:t>四、</w:t>
      </w:r>
      <w:r>
        <w:rPr>
          <w:rFonts w:hint="eastAsia"/>
          <w:lang w:val="en-US" w:eastAsia="zh-CN"/>
        </w:rPr>
        <w:t>补助</w:t>
      </w:r>
      <w:r>
        <w:rPr>
          <w:rFonts w:hint="eastAsia"/>
          <w:lang w:val="en-US"/>
        </w:rPr>
        <w:t>标准及奖惩机制</w:t>
      </w:r>
    </w:p>
    <w:p>
      <w:pPr>
        <w:pStyle w:val="2"/>
        <w:adjustRightInd w:val="0"/>
        <w:spacing w:line="600" w:lineRule="exact"/>
        <w:rPr>
          <w:lang w:val="en-US"/>
        </w:rPr>
      </w:pPr>
      <w:r>
        <w:rPr>
          <w:rFonts w:hint="eastAsia" w:ascii="楷体_GB2312" w:hAnsi="楷体_GB2312" w:eastAsia="楷体_GB2312" w:cs="楷体_GB2312"/>
          <w:lang w:val="en-US"/>
        </w:rPr>
        <w:t>（一）</w:t>
      </w:r>
      <w:r>
        <w:rPr>
          <w:rFonts w:hint="eastAsia" w:ascii="楷体_GB2312" w:hAnsi="楷体_GB2312" w:eastAsia="楷体_GB2312" w:cs="楷体_GB2312"/>
          <w:lang w:val="en-US" w:eastAsia="zh-CN"/>
        </w:rPr>
        <w:t>池塘</w:t>
      </w:r>
      <w:r>
        <w:rPr>
          <w:rFonts w:hint="eastAsia" w:ascii="楷体_GB2312" w:hAnsi="楷体_GB2312" w:eastAsia="楷体_GB2312" w:cs="楷体_GB2312"/>
          <w:lang w:val="en-US"/>
        </w:rPr>
        <w:t>清退</w:t>
      </w:r>
      <w:r>
        <w:rPr>
          <w:rFonts w:hint="eastAsia" w:ascii="楷体_GB2312" w:hAnsi="楷体_GB2312" w:eastAsia="楷体_GB2312" w:cs="楷体_GB2312"/>
          <w:lang w:val="en-US" w:eastAsia="zh-CN"/>
        </w:rPr>
        <w:t>补助</w:t>
      </w:r>
      <w:r>
        <w:rPr>
          <w:rFonts w:hint="eastAsia" w:ascii="楷体_GB2312" w:hAnsi="楷体_GB2312" w:eastAsia="楷体_GB2312" w:cs="楷体_GB2312"/>
          <w:lang w:val="en-US"/>
        </w:rPr>
        <w:t>。</w:t>
      </w:r>
      <w:r>
        <w:rPr>
          <w:rFonts w:hint="eastAsia"/>
          <w:lang w:val="en-US"/>
        </w:rPr>
        <w:t>对养殖业主现有基础设施及养殖设施设备给予一次性</w:t>
      </w:r>
      <w:r>
        <w:rPr>
          <w:rFonts w:hint="eastAsia"/>
          <w:lang w:val="en-US" w:eastAsia="zh-CN"/>
        </w:rPr>
        <w:t>补助</w:t>
      </w:r>
      <w:r>
        <w:rPr>
          <w:rFonts w:hint="default"/>
        </w:rPr>
        <w:t>，</w:t>
      </w:r>
      <w:r>
        <w:rPr>
          <w:rFonts w:hint="eastAsia"/>
          <w:lang w:eastAsia="zh-CN"/>
        </w:rPr>
        <w:t>具体标准见</w:t>
      </w:r>
      <w:r>
        <w:rPr>
          <w:rFonts w:hint="eastAsia"/>
          <w:lang w:val="en-US"/>
        </w:rPr>
        <w:t>《井研县生态脆弱河段水产养殖退养</w:t>
      </w:r>
      <w:r>
        <w:rPr>
          <w:rFonts w:hint="eastAsia"/>
          <w:lang w:val="en-US" w:eastAsia="zh-CN"/>
        </w:rPr>
        <w:t>补助</w:t>
      </w:r>
      <w:r>
        <w:rPr>
          <w:rFonts w:hint="eastAsia"/>
          <w:lang w:val="en-US"/>
        </w:rPr>
        <w:t>标准》（附件</w:t>
      </w:r>
      <w:r>
        <w:rPr>
          <w:rFonts w:hint="eastAsia"/>
          <w:lang w:val="en-US" w:eastAsia="zh-CN"/>
        </w:rPr>
        <w:t>1</w:t>
      </w:r>
      <w:r>
        <w:rPr>
          <w:rFonts w:hint="eastAsia"/>
          <w:lang w:val="en-US"/>
        </w:rPr>
        <w:t>）。</w:t>
      </w:r>
    </w:p>
    <w:p>
      <w:pPr>
        <w:pStyle w:val="2"/>
        <w:adjustRightInd w:val="0"/>
        <w:spacing w:line="600" w:lineRule="exact"/>
        <w:rPr>
          <w:rFonts w:hint="eastAsia" w:eastAsia="仿宋_GB2312"/>
          <w:lang w:val="en-US" w:eastAsia="zh-CN"/>
        </w:rPr>
      </w:pPr>
      <w:r>
        <w:rPr>
          <w:rFonts w:hint="eastAsia" w:ascii="楷体_GB2312" w:hAnsi="楷体_GB2312" w:eastAsia="楷体_GB2312" w:cs="楷体_GB2312"/>
          <w:lang w:val="en-US"/>
        </w:rPr>
        <w:t>（二）土地流转补</w:t>
      </w:r>
      <w:r>
        <w:rPr>
          <w:rFonts w:hint="eastAsia" w:ascii="楷体_GB2312" w:hAnsi="楷体_GB2312" w:eastAsia="楷体_GB2312" w:cs="楷体_GB2312"/>
          <w:lang w:val="en-US" w:eastAsia="zh-CN"/>
        </w:rPr>
        <w:t>助</w:t>
      </w:r>
      <w:r>
        <w:rPr>
          <w:rFonts w:hint="eastAsia" w:ascii="楷体_GB2312" w:hAnsi="楷体_GB2312" w:eastAsia="楷体_GB2312" w:cs="楷体_GB2312"/>
          <w:lang w:val="en-US"/>
        </w:rPr>
        <w:t>。</w:t>
      </w:r>
      <w:r>
        <w:rPr>
          <w:rFonts w:hint="eastAsia"/>
          <w:lang w:val="en-US" w:eastAsia="zh-CN"/>
        </w:rPr>
        <w:t>养殖户在退塘之日时，之前的土地流转资金由养殖业主承担，之后的由村集体经济组织承担。村集体经济组织开展清水养鱼的，由县财政给予土地流转租金补助，补助标准为原土地流转合同价的90%，补助期限原则上不超过2年</w:t>
      </w:r>
      <w:r>
        <w:rPr>
          <w:rFonts w:hint="eastAsia"/>
          <w:lang w:val="en-US"/>
        </w:rPr>
        <w:t>。</w:t>
      </w:r>
      <w:r>
        <w:rPr>
          <w:rFonts w:hint="eastAsia"/>
          <w:lang w:val="en-US" w:eastAsia="zh-CN"/>
        </w:rPr>
        <w:t>对退塘还田（土）的，土地流转租金由县财政按原合同价全额给予补助，退塘还田（土）后，土地交还给农户，不再给予补助。</w:t>
      </w:r>
    </w:p>
    <w:p>
      <w:pPr>
        <w:pStyle w:val="2"/>
        <w:adjustRightInd w:val="0"/>
        <w:spacing w:line="600" w:lineRule="exact"/>
        <w:rPr>
          <w:lang w:val="en-US"/>
        </w:rPr>
      </w:pPr>
      <w:r>
        <w:rPr>
          <w:rFonts w:hint="eastAsia" w:ascii="楷体_GB2312" w:hAnsi="楷体_GB2312" w:eastAsia="楷体_GB2312" w:cs="楷体_GB2312"/>
          <w:lang w:val="en-US"/>
        </w:rPr>
        <w:t>（</w:t>
      </w:r>
      <w:r>
        <w:rPr>
          <w:rFonts w:hint="eastAsia" w:ascii="楷体_GB2312" w:hAnsi="楷体_GB2312" w:eastAsia="楷体_GB2312" w:cs="楷体_GB2312"/>
          <w:lang w:val="en-US" w:eastAsia="zh-CN"/>
        </w:rPr>
        <w:t>三</w:t>
      </w:r>
      <w:r>
        <w:rPr>
          <w:rFonts w:hint="eastAsia" w:ascii="楷体_GB2312" w:hAnsi="楷体_GB2312" w:eastAsia="楷体_GB2312" w:cs="楷体_GB2312"/>
          <w:lang w:val="en-US"/>
        </w:rPr>
        <w:t>）奖惩机制。</w:t>
      </w:r>
      <w:r>
        <w:rPr>
          <w:rFonts w:hint="eastAsia"/>
          <w:lang w:val="en-US"/>
        </w:rPr>
        <w:t>养殖业主积极主动配合，提前1个月以上（含1个月）完成清塘退养</w:t>
      </w:r>
      <w:r>
        <w:rPr>
          <w:rFonts w:hint="eastAsia"/>
          <w:lang w:val="en-US" w:eastAsia="zh-CN"/>
        </w:rPr>
        <w:t>手续</w:t>
      </w:r>
      <w:r>
        <w:rPr>
          <w:rFonts w:hint="eastAsia"/>
          <w:lang w:val="en-US"/>
        </w:rPr>
        <w:t>的，按</w:t>
      </w:r>
      <w:r>
        <w:rPr>
          <w:rFonts w:hint="eastAsia"/>
          <w:lang w:val="en-US" w:eastAsia="zh-CN"/>
        </w:rPr>
        <w:t>补助</w:t>
      </w:r>
      <w:r>
        <w:rPr>
          <w:rFonts w:hint="eastAsia"/>
          <w:lang w:val="en-US"/>
        </w:rPr>
        <w:t>总额的5%给予一次性奖励；对未在规定期限内完成清退工作的，</w:t>
      </w:r>
      <w:r>
        <w:rPr>
          <w:rFonts w:hint="eastAsia"/>
          <w:lang w:val="en-US" w:eastAsia="zh-CN"/>
        </w:rPr>
        <w:t>不再给予奖励。</w:t>
      </w:r>
      <w:r>
        <w:rPr>
          <w:rFonts w:hint="eastAsia"/>
          <w:lang w:val="en-US"/>
        </w:rPr>
        <w:t>超过清退期限1个月仍未完成清退工作的，</w:t>
      </w:r>
      <w:r>
        <w:rPr>
          <w:rFonts w:hint="eastAsia"/>
          <w:lang w:val="en-US" w:eastAsia="zh-CN"/>
        </w:rPr>
        <w:t>不再享受补助资金</w:t>
      </w:r>
      <w:r>
        <w:rPr>
          <w:rFonts w:hint="eastAsia"/>
          <w:lang w:val="en-US"/>
        </w:rPr>
        <w:t>。</w:t>
      </w:r>
    </w:p>
    <w:p>
      <w:pPr>
        <w:pStyle w:val="13"/>
        <w:adjustRightInd w:val="0"/>
        <w:spacing w:line="600" w:lineRule="exact"/>
        <w:rPr>
          <w:lang w:val="en-US"/>
        </w:rPr>
      </w:pPr>
      <w:r>
        <w:rPr>
          <w:rFonts w:hint="eastAsia"/>
          <w:lang w:val="en-US"/>
        </w:rPr>
        <w:t>五、实施步骤</w:t>
      </w:r>
    </w:p>
    <w:p>
      <w:pPr>
        <w:pStyle w:val="2"/>
        <w:adjustRightInd w:val="0"/>
        <w:spacing w:line="600" w:lineRule="exact"/>
        <w:rPr>
          <w:lang w:val="en-US"/>
        </w:rPr>
      </w:pPr>
      <w:r>
        <w:rPr>
          <w:rFonts w:hint="eastAsia" w:ascii="楷体_GB2312" w:hAnsi="楷体_GB2312" w:eastAsia="楷体_GB2312" w:cs="楷体_GB2312"/>
          <w:lang w:val="en-US"/>
        </w:rPr>
        <w:t>（一）摸底排查阶段（2022年3月1</w:t>
      </w:r>
      <w:r>
        <w:rPr>
          <w:rFonts w:hint="eastAsia" w:ascii="楷体_GB2312" w:hAnsi="楷体_GB2312" w:eastAsia="楷体_GB2312" w:cs="楷体_GB2312"/>
          <w:lang w:val="en-US" w:eastAsia="zh-CN"/>
        </w:rPr>
        <w:t>1</w:t>
      </w:r>
      <w:r>
        <w:rPr>
          <w:rFonts w:hint="eastAsia" w:ascii="楷体_GB2312" w:hAnsi="楷体_GB2312" w:eastAsia="楷体_GB2312" w:cs="楷体_GB2312"/>
          <w:lang w:val="en-US"/>
        </w:rPr>
        <w:t>日）。</w:t>
      </w:r>
      <w:r>
        <w:rPr>
          <w:rFonts w:hint="eastAsia"/>
          <w:lang w:val="en-US"/>
        </w:rPr>
        <w:t>各镇（街道）全面核查本辖区内须清退的水产养殖池塘情况，对退养池塘位置、现状进行锁定上图，建立清退清单，明确整治目标、完成时限和清退方式，于3月11日前将汇总情况报县农业农村局。</w:t>
      </w:r>
    </w:p>
    <w:p>
      <w:pPr>
        <w:pStyle w:val="2"/>
        <w:adjustRightInd w:val="0"/>
        <w:spacing w:line="600" w:lineRule="exact"/>
        <w:jc w:val="left"/>
        <w:rPr>
          <w:lang w:val="en-US"/>
        </w:rPr>
      </w:pPr>
      <w:r>
        <w:rPr>
          <w:rFonts w:hint="eastAsia" w:ascii="楷体_GB2312" w:hAnsi="楷体_GB2312" w:eastAsia="楷体_GB2312" w:cs="楷体_GB2312"/>
          <w:lang w:val="en-US"/>
        </w:rPr>
        <w:t>（二）宣传动员阶段（2022年3月12日—3月31日）。</w:t>
      </w:r>
      <w:r>
        <w:rPr>
          <w:rFonts w:hint="eastAsia"/>
          <w:lang w:val="en-US"/>
        </w:rPr>
        <w:t>各镇（街道）组织人员逐村逐户开展走访，宣讲政策、解疑释惑，争取退养群众的理解和支持，避免产生社会不稳定因素。</w:t>
      </w:r>
    </w:p>
    <w:p>
      <w:pPr>
        <w:pStyle w:val="2"/>
        <w:adjustRightInd w:val="0"/>
        <w:spacing w:line="600" w:lineRule="exact"/>
        <w:rPr>
          <w:lang w:val="en-US"/>
        </w:rPr>
      </w:pPr>
      <w:r>
        <w:rPr>
          <w:rFonts w:hint="eastAsia" w:ascii="楷体_GB2312" w:hAnsi="楷体_GB2312" w:eastAsia="楷体_GB2312" w:cs="楷体_GB2312"/>
          <w:lang w:val="en-US"/>
        </w:rPr>
        <w:t>（三）组织清退阶段（2022年4月1日—11月30日）。</w:t>
      </w:r>
      <w:r>
        <w:rPr>
          <w:rFonts w:hint="eastAsia"/>
          <w:lang w:val="en-US"/>
        </w:rPr>
        <w:t>各镇（街道）组织开展辖区内的水产养殖池塘清退工作，与业主签订退养协议书，解除流转合同，完成关停、拆除、清理、退养等工作，兑付</w:t>
      </w:r>
      <w:r>
        <w:rPr>
          <w:rFonts w:hint="eastAsia"/>
          <w:lang w:val="en-US" w:eastAsia="zh-CN"/>
        </w:rPr>
        <w:t>补助</w:t>
      </w:r>
      <w:r>
        <w:rPr>
          <w:rFonts w:hint="eastAsia"/>
          <w:lang w:val="en-US"/>
        </w:rPr>
        <w:t>资金。村集体经济组织重新与农户签订土地流转合同，利用退养池塘开展清水养鱼。各镇（街道）每月25日前将水产养殖清退工作进度报县农业农村局。</w:t>
      </w:r>
    </w:p>
    <w:p>
      <w:pPr>
        <w:pStyle w:val="2"/>
        <w:adjustRightInd w:val="0"/>
        <w:spacing w:line="600" w:lineRule="exact"/>
        <w:rPr>
          <w:rFonts w:hint="eastAsia" w:ascii="楷体_GB2312" w:hAnsi="楷体_GB2312" w:eastAsia="楷体_GB2312" w:cs="楷体_GB2312"/>
          <w:lang w:val="en-US"/>
        </w:rPr>
      </w:pPr>
      <w:r>
        <w:rPr>
          <w:rFonts w:hint="eastAsia" w:ascii="楷体_GB2312" w:hAnsi="楷体_GB2312" w:eastAsia="楷体_GB2312" w:cs="楷体_GB2312"/>
          <w:lang w:val="en-US" w:eastAsia="zh-CN"/>
        </w:rPr>
        <w:t>（四</w:t>
      </w:r>
      <w:r>
        <w:rPr>
          <w:rFonts w:hint="eastAsia" w:ascii="楷体_GB2312" w:hAnsi="楷体_GB2312" w:eastAsia="楷体_GB2312" w:cs="楷体_GB2312"/>
          <w:lang w:val="en-US"/>
        </w:rPr>
        <w:t>）复垦还田阶段（202</w:t>
      </w:r>
      <w:r>
        <w:rPr>
          <w:rFonts w:hint="eastAsia" w:ascii="楷体_GB2312" w:hAnsi="楷体_GB2312" w:eastAsia="楷体_GB2312" w:cs="楷体_GB2312"/>
          <w:lang w:val="en-US" w:eastAsia="zh-CN"/>
        </w:rPr>
        <w:t>2</w:t>
      </w:r>
      <w:r>
        <w:rPr>
          <w:rFonts w:hint="eastAsia" w:ascii="楷体_GB2312" w:hAnsi="楷体_GB2312" w:eastAsia="楷体_GB2312" w:cs="楷体_GB2312"/>
          <w:lang w:val="en-US"/>
        </w:rPr>
        <w:t>年</w:t>
      </w:r>
      <w:r>
        <w:rPr>
          <w:rFonts w:hint="eastAsia" w:ascii="楷体_GB2312" w:hAnsi="楷体_GB2312" w:eastAsia="楷体_GB2312" w:cs="楷体_GB2312"/>
          <w:lang w:val="en-US" w:eastAsia="zh-CN"/>
        </w:rPr>
        <w:t>4</w:t>
      </w:r>
      <w:r>
        <w:rPr>
          <w:rFonts w:hint="eastAsia" w:ascii="楷体_GB2312" w:hAnsi="楷体_GB2312" w:eastAsia="楷体_GB2312" w:cs="楷体_GB2312"/>
          <w:lang w:val="en-US"/>
        </w:rPr>
        <w:t>月1日—2024年</w:t>
      </w:r>
      <w:r>
        <w:rPr>
          <w:rFonts w:hint="eastAsia" w:ascii="楷体_GB2312" w:hAnsi="楷体_GB2312" w:eastAsia="楷体_GB2312" w:cs="楷体_GB2312"/>
          <w:lang w:val="en-US" w:eastAsia="zh-CN"/>
        </w:rPr>
        <w:t>3</w:t>
      </w:r>
      <w:r>
        <w:rPr>
          <w:rFonts w:hint="eastAsia" w:ascii="楷体_GB2312" w:hAnsi="楷体_GB2312" w:eastAsia="楷体_GB2312" w:cs="楷体_GB2312"/>
          <w:lang w:val="en-US"/>
        </w:rPr>
        <w:t>月3</w:t>
      </w:r>
      <w:r>
        <w:rPr>
          <w:rFonts w:hint="eastAsia" w:ascii="楷体_GB2312" w:hAnsi="楷体_GB2312" w:eastAsia="楷体_GB2312" w:cs="楷体_GB2312"/>
          <w:lang w:val="en-US" w:eastAsia="zh-CN"/>
        </w:rPr>
        <w:t>1</w:t>
      </w:r>
      <w:r>
        <w:rPr>
          <w:rFonts w:hint="eastAsia" w:ascii="楷体_GB2312" w:hAnsi="楷体_GB2312" w:eastAsia="楷体_GB2312" w:cs="楷体_GB2312"/>
          <w:lang w:val="en-US"/>
        </w:rPr>
        <w:t>日）。</w:t>
      </w:r>
      <w:r>
        <w:rPr>
          <w:rFonts w:hint="eastAsia" w:ascii="楷体_GB2312" w:hAnsi="楷体_GB2312" w:eastAsia="楷体_GB2312" w:cs="楷体_GB2312"/>
          <w:lang w:val="en-US" w:eastAsia="zh-CN"/>
        </w:rPr>
        <w:tab/>
      </w:r>
      <w:r>
        <w:rPr>
          <w:rFonts w:hint="eastAsia"/>
        </w:rPr>
        <w:t>由</w:t>
      </w:r>
      <w:r>
        <w:rPr>
          <w:rFonts w:hint="eastAsia"/>
          <w:lang w:eastAsia="zh-CN"/>
        </w:rPr>
        <w:t>农业农村局组织对退养池塘按照</w:t>
      </w:r>
      <w:r>
        <w:rPr>
          <w:rFonts w:hint="eastAsia" w:ascii="仿宋_GB2312" w:hAnsi="仿宋_GB2312" w:eastAsia="仿宋_GB2312" w:cs="仿宋_GB2312"/>
          <w:sz w:val="32"/>
          <w:szCs w:val="32"/>
        </w:rPr>
        <w:t>土地复垦质量控制标准要求</w:t>
      </w:r>
      <w:r>
        <w:rPr>
          <w:rFonts w:hint="eastAsia" w:cs="仿宋_GB2312"/>
          <w:sz w:val="32"/>
          <w:szCs w:val="32"/>
          <w:lang w:eastAsia="zh-CN"/>
        </w:rPr>
        <w:t>进行指导。由自然资源局对涉及鱼塘现状地类进行调查变更，严格按照《土地复垦条例》和《土地复垦条例实施办法》的规定，开展退养池塘的复垦工作。并会同农业农村局、井研生态环境局等有关部门，组织邀请有关专家和村集体经济组织代表对复垦土地进行验收，</w:t>
      </w:r>
      <w:r>
        <w:rPr>
          <w:rFonts w:hint="eastAsia"/>
          <w:lang w:val="en-US" w:eastAsia="zh-CN"/>
        </w:rPr>
        <w:t>利用两年时间完成退养池塘的复耕工作</w:t>
      </w:r>
      <w:r>
        <w:rPr>
          <w:rFonts w:hint="eastAsia"/>
          <w:lang w:val="en-US"/>
        </w:rPr>
        <w:t>。</w:t>
      </w:r>
    </w:p>
    <w:p>
      <w:pPr>
        <w:pStyle w:val="2"/>
        <w:adjustRightInd w:val="0"/>
        <w:spacing w:line="600" w:lineRule="exact"/>
        <w:rPr>
          <w:rFonts w:hint="eastAsia"/>
          <w:lang w:val="en-US"/>
        </w:rPr>
      </w:pPr>
      <w:r>
        <w:rPr>
          <w:rFonts w:hint="eastAsia" w:ascii="楷体_GB2312" w:hAnsi="楷体_GB2312" w:eastAsia="楷体_GB2312" w:cs="楷体_GB2312"/>
          <w:lang w:val="en-US"/>
        </w:rPr>
        <w:t>（</w:t>
      </w:r>
      <w:r>
        <w:rPr>
          <w:rFonts w:hint="eastAsia" w:ascii="楷体_GB2312" w:hAnsi="楷体_GB2312" w:eastAsia="楷体_GB2312" w:cs="楷体_GB2312"/>
          <w:lang w:val="en-US" w:eastAsia="zh-CN"/>
        </w:rPr>
        <w:t>五</w:t>
      </w:r>
      <w:r>
        <w:rPr>
          <w:rFonts w:hint="eastAsia" w:ascii="楷体_GB2312" w:hAnsi="楷体_GB2312" w:eastAsia="楷体_GB2312" w:cs="楷体_GB2312"/>
          <w:lang w:val="en-US"/>
        </w:rPr>
        <w:t>）验收总结阶段（2022年12月1目—12月31日）。</w:t>
      </w:r>
      <w:r>
        <w:rPr>
          <w:rFonts w:hint="eastAsia"/>
          <w:lang w:val="en-US"/>
        </w:rPr>
        <w:t>井研县水产养殖清退工作领导小组对水产养殖池塘清退工作完成情况进行实地督导检查，严格按照《井研县生态脆弱河段水产养殖退养工作方案》进行验收，形成工作总结。</w:t>
      </w:r>
    </w:p>
    <w:p>
      <w:pPr>
        <w:pStyle w:val="13"/>
        <w:adjustRightInd w:val="0"/>
        <w:spacing w:line="600" w:lineRule="exact"/>
        <w:rPr>
          <w:lang w:val="en-US"/>
        </w:rPr>
      </w:pPr>
      <w:r>
        <w:rPr>
          <w:rFonts w:hint="eastAsia"/>
          <w:lang w:val="en-US"/>
        </w:rPr>
        <w:t>六、工作要求</w:t>
      </w:r>
    </w:p>
    <w:p>
      <w:pPr>
        <w:pStyle w:val="2"/>
        <w:adjustRightInd w:val="0"/>
        <w:spacing w:line="600" w:lineRule="exact"/>
        <w:jc w:val="left"/>
        <w:rPr>
          <w:lang w:val="en-US"/>
        </w:rPr>
      </w:pPr>
      <w:r>
        <w:rPr>
          <w:rFonts w:hint="eastAsia" w:ascii="楷体_GB2312" w:hAnsi="楷体_GB2312" w:eastAsia="楷体_GB2312" w:cs="楷体_GB2312"/>
          <w:lang w:val="en-US"/>
        </w:rPr>
        <w:t>（一）强化组织领导。</w:t>
      </w:r>
      <w:r>
        <w:rPr>
          <w:rFonts w:hint="eastAsia"/>
          <w:lang w:val="en-US"/>
        </w:rPr>
        <w:t>成立由县政府主要领导任组长，分管县领导任副组长，县级相关部门、各镇人民政府（研城街道办事处）主要负责人为成员的井研县水产养殖清退工作领导小组，负责统筹指导全县水产养殖清退工作，领导小组下设办公室</w:t>
      </w:r>
      <w:r>
        <w:rPr>
          <w:rFonts w:hint="eastAsia"/>
          <w:lang w:val="en-US" w:eastAsia="zh-CN"/>
        </w:rPr>
        <w:t>，办公室设</w:t>
      </w:r>
      <w:r>
        <w:rPr>
          <w:rFonts w:hint="eastAsia"/>
          <w:lang w:val="en-US"/>
        </w:rPr>
        <w:t>在县农业农村局，由农业农村局主要负责同志兼任办公室主任，负责日常工作。各镇（街道）成立工作专班，明确工作任务、完成时限，细化工作方案，建立退养清单和整改台账，实行“责任清单”“整改销号”制度，确保退养工作全面完成。</w:t>
      </w:r>
    </w:p>
    <w:p>
      <w:pPr>
        <w:pStyle w:val="2"/>
        <w:adjustRightInd w:val="0"/>
        <w:spacing w:line="600" w:lineRule="exact"/>
        <w:rPr>
          <w:lang w:val="en-US"/>
        </w:rPr>
      </w:pPr>
      <w:r>
        <w:rPr>
          <w:rFonts w:hint="eastAsia" w:ascii="楷体_GB2312" w:hAnsi="楷体_GB2312" w:eastAsia="楷体_GB2312" w:cs="楷体_GB2312"/>
          <w:lang w:val="en-US"/>
        </w:rPr>
        <w:t>（二）强化日常管理。</w:t>
      </w:r>
      <w:r>
        <w:rPr>
          <w:rFonts w:hint="eastAsia"/>
          <w:lang w:val="en-US"/>
        </w:rPr>
        <w:t>县农业农村局加强水产养殖技术培训力度，指导开展尾水治理升级改造，防止水产养殖造成水域环境污染</w:t>
      </w:r>
      <w:r>
        <w:rPr>
          <w:rFonts w:hint="eastAsia"/>
          <w:lang w:val="en-US" w:eastAsia="zh-CN"/>
        </w:rPr>
        <w:t>，加大种植技术指导力度，引导农户在退塘复耕的土地上种植粮食作物</w:t>
      </w:r>
      <w:r>
        <w:rPr>
          <w:rFonts w:hint="eastAsia"/>
          <w:lang w:val="en-US"/>
        </w:rPr>
        <w:t>。</w:t>
      </w:r>
      <w:r>
        <w:rPr>
          <w:rFonts w:hint="eastAsia"/>
          <w:lang w:val="en-US" w:eastAsia="zh-CN"/>
        </w:rPr>
        <w:t>县农业农村局、井研生态环境局、县自然资源局、县水务局等部门结合部门职责，</w:t>
      </w:r>
      <w:r>
        <w:rPr>
          <w:rFonts w:hint="eastAsia"/>
          <w:lang w:val="en-US"/>
        </w:rPr>
        <w:t>加大</w:t>
      </w:r>
      <w:r>
        <w:rPr>
          <w:rFonts w:hint="eastAsia"/>
          <w:lang w:val="en-US" w:eastAsia="zh-CN"/>
        </w:rPr>
        <w:t>综合</w:t>
      </w:r>
      <w:r>
        <w:rPr>
          <w:rFonts w:hint="eastAsia"/>
          <w:lang w:val="en-US"/>
        </w:rPr>
        <w:t>执法力度，严厉查处水产养殖</w:t>
      </w:r>
      <w:r>
        <w:rPr>
          <w:rFonts w:hint="eastAsia"/>
          <w:lang w:val="en-US" w:eastAsia="zh-CN"/>
        </w:rPr>
        <w:t>中的违法违规行</w:t>
      </w:r>
      <w:r>
        <w:rPr>
          <w:rFonts w:hint="eastAsia"/>
          <w:lang w:val="en-US"/>
        </w:rPr>
        <w:t>为。各镇（街道）压紧压实“塘长责任制”，加强对清退后剩余水产养殖池塘的监管力度，督促业主严格按《井研县水产绿色健康养殖“七项标准”》开展养殖生产，全覆盖修建水质净化池，确保辖区内水产养殖清退成果不回潮、不反弹。</w:t>
      </w:r>
      <w:r>
        <w:rPr>
          <w:rFonts w:hint="eastAsia" w:cs="仿宋_GB2312"/>
          <w:sz w:val="32"/>
          <w:szCs w:val="32"/>
          <w:lang w:eastAsia="zh-CN"/>
        </w:rPr>
        <w:t>县自然资源局、县农业农村局、相关镇（街道）要依据自身职能职责，加强养殖池塘复耕后的监督管理，防止退养池塘复耕后发生耕地“非农化”、“非粮化”。</w:t>
      </w:r>
    </w:p>
    <w:p>
      <w:pPr>
        <w:pStyle w:val="2"/>
        <w:adjustRightInd w:val="0"/>
        <w:spacing w:line="600" w:lineRule="exact"/>
        <w:jc w:val="left"/>
        <w:rPr>
          <w:rFonts w:hint="eastAsia" w:eastAsia="仿宋_GB2312"/>
          <w:lang w:val="en-US" w:eastAsia="zh-CN"/>
        </w:rPr>
      </w:pPr>
      <w:r>
        <w:rPr>
          <w:rFonts w:hint="eastAsia" w:ascii="楷体_GB2312" w:hAnsi="楷体_GB2312" w:eastAsia="楷体_GB2312" w:cs="楷体_GB2312"/>
          <w:lang w:val="en-US"/>
        </w:rPr>
        <w:t>（三）强化保障措施。</w:t>
      </w:r>
      <w:r>
        <w:rPr>
          <w:rFonts w:hint="eastAsia"/>
          <w:lang w:val="en-US"/>
        </w:rPr>
        <w:t>县财政局</w:t>
      </w:r>
      <w:r>
        <w:rPr>
          <w:rFonts w:hint="eastAsia"/>
          <w:lang w:val="en-US" w:eastAsia="zh-CN"/>
        </w:rPr>
        <w:t>负责</w:t>
      </w:r>
      <w:r>
        <w:rPr>
          <w:rFonts w:hint="eastAsia"/>
          <w:lang w:val="en-US"/>
        </w:rPr>
        <w:t>做好资金的筹集、拨付工作。县公安局</w:t>
      </w:r>
      <w:r>
        <w:rPr>
          <w:rFonts w:hint="eastAsia"/>
          <w:lang w:val="en-US" w:eastAsia="zh-CN"/>
        </w:rPr>
        <w:t>做好</w:t>
      </w:r>
      <w:r>
        <w:rPr>
          <w:rFonts w:hint="eastAsia"/>
          <w:lang w:val="en-US"/>
        </w:rPr>
        <w:t>秩序</w:t>
      </w:r>
      <w:r>
        <w:rPr>
          <w:rFonts w:hint="eastAsia"/>
          <w:lang w:val="en-US" w:eastAsia="zh-CN"/>
        </w:rPr>
        <w:t>维护</w:t>
      </w:r>
      <w:r>
        <w:rPr>
          <w:rFonts w:hint="eastAsia"/>
          <w:lang w:val="en-US"/>
        </w:rPr>
        <w:t>，依法制止、查处暴力阻挠清退的违法行为。各镇（街道）加强资金监管，防止清退</w:t>
      </w:r>
      <w:r>
        <w:rPr>
          <w:rFonts w:hint="eastAsia"/>
          <w:lang w:val="en-US" w:eastAsia="zh-CN"/>
        </w:rPr>
        <w:t>补助</w:t>
      </w:r>
      <w:r>
        <w:rPr>
          <w:rFonts w:hint="eastAsia"/>
          <w:lang w:val="en-US"/>
        </w:rPr>
        <w:t>过程中出现虚报冒领、贪污腐败等违纪违法违规行为，确保清退</w:t>
      </w:r>
      <w:r>
        <w:rPr>
          <w:rFonts w:hint="eastAsia"/>
          <w:lang w:val="en-US" w:eastAsia="zh-CN"/>
        </w:rPr>
        <w:t>补助</w:t>
      </w:r>
      <w:r>
        <w:rPr>
          <w:rFonts w:hint="eastAsia"/>
          <w:lang w:val="en-US"/>
        </w:rPr>
        <w:t>资金足额、及时发放到位。</w:t>
      </w:r>
      <w:r>
        <w:rPr>
          <w:rFonts w:hint="eastAsia"/>
          <w:lang w:val="en-US" w:eastAsia="zh-CN"/>
        </w:rPr>
        <w:t>县农业农村局、县自然资源局、井研生态环境局等相关部门依法开展执法活动，对非法养殖、侵占农用地、污染生态环境等违法行为进行查处，对符合拆除条件的依法进行拆除。</w:t>
      </w:r>
    </w:p>
    <w:p>
      <w:pPr>
        <w:pStyle w:val="2"/>
        <w:adjustRightInd w:val="0"/>
        <w:spacing w:line="600" w:lineRule="exact"/>
        <w:jc w:val="left"/>
        <w:rPr>
          <w:lang w:val="en-US"/>
        </w:rPr>
      </w:pPr>
      <w:r>
        <w:rPr>
          <w:rFonts w:hint="eastAsia" w:ascii="楷体_GB2312" w:hAnsi="楷体_GB2312" w:eastAsia="楷体_GB2312" w:cs="楷体_GB2312"/>
          <w:lang w:val="en-US"/>
        </w:rPr>
        <w:t>（四）强化督导检查。</w:t>
      </w:r>
      <w:r>
        <w:rPr>
          <w:rFonts w:hint="eastAsia"/>
          <w:lang w:val="en-US"/>
        </w:rPr>
        <w:t>领导小组办公室加强对水产养殖清退工作的调度督导和监督检查。严格落实考核督办制度，坚持挂图作战、挂牌督办，每月开展一次考核，对进度滞后的镇（街）进行通报。严格落实责任追究制度，对工作不主动、组织不到位、执行不彻底，不能按时完成退养任务的，依纪依法严肃追究有关责任人责任，确保退养工作任务按期完成。</w:t>
      </w:r>
    </w:p>
    <w:p>
      <w:pPr>
        <w:pStyle w:val="2"/>
        <w:adjustRightInd w:val="0"/>
        <w:spacing w:line="600" w:lineRule="exact"/>
        <w:ind w:firstLine="0" w:firstLineChars="0"/>
        <w:jc w:val="left"/>
        <w:rPr>
          <w:lang w:val="en-US"/>
        </w:rPr>
      </w:pPr>
    </w:p>
    <w:p>
      <w:pPr>
        <w:pStyle w:val="2"/>
        <w:adjustRightInd w:val="0"/>
        <w:spacing w:line="600" w:lineRule="exact"/>
        <w:ind w:left="1896" w:leftChars="200" w:hanging="1264" w:hangingChars="400"/>
        <w:rPr>
          <w:rFonts w:hint="eastAsia"/>
          <w:spacing w:val="0"/>
          <w:w w:val="100"/>
          <w:sz w:val="32"/>
          <w:lang w:val="en-US"/>
        </w:rPr>
      </w:pPr>
      <w:r>
        <w:rPr>
          <w:rFonts w:hint="eastAsia"/>
          <w:spacing w:val="0"/>
          <w:w w:val="100"/>
          <w:sz w:val="32"/>
          <w:lang w:val="en-US"/>
        </w:rPr>
        <w:t>附件：</w:t>
      </w:r>
      <w:r>
        <w:rPr>
          <w:rFonts w:hint="default"/>
          <w:spacing w:val="0"/>
          <w:w w:val="100"/>
          <w:sz w:val="32"/>
        </w:rPr>
        <w:t>1.</w:t>
      </w:r>
      <w:r>
        <w:rPr>
          <w:rFonts w:hint="eastAsia"/>
          <w:spacing w:val="0"/>
          <w:w w:val="100"/>
          <w:sz w:val="32"/>
          <w:lang w:val="en-US"/>
        </w:rPr>
        <w:t>井研县茫溪河流域生态脆弱河段水产养殖退养</w:t>
      </w:r>
      <w:r>
        <w:rPr>
          <w:rFonts w:hint="eastAsia"/>
          <w:spacing w:val="0"/>
          <w:w w:val="100"/>
          <w:sz w:val="32"/>
          <w:lang w:val="en-US" w:eastAsia="zh-CN"/>
        </w:rPr>
        <w:t>补助</w:t>
      </w:r>
      <w:r>
        <w:rPr>
          <w:rFonts w:hint="eastAsia"/>
          <w:spacing w:val="0"/>
          <w:w w:val="100"/>
          <w:sz w:val="32"/>
          <w:lang w:val="en-US"/>
        </w:rPr>
        <w:t>标准</w:t>
      </w:r>
    </w:p>
    <w:p>
      <w:pPr>
        <w:pStyle w:val="2"/>
        <w:adjustRightInd w:val="0"/>
        <w:spacing w:line="600" w:lineRule="exact"/>
        <w:ind w:left="0" w:leftChars="0" w:firstLine="1580" w:firstLineChars="500"/>
        <w:rPr>
          <w:rFonts w:hint="default" w:eastAsia="仿宋_GB2312"/>
          <w:spacing w:val="0"/>
          <w:w w:val="100"/>
          <w:sz w:val="32"/>
          <w:lang w:val="en-US" w:eastAsia="zh-CN"/>
        </w:rPr>
      </w:pPr>
      <w:r>
        <w:rPr>
          <w:rFonts w:hint="eastAsia"/>
          <w:spacing w:val="0"/>
          <w:w w:val="100"/>
          <w:sz w:val="32"/>
          <w:lang w:val="en-US" w:eastAsia="zh-CN"/>
        </w:rPr>
        <w:t>2.养鱼塘（田）复垦质量标准和方法</w:t>
      </w:r>
    </w:p>
    <w:p>
      <w:pPr>
        <w:pStyle w:val="2"/>
        <w:adjustRightInd w:val="0"/>
        <w:spacing w:line="600" w:lineRule="exact"/>
        <w:ind w:firstLine="0" w:firstLineChars="0"/>
        <w:rPr>
          <w:lang w:val="en-US"/>
        </w:rPr>
      </w:pPr>
    </w:p>
    <w:p>
      <w:pPr>
        <w:pStyle w:val="2"/>
        <w:adjustRightInd w:val="0"/>
        <w:spacing w:line="600" w:lineRule="exact"/>
        <w:ind w:firstLine="5056" w:firstLineChars="1600"/>
        <w:rPr>
          <w:lang w:val="en-US"/>
        </w:rPr>
      </w:pPr>
      <w:r>
        <w:rPr>
          <w:rFonts w:hint="eastAsia"/>
          <w:lang w:val="en-US"/>
        </w:rPr>
        <w:t>井研县农业农村局</w:t>
      </w:r>
    </w:p>
    <w:p>
      <w:pPr>
        <w:pStyle w:val="2"/>
        <w:adjustRightInd w:val="0"/>
        <w:spacing w:line="600" w:lineRule="exact"/>
        <w:ind w:firstLine="0" w:firstLineChars="0"/>
        <w:jc w:val="center"/>
        <w:rPr>
          <w:lang w:val="en-US"/>
        </w:rPr>
      </w:pPr>
      <w:r>
        <w:rPr>
          <w:rFonts w:hint="default"/>
        </w:rPr>
        <w:t xml:space="preserve">                     </w:t>
      </w:r>
      <w:r>
        <w:rPr>
          <w:rFonts w:hint="eastAsia"/>
          <w:lang w:val="en-US"/>
        </w:rPr>
        <w:t xml:space="preserve">2022年3月 </w:t>
      </w:r>
      <w:r>
        <w:rPr>
          <w:rFonts w:hint="eastAsia"/>
          <w:lang w:val="en-US" w:eastAsia="zh-CN"/>
        </w:rPr>
        <w:t>9</w:t>
      </w:r>
      <w:r>
        <w:rPr>
          <w:rFonts w:hint="eastAsia"/>
          <w:lang w:val="en-US"/>
        </w:rPr>
        <w:t xml:space="preserve"> 日     </w:t>
      </w:r>
    </w:p>
    <w:p>
      <w:pPr>
        <w:pStyle w:val="14"/>
      </w:pPr>
      <w:r>
        <w:br w:type="page"/>
      </w:r>
    </w:p>
    <w:p>
      <w:pPr>
        <w:pStyle w:val="2"/>
        <w:ind w:firstLine="0" w:firstLineChars="0"/>
        <w:rPr>
          <w:rFonts w:hint="default" w:ascii="黑体" w:hAnsi="黑体" w:eastAsia="黑体" w:cs="黑体"/>
        </w:rPr>
      </w:pPr>
      <w:r>
        <w:rPr>
          <w:rFonts w:hint="eastAsia" w:ascii="黑体" w:hAnsi="黑体" w:eastAsia="黑体" w:cs="黑体"/>
          <w:lang w:val="en-US"/>
        </w:rPr>
        <w:t>附件</w:t>
      </w:r>
      <w:r>
        <w:rPr>
          <w:rFonts w:hint="default" w:ascii="黑体" w:hAnsi="黑体" w:eastAsia="黑体" w:cs="黑体"/>
        </w:rPr>
        <w:t>1</w:t>
      </w:r>
    </w:p>
    <w:p>
      <w:pPr>
        <w:pStyle w:val="14"/>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井研县生态脆弱河段水产养殖退养补</w:t>
      </w:r>
      <w:r>
        <w:rPr>
          <w:rFonts w:hint="eastAsia" w:ascii="方正小标宋简体" w:hAnsi="方正小标宋简体" w:eastAsia="方正小标宋简体" w:cs="方正小标宋简体"/>
          <w:lang w:val="en-US" w:eastAsia="zh-CN"/>
        </w:rPr>
        <w:t>助</w:t>
      </w:r>
      <w:r>
        <w:rPr>
          <w:rFonts w:hint="eastAsia" w:ascii="方正小标宋简体" w:hAnsi="方正小标宋简体" w:eastAsia="方正小标宋简体" w:cs="方正小标宋简体"/>
        </w:rPr>
        <w:t>标准</w:t>
      </w:r>
    </w:p>
    <w:p>
      <w:pPr>
        <w:rPr>
          <w:rFonts w:hint="eastAsia"/>
          <w:lang w:val="en-US"/>
        </w:rPr>
      </w:pPr>
    </w:p>
    <w:tbl>
      <w:tblPr>
        <w:tblStyle w:val="9"/>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339"/>
        <w:gridCol w:w="2701"/>
        <w:gridCol w:w="1013"/>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5379" w:type="dxa"/>
            <w:gridSpan w:val="3"/>
            <w:shd w:val="clear" w:color="auto" w:fill="auto"/>
            <w:vAlign w:val="center"/>
          </w:tcPr>
          <w:p>
            <w:pPr>
              <w:widowControl/>
              <w:spacing w:line="240" w:lineRule="exact"/>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类别</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计量单位</w:t>
            </w:r>
          </w:p>
        </w:tc>
        <w:tc>
          <w:tcPr>
            <w:tcW w:w="1987" w:type="dxa"/>
            <w:shd w:val="clear" w:color="auto" w:fill="auto"/>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补助标准（元）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339" w:type="dxa"/>
            <w:vMerge w:val="restart"/>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生产用房及附属设施</w:t>
            </w:r>
          </w:p>
        </w:tc>
        <w:tc>
          <w:tcPr>
            <w:tcW w:w="1339" w:type="dxa"/>
            <w:vMerge w:val="restart"/>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生产用房</w:t>
            </w:r>
          </w:p>
        </w:tc>
        <w:tc>
          <w:tcPr>
            <w:tcW w:w="2701" w:type="dxa"/>
            <w:shd w:val="clear" w:color="auto" w:fill="auto"/>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砖混结构</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2</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砖木结构</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2</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板房</w:t>
            </w:r>
          </w:p>
        </w:tc>
        <w:tc>
          <w:tcPr>
            <w:tcW w:w="1013" w:type="dxa"/>
            <w:shd w:val="clear" w:color="auto" w:fill="auto"/>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2</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其他结构</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2</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restart"/>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附属设施</w:t>
            </w: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土水井</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口</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条石水井</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口</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机井</w:t>
            </w:r>
          </w:p>
        </w:tc>
        <w:tc>
          <w:tcPr>
            <w:tcW w:w="1013" w:type="dxa"/>
            <w:shd w:val="clear" w:color="auto" w:fill="auto"/>
            <w:vAlign w:val="center"/>
          </w:tcPr>
          <w:p>
            <w:pPr>
              <w:widowControl/>
              <w:spacing w:line="240" w:lineRule="exact"/>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口</w:t>
            </w:r>
          </w:p>
        </w:tc>
        <w:tc>
          <w:tcPr>
            <w:tcW w:w="1987" w:type="dxa"/>
            <w:shd w:val="clear" w:color="auto" w:fill="auto"/>
            <w:vAlign w:val="center"/>
          </w:tcPr>
          <w:p>
            <w:pPr>
              <w:widowControl/>
              <w:spacing w:line="240" w:lineRule="exact"/>
              <w:jc w:val="center"/>
              <w:rPr>
                <w:rFonts w:hint="default" w:ascii="宋体" w:hAnsi="宋体" w:eastAsia="宋体" w:cs="宋体"/>
                <w:color w:val="auto"/>
                <w:kern w:val="0"/>
                <w:sz w:val="21"/>
                <w:szCs w:val="21"/>
              </w:rPr>
            </w:pPr>
            <w:r>
              <w:rPr>
                <w:rFonts w:hint="default" w:ascii="宋体" w:hAnsi="宋体" w:eastAsia="宋体" w:cs="宋体"/>
                <w:color w:val="auto"/>
                <w:kern w:val="0"/>
                <w:sz w:val="21"/>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restart"/>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生产道路</w:t>
            </w:r>
          </w:p>
        </w:tc>
        <w:tc>
          <w:tcPr>
            <w:tcW w:w="1339" w:type="dxa"/>
            <w:vMerge w:val="restart"/>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生产道路</w:t>
            </w: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混凝土硬化</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3</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砂石路</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米</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restart"/>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养殖设施设备</w:t>
            </w:r>
          </w:p>
        </w:tc>
        <w:tc>
          <w:tcPr>
            <w:tcW w:w="1339" w:type="dxa"/>
            <w:vMerge w:val="restart"/>
            <w:shd w:val="clear" w:color="auto" w:fill="auto"/>
            <w:vAlign w:val="center"/>
          </w:tcPr>
          <w:p>
            <w:pPr>
              <w:widowControl/>
              <w:spacing w:line="24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塘埂</w:t>
            </w:r>
            <w:r>
              <w:rPr>
                <w:rFonts w:hint="eastAsia" w:ascii="宋体" w:hAnsi="宋体" w:eastAsia="宋体" w:cs="宋体"/>
                <w:color w:val="000000"/>
                <w:kern w:val="0"/>
                <w:sz w:val="21"/>
                <w:szCs w:val="21"/>
                <w:lang w:eastAsia="zh-CN"/>
              </w:rPr>
              <w:t>补助</w:t>
            </w: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土彻塘埂</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3</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条石塘埂</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3</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混凝土硬化</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3</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砖砌</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3</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其他结构</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3</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restart"/>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沟渠</w:t>
            </w: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衬砌</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2</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未衬砌</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M</w:t>
            </w:r>
            <w:r>
              <w:rPr>
                <w:rFonts w:hint="eastAsia" w:ascii="宋体" w:hAnsi="宋体" w:eastAsia="宋体" w:cs="宋体"/>
                <w:color w:val="000000"/>
                <w:kern w:val="0"/>
                <w:sz w:val="21"/>
                <w:szCs w:val="21"/>
                <w:vertAlign w:val="superscript"/>
              </w:rPr>
              <w:t>2</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电户头</w:t>
            </w:r>
          </w:p>
        </w:tc>
        <w:tc>
          <w:tcPr>
            <w:tcW w:w="2701"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三项电户头</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restart"/>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养殖设备</w:t>
            </w:r>
          </w:p>
        </w:tc>
        <w:tc>
          <w:tcPr>
            <w:tcW w:w="2701" w:type="dxa"/>
            <w:vMerge w:val="restart"/>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对养殖业主目前正常使用的养殖设施设备（包括但不仅限于增氧机、投饵机、渔船等），根据设备购买期限分两个档次，分别按购买价格的50%和30%给予适当补贴。</w:t>
            </w: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5年以上</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1339" w:type="dxa"/>
            <w:vMerge w:val="continue"/>
            <w:vAlign w:val="center"/>
          </w:tcPr>
          <w:p>
            <w:pPr>
              <w:widowControl/>
              <w:spacing w:line="240" w:lineRule="exact"/>
              <w:jc w:val="left"/>
              <w:rPr>
                <w:rFonts w:ascii="宋体" w:hAnsi="宋体" w:eastAsia="宋体" w:cs="宋体"/>
                <w:color w:val="000000"/>
                <w:kern w:val="0"/>
                <w:sz w:val="21"/>
                <w:szCs w:val="21"/>
              </w:rPr>
            </w:pPr>
          </w:p>
        </w:tc>
        <w:tc>
          <w:tcPr>
            <w:tcW w:w="2701" w:type="dxa"/>
            <w:vMerge w:val="continue"/>
            <w:vAlign w:val="center"/>
          </w:tcPr>
          <w:p>
            <w:pPr>
              <w:widowControl/>
              <w:spacing w:line="240" w:lineRule="exact"/>
              <w:jc w:val="left"/>
              <w:rPr>
                <w:rFonts w:ascii="宋体" w:hAnsi="宋体" w:eastAsia="宋体" w:cs="宋体"/>
                <w:color w:val="000000"/>
                <w:kern w:val="0"/>
                <w:sz w:val="21"/>
                <w:szCs w:val="21"/>
              </w:rPr>
            </w:pPr>
          </w:p>
        </w:tc>
        <w:tc>
          <w:tcPr>
            <w:tcW w:w="1013" w:type="dxa"/>
            <w:shd w:val="clear" w:color="auto" w:fill="auto"/>
            <w:vAlign w:val="center"/>
          </w:tcPr>
          <w:p>
            <w:pPr>
              <w:widowControl/>
              <w:spacing w:line="24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5年以内</w:t>
            </w:r>
          </w:p>
        </w:tc>
        <w:tc>
          <w:tcPr>
            <w:tcW w:w="1987" w:type="dxa"/>
            <w:shd w:val="clear" w:color="auto" w:fill="auto"/>
            <w:vAlign w:val="center"/>
          </w:tcPr>
          <w:p>
            <w:pPr>
              <w:widowControl/>
              <w:spacing w:line="240" w:lineRule="exact"/>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50%</w:t>
            </w:r>
          </w:p>
        </w:tc>
      </w:tr>
    </w:tbl>
    <w:p>
      <w:pPr>
        <w:rPr>
          <w:sz w:val="21"/>
          <w:szCs w:val="21"/>
          <w:lang w:val="en-US"/>
        </w:rPr>
      </w:pPr>
    </w:p>
    <w:p>
      <w:pPr>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附件2</w:t>
      </w:r>
    </w:p>
    <w:p>
      <w:pPr>
        <w:ind w:firstLine="1308" w:firstLineChars="300"/>
        <w:rPr>
          <w:rFonts w:hint="eastAsia" w:ascii="方正小标宋简体" w:hAnsi="方正小标宋简体" w:eastAsia="方正小标宋简体" w:cs="方正小标宋简体"/>
          <w:kern w:val="2"/>
          <w:sz w:val="44"/>
          <w:szCs w:val="24"/>
          <w:lang w:val="en-US" w:eastAsia="zh-CN" w:bidi="ar-SA"/>
        </w:rPr>
      </w:pPr>
      <w:r>
        <w:rPr>
          <w:rFonts w:hint="eastAsia" w:ascii="方正小标宋简体" w:hAnsi="方正小标宋简体" w:eastAsia="方正小标宋简体" w:cs="方正小标宋简体"/>
          <w:kern w:val="2"/>
          <w:sz w:val="44"/>
          <w:szCs w:val="24"/>
          <w:lang w:val="en-US" w:eastAsia="zh-CN" w:bidi="ar-SA"/>
        </w:rPr>
        <w:t>养鱼塘（田）复垦质量标准和方法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根据《土地复垦条例》、《新增耕地质量等别评定规范（试行）》、《农用地质量分等规程》、《土地复垦质量控制标准》（TD/T 1036-2013）等法律法规的质量标准要求。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b w:val="0"/>
          <w:bCs w:val="0"/>
          <w:sz w:val="32"/>
          <w:szCs w:val="32"/>
          <w:lang w:eastAsia="zh-CN"/>
        </w:rPr>
        <w:t>复垦地块质量标准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水田复垦要求坡度不得大于15度，田面高差正负3厘米以内，有效土层厚度大于50厘米，土壤容重小于1.35g/cm3，土壤质地为砂质壤土至壤质粘土，砾石含量小于等于10%，pH值5.5-8.0，有机质含量大于1.2%；筑有地埂、无建筑垃圾、排灌设施、生产道路满足农业生产基本要求，生产力水平达到周边土地利用类型平均地力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鱼塘（田）复耕方法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根据实际生产实践中，养鱼塘（田）地块淤泥厚，不平整的特殊性，建议采取清淤晒田，水旱轮着，逐步恢复成稻田。建议方法：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cs="仿宋_GB2312"/>
          <w:kern w:val="2"/>
          <w:sz w:val="32"/>
          <w:szCs w:val="32"/>
          <w:lang w:val="en-US" w:eastAsia="zh-CN" w:bidi="zh-CN"/>
        </w:rPr>
        <w:t>（一）</w:t>
      </w:r>
      <w:r>
        <w:rPr>
          <w:rFonts w:hint="eastAsia" w:ascii="仿宋_GB2312" w:hAnsi="仿宋_GB2312" w:eastAsia="仿宋_GB2312" w:cs="仿宋_GB2312"/>
          <w:kern w:val="2"/>
          <w:sz w:val="32"/>
          <w:szCs w:val="32"/>
          <w:lang w:val="en-US" w:eastAsia="zh-CN" w:bidi="zh-CN"/>
        </w:rPr>
        <w:t>放水，检测有机质、酸碱度、重金属情况。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kern w:val="2"/>
          <w:sz w:val="32"/>
          <w:szCs w:val="32"/>
          <w:lang w:val="en-US" w:eastAsia="zh-CN" w:bidi="zh-CN"/>
        </w:rPr>
      </w:pPr>
      <w:r>
        <w:rPr>
          <w:rFonts w:hint="eastAsia" w:ascii="仿宋_GB2312" w:hAnsi="仿宋_GB2312" w:cs="仿宋_GB2312"/>
          <w:kern w:val="2"/>
          <w:sz w:val="32"/>
          <w:szCs w:val="32"/>
          <w:lang w:val="en-US" w:eastAsia="zh-CN" w:bidi="zh-CN"/>
        </w:rPr>
        <w:t>（二）</w:t>
      </w:r>
      <w:r>
        <w:rPr>
          <w:rFonts w:hint="eastAsia" w:ascii="仿宋_GB2312" w:hAnsi="仿宋_GB2312" w:eastAsia="仿宋_GB2312" w:cs="仿宋_GB2312"/>
          <w:kern w:val="2"/>
          <w:sz w:val="32"/>
          <w:szCs w:val="32"/>
          <w:lang w:val="en-US" w:eastAsia="zh-CN" w:bidi="zh-CN"/>
        </w:rPr>
        <w:t>开沟排水，加适量石灰。包括边沟和厢沟，厢宽3-4米，沟深0.8-1米，经常清沟保排。</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kern w:val="2"/>
          <w:sz w:val="32"/>
          <w:szCs w:val="32"/>
          <w:lang w:val="en-US" w:eastAsia="zh-CN" w:bidi="zh-CN"/>
        </w:rPr>
      </w:pPr>
      <w:r>
        <w:rPr>
          <w:rFonts w:hint="eastAsia" w:ascii="仿宋_GB2312" w:hAnsi="仿宋_GB2312" w:cs="仿宋_GB2312"/>
          <w:kern w:val="2"/>
          <w:sz w:val="32"/>
          <w:szCs w:val="32"/>
          <w:lang w:val="en-US" w:eastAsia="zh-CN" w:bidi="zh-CN"/>
        </w:rPr>
        <w:t>（三）</w:t>
      </w:r>
      <w:r>
        <w:rPr>
          <w:rFonts w:hint="eastAsia" w:ascii="仿宋_GB2312" w:hAnsi="仿宋_GB2312" w:eastAsia="仿宋_GB2312" w:cs="仿宋_GB2312"/>
          <w:kern w:val="2"/>
          <w:sz w:val="32"/>
          <w:szCs w:val="32"/>
          <w:lang w:val="en-US" w:eastAsia="zh-CN" w:bidi="zh-CN"/>
        </w:rPr>
        <w:t>做好地块周围大排洪沟渠畅通。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cs="仿宋_GB2312"/>
          <w:kern w:val="2"/>
          <w:sz w:val="32"/>
          <w:szCs w:val="32"/>
          <w:lang w:val="en-US" w:eastAsia="zh-CN" w:bidi="zh-CN"/>
        </w:rPr>
        <w:t>（四）</w:t>
      </w:r>
      <w:r>
        <w:rPr>
          <w:rFonts w:hint="eastAsia" w:ascii="仿宋_GB2312" w:hAnsi="仿宋_GB2312" w:eastAsia="仿宋_GB2312" w:cs="仿宋_GB2312"/>
          <w:kern w:val="2"/>
          <w:sz w:val="32"/>
          <w:szCs w:val="32"/>
          <w:lang w:val="en-US" w:eastAsia="zh-CN" w:bidi="zh-CN"/>
        </w:rPr>
        <w:t>至少保持旱作一年，如种玉米、大豆等。使其充分沉淀，以后视情况采取水旱轮作，逐步复耕达到以上水田质量标准。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kern w:val="2"/>
          <w:sz w:val="32"/>
          <w:szCs w:val="32"/>
          <w:lang w:val="en-US" w:eastAsia="zh-CN" w:bidi="zh-CN"/>
        </w:rPr>
      </w:pPr>
    </w:p>
    <w:sectPr>
      <w:footerReference r:id="rId3" w:type="default"/>
      <w:pgSz w:w="11906" w:h="16838"/>
      <w:pgMar w:top="2041" w:right="1468" w:bottom="1587" w:left="1468" w:header="851" w:footer="1247" w:gutter="0"/>
      <w:pgNumType w:fmt="numberInDash"/>
      <w:cols w:space="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D5DA8"/>
    <w:multiLevelType w:val="singleLevel"/>
    <w:tmpl w:val="50BD5D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287"/>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OTg4OTcwOWJkNjYzZjMwNDliMDFlMThlYzU0OGEifQ=="/>
  </w:docVars>
  <w:rsids>
    <w:rsidRoot w:val="15024011"/>
    <w:rsid w:val="00095F6D"/>
    <w:rsid w:val="00586AFA"/>
    <w:rsid w:val="00880ECF"/>
    <w:rsid w:val="00C77EF0"/>
    <w:rsid w:val="00FB06E5"/>
    <w:rsid w:val="00FE0E6A"/>
    <w:rsid w:val="024068EF"/>
    <w:rsid w:val="05060EC0"/>
    <w:rsid w:val="092E4D4D"/>
    <w:rsid w:val="0B503F3F"/>
    <w:rsid w:val="0C79382D"/>
    <w:rsid w:val="0E0137FE"/>
    <w:rsid w:val="0E4029EC"/>
    <w:rsid w:val="0EBC51DE"/>
    <w:rsid w:val="10CC3949"/>
    <w:rsid w:val="11395D59"/>
    <w:rsid w:val="118C2F9A"/>
    <w:rsid w:val="11DB31BA"/>
    <w:rsid w:val="12320AD3"/>
    <w:rsid w:val="13867244"/>
    <w:rsid w:val="142E3666"/>
    <w:rsid w:val="14C62E18"/>
    <w:rsid w:val="15024011"/>
    <w:rsid w:val="15634011"/>
    <w:rsid w:val="169E79F7"/>
    <w:rsid w:val="16AD7EF0"/>
    <w:rsid w:val="16D32808"/>
    <w:rsid w:val="1771514A"/>
    <w:rsid w:val="17C95709"/>
    <w:rsid w:val="17CF58CA"/>
    <w:rsid w:val="19757258"/>
    <w:rsid w:val="1A282B67"/>
    <w:rsid w:val="1A300DC6"/>
    <w:rsid w:val="1ABD72AA"/>
    <w:rsid w:val="1B33028B"/>
    <w:rsid w:val="1BB11F7A"/>
    <w:rsid w:val="1C394EF5"/>
    <w:rsid w:val="1C7C4D9E"/>
    <w:rsid w:val="1D8F491D"/>
    <w:rsid w:val="1DC544FD"/>
    <w:rsid w:val="1E02253A"/>
    <w:rsid w:val="1E6857D8"/>
    <w:rsid w:val="1FC102B2"/>
    <w:rsid w:val="21C576FC"/>
    <w:rsid w:val="21D31496"/>
    <w:rsid w:val="2364420A"/>
    <w:rsid w:val="23FF1FBB"/>
    <w:rsid w:val="2563034F"/>
    <w:rsid w:val="272936E8"/>
    <w:rsid w:val="28506522"/>
    <w:rsid w:val="2863040D"/>
    <w:rsid w:val="29C1215A"/>
    <w:rsid w:val="2AE50453"/>
    <w:rsid w:val="2B225500"/>
    <w:rsid w:val="2DA847E2"/>
    <w:rsid w:val="2E0A72C8"/>
    <w:rsid w:val="2E1E6816"/>
    <w:rsid w:val="2EF72980"/>
    <w:rsid w:val="2F200747"/>
    <w:rsid w:val="30D065A7"/>
    <w:rsid w:val="317560B4"/>
    <w:rsid w:val="3291620A"/>
    <w:rsid w:val="33A5B6B8"/>
    <w:rsid w:val="33DB598E"/>
    <w:rsid w:val="34156826"/>
    <w:rsid w:val="35903AD9"/>
    <w:rsid w:val="35D2691D"/>
    <w:rsid w:val="37452690"/>
    <w:rsid w:val="3BA50AE5"/>
    <w:rsid w:val="3D6D517E"/>
    <w:rsid w:val="3E1C10CF"/>
    <w:rsid w:val="3E2748F8"/>
    <w:rsid w:val="3FAB3CB8"/>
    <w:rsid w:val="40130737"/>
    <w:rsid w:val="417E7EAD"/>
    <w:rsid w:val="437F27A2"/>
    <w:rsid w:val="45EC3D2C"/>
    <w:rsid w:val="479F7CAB"/>
    <w:rsid w:val="48133B09"/>
    <w:rsid w:val="494C555E"/>
    <w:rsid w:val="4B4832C5"/>
    <w:rsid w:val="4B54374A"/>
    <w:rsid w:val="4DA54B5F"/>
    <w:rsid w:val="4EBE757A"/>
    <w:rsid w:val="4EE1120B"/>
    <w:rsid w:val="4F6E2569"/>
    <w:rsid w:val="517A5F71"/>
    <w:rsid w:val="518B21AD"/>
    <w:rsid w:val="524D10C1"/>
    <w:rsid w:val="529C79F2"/>
    <w:rsid w:val="54086282"/>
    <w:rsid w:val="540F0DE7"/>
    <w:rsid w:val="547E1BD1"/>
    <w:rsid w:val="54AC53E9"/>
    <w:rsid w:val="54E36739"/>
    <w:rsid w:val="557843E9"/>
    <w:rsid w:val="577C0AC7"/>
    <w:rsid w:val="57984157"/>
    <w:rsid w:val="58E41764"/>
    <w:rsid w:val="5B5A1360"/>
    <w:rsid w:val="5CE90454"/>
    <w:rsid w:val="60304AE5"/>
    <w:rsid w:val="60977E7A"/>
    <w:rsid w:val="60A15EBA"/>
    <w:rsid w:val="6129748A"/>
    <w:rsid w:val="624F6F55"/>
    <w:rsid w:val="643E0467"/>
    <w:rsid w:val="64E34D24"/>
    <w:rsid w:val="680417EB"/>
    <w:rsid w:val="689F270F"/>
    <w:rsid w:val="697B45FB"/>
    <w:rsid w:val="69CC4E56"/>
    <w:rsid w:val="6A3B1D00"/>
    <w:rsid w:val="6B0E23F1"/>
    <w:rsid w:val="6B110DD4"/>
    <w:rsid w:val="6B4E1BD0"/>
    <w:rsid w:val="6B9A2A03"/>
    <w:rsid w:val="6EBD62A5"/>
    <w:rsid w:val="6EF65B54"/>
    <w:rsid w:val="712B3998"/>
    <w:rsid w:val="71FB5A46"/>
    <w:rsid w:val="731F4FBE"/>
    <w:rsid w:val="753136E7"/>
    <w:rsid w:val="76BB2C20"/>
    <w:rsid w:val="76C22733"/>
    <w:rsid w:val="77B53E6B"/>
    <w:rsid w:val="785D7494"/>
    <w:rsid w:val="78C31B1A"/>
    <w:rsid w:val="79394A97"/>
    <w:rsid w:val="7AB83901"/>
    <w:rsid w:val="7ABB6F4D"/>
    <w:rsid w:val="7ADB44D6"/>
    <w:rsid w:val="7B3327F3"/>
    <w:rsid w:val="7CA02AB9"/>
    <w:rsid w:val="7D052701"/>
    <w:rsid w:val="7DDD6DD3"/>
    <w:rsid w:val="7FC068C0"/>
    <w:rsid w:val="7FF117AB"/>
    <w:rsid w:val="D76F80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semiHidden/>
    <w:unhideWhenUsed/>
    <w:qFormat/>
    <w:uiPriority w:val="0"/>
    <w:pPr>
      <w:keepNext/>
      <w:keepLines/>
      <w:ind w:firstLine="632" w:firstLineChars="200"/>
      <w:outlineLvl w:val="1"/>
    </w:pPr>
    <w:rPr>
      <w:rFonts w:ascii="Arial" w:hAnsi="Arial" w:eastAsia="黑体"/>
    </w:rPr>
  </w:style>
  <w:style w:type="paragraph" w:styleId="5">
    <w:name w:val="heading 3"/>
    <w:basedOn w:val="1"/>
    <w:next w:val="1"/>
    <w:semiHidden/>
    <w:unhideWhenUsed/>
    <w:qFormat/>
    <w:uiPriority w:val="0"/>
    <w:pPr>
      <w:keepNext/>
      <w:keepLines/>
      <w:ind w:firstLine="632" w:firstLineChars="200"/>
      <w:outlineLvl w:val="2"/>
    </w:pPr>
    <w:rPr>
      <w:rFonts w:eastAsia="楷体_GB2312"/>
      <w:b/>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firstLine="632" w:firstLineChars="200"/>
    </w:pPr>
    <w:rPr>
      <w:rFonts w:ascii="仿宋_GB2312" w:hAnsi="仿宋_GB2312" w:cs="仿宋_GB2312"/>
      <w:szCs w:val="32"/>
      <w:lang w:val="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customStyle="1" w:styleId="13">
    <w:name w:val="一级标题"/>
    <w:basedOn w:val="4"/>
    <w:next w:val="1"/>
    <w:link w:val="16"/>
    <w:qFormat/>
    <w:uiPriority w:val="0"/>
    <w:pPr>
      <w:keepNext w:val="0"/>
      <w:keepLines w:val="0"/>
      <w:outlineLvl w:val="9"/>
    </w:pPr>
    <w:rPr>
      <w:rFonts w:cs="仿宋_GB2312"/>
      <w:szCs w:val="22"/>
      <w:lang w:val="zh-CN" w:bidi="zh-CN"/>
    </w:rPr>
  </w:style>
  <w:style w:type="paragraph" w:customStyle="1" w:styleId="14">
    <w:name w:val="主标题"/>
    <w:basedOn w:val="1"/>
    <w:next w:val="1"/>
    <w:qFormat/>
    <w:uiPriority w:val="0"/>
    <w:pPr>
      <w:spacing w:line="700" w:lineRule="exact"/>
      <w:jc w:val="center"/>
    </w:pPr>
    <w:rPr>
      <w:rFonts w:eastAsia="方正公文小标宋"/>
      <w:sz w:val="44"/>
    </w:rPr>
  </w:style>
  <w:style w:type="paragraph" w:customStyle="1" w:styleId="15">
    <w:name w:val="二级标题"/>
    <w:basedOn w:val="5"/>
    <w:next w:val="1"/>
    <w:qFormat/>
    <w:uiPriority w:val="0"/>
    <w:rPr>
      <w:rFonts w:ascii="仿宋_GB2312" w:hAnsi="仿宋_GB2312" w:cs="仿宋_GB2312"/>
      <w:b w:val="0"/>
      <w:szCs w:val="22"/>
      <w:lang w:val="zh-CN" w:bidi="zh-CN"/>
    </w:rPr>
  </w:style>
  <w:style w:type="character" w:customStyle="1" w:styleId="16">
    <w:name w:val="一级标题 Char"/>
    <w:link w:val="13"/>
    <w:qFormat/>
    <w:uiPriority w:val="0"/>
    <w:rPr>
      <w:rFonts w:ascii="Arial" w:hAnsi="Arial" w:eastAsia="黑体" w:cs="仿宋_GB2312"/>
      <w:color w:val="auto"/>
      <w:sz w:val="3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3189</Words>
  <Characters>3333</Characters>
  <Lines>20</Lines>
  <Paragraphs>5</Paragraphs>
  <TotalTime>10</TotalTime>
  <ScaleCrop>false</ScaleCrop>
  <LinksUpToDate>false</LinksUpToDate>
  <CharactersWithSpaces>3363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2022-03-06T23:15:00Z</dcterms:created>
  <dc:creator>13618182668</dc:creator>
  <cp:lastModifiedBy>井研县农业农村局</cp:lastModifiedBy>
  <cp:lastPrinted>2022-03-09T10:19:00Z</cp:lastPrinted>
  <dcterms:modified xsi:type="dcterms:W3CDTF">2022-12-20T04:31:28Z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7215327184944248A51B57A0531081CD</vt:lpwstr>
  </property>
</Properties>
</file>