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pStyle w:val="2"/>
        <w:ind w:left="0" w:leftChars="0" w:firstLine="0" w:firstLineChars="0"/>
        <w:rPr>
          <w:rFonts w:hint="eastAsia" w:ascii="黑体" w:hAnsi="黑体" w:eastAsia="黑体" w:cs="黑体"/>
          <w:sz w:val="32"/>
          <w:szCs w:val="32"/>
        </w:rPr>
      </w:pPr>
      <w:bookmarkStart w:id="1" w:name="_GoBack"/>
      <w:bookmarkEnd w:id="1"/>
    </w:p>
    <w:p>
      <w:pPr>
        <w:pStyle w:val="11"/>
        <w:bidi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井研县2021年水产养殖池塘尾水治理</w:t>
      </w:r>
    </w:p>
    <w:p>
      <w:pPr>
        <w:pStyle w:val="11"/>
        <w:bidi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项目实施方案</w:t>
      </w:r>
    </w:p>
    <w:p>
      <w:pPr>
        <w:pStyle w:val="2"/>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为支持做好渔业发展相关工作，</w:t>
      </w:r>
      <w:r>
        <w:rPr>
          <w:rFonts w:hint="eastAsia" w:eastAsia="仿宋_GB2312" w:cs="仿宋_GB2312"/>
          <w:sz w:val="32"/>
          <w:szCs w:val="32"/>
          <w:lang w:eastAsia="zh-CN"/>
        </w:rPr>
        <w:t>省财政厅、省农业农村厅</w:t>
      </w:r>
      <w:r>
        <w:rPr>
          <w:rFonts w:hint="eastAsia" w:ascii="仿宋_GB2312" w:hAnsi="仿宋_GB2312" w:eastAsia="仿宋_GB2312" w:cs="仿宋_GB2312"/>
          <w:sz w:val="32"/>
          <w:szCs w:val="32"/>
        </w:rPr>
        <w:t>达我县2021年成品油价格调整对渔业补助</w:t>
      </w:r>
      <w:r>
        <w:rPr>
          <w:rFonts w:hint="eastAsia" w:eastAsia="仿宋_GB2312" w:cs="仿宋_GB2312"/>
          <w:sz w:val="32"/>
          <w:szCs w:val="32"/>
          <w:lang w:eastAsia="zh-CN"/>
        </w:rPr>
        <w:t>资金</w:t>
      </w:r>
      <w:r>
        <w:rPr>
          <w:rFonts w:hint="eastAsia" w:ascii="仿宋_GB2312" w:hAnsi="仿宋_GB2312" w:eastAsia="仿宋_GB2312" w:cs="仿宋_GB2312"/>
          <w:sz w:val="32"/>
          <w:szCs w:val="32"/>
        </w:rPr>
        <w:t>，用于水产养殖</w:t>
      </w:r>
      <w:r>
        <w:rPr>
          <w:rFonts w:hint="eastAsia" w:eastAsia="仿宋_GB2312" w:cs="仿宋_GB2312"/>
          <w:sz w:val="32"/>
          <w:szCs w:val="32"/>
          <w:lang w:eastAsia="zh-CN"/>
        </w:rPr>
        <w:t>池塘尾水治理</w:t>
      </w:r>
      <w:r>
        <w:rPr>
          <w:rFonts w:hint="eastAsia" w:ascii="仿宋_GB2312" w:hAnsi="仿宋_GB2312" w:eastAsia="仿宋_GB2312" w:cs="仿宋_GB2312"/>
          <w:sz w:val="32"/>
          <w:szCs w:val="32"/>
        </w:rPr>
        <w:t>。</w:t>
      </w:r>
      <w:r>
        <w:rPr>
          <w:rFonts w:hint="eastAsia" w:eastAsia="仿宋_GB2312" w:cs="仿宋_GB2312"/>
          <w:sz w:val="32"/>
          <w:szCs w:val="32"/>
          <w:lang w:eastAsia="zh-CN"/>
        </w:rPr>
        <w:t>通过</w:t>
      </w:r>
      <w:r>
        <w:rPr>
          <w:rFonts w:hint="eastAsia" w:ascii="仿宋_GB2312" w:hAnsi="仿宋_GB2312" w:eastAsia="仿宋_GB2312" w:cs="仿宋_GB2312"/>
          <w:sz w:val="32"/>
          <w:szCs w:val="32"/>
        </w:rPr>
        <w:t xml:space="preserve">内陆养殖池塘标准化改造和尾水治理、优化养殖模式结构等措施，保障水产养殖生态环境安全，促使本地区水产品质量安全形势持续稳定向好和水产养殖业健康可持续发展的示范项目。结合我县实际，制定本实施方案。 </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一、项目名称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井研县2021年水产养殖池塘尾水治理项目</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二、上级主管部门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乐山市农业农村局、乐山市财政局 </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三、县级主管部门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井研县农业农村局、井研县财政局 </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四、项目实施单位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井研县农业农村局、项目涉及镇（街道） </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五、项目资金来源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《四川省财政厅</w:t>
      </w:r>
      <w:r>
        <w:rPr>
          <w:rFonts w:hint="eastAsia" w:eastAsia="仿宋_GB2312" w:cs="仿宋_GB2312"/>
          <w:sz w:val="32"/>
          <w:szCs w:val="32"/>
          <w:lang w:val="en-US" w:eastAsia="zh-CN"/>
        </w:rPr>
        <w:t xml:space="preserve"> </w:t>
      </w:r>
      <w:r>
        <w:rPr>
          <w:rFonts w:hint="eastAsia" w:ascii="仿宋_GB2312" w:hAnsi="仿宋_GB2312" w:eastAsia="仿宋_GB2312" w:cs="仿宋_GB2312"/>
          <w:sz w:val="32"/>
          <w:szCs w:val="32"/>
        </w:rPr>
        <w:t>四川省农业农村厅关于下达2021年成品油价格调整对渔业补助预算资金的通知》（川财农〔2021〕95号）精神，下达我县中央</w:t>
      </w:r>
      <w:r>
        <w:rPr>
          <w:rFonts w:hint="eastAsia" w:eastAsia="仿宋_GB2312" w:cs="仿宋_GB2312"/>
          <w:sz w:val="32"/>
          <w:szCs w:val="32"/>
          <w:lang w:eastAsia="zh-CN"/>
        </w:rPr>
        <w:t>财政</w:t>
      </w:r>
      <w:r>
        <w:rPr>
          <w:rFonts w:hint="eastAsia" w:ascii="仿宋_GB2312" w:hAnsi="仿宋_GB2312" w:eastAsia="仿宋_GB2312" w:cs="仿宋_GB2312"/>
          <w:sz w:val="32"/>
          <w:szCs w:val="32"/>
        </w:rPr>
        <w:t xml:space="preserve">水产养殖池塘尾水治理资金 607万元。 </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六、补助标准、环节及方式</w:t>
      </w:r>
    </w:p>
    <w:p>
      <w:pPr>
        <w:pStyle w:val="13"/>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sz w:val="32"/>
          <w:szCs w:val="32"/>
        </w:rPr>
      </w:pPr>
      <w:r>
        <w:rPr>
          <w:rFonts w:hint="eastAsia"/>
          <w:sz w:val="32"/>
          <w:szCs w:val="32"/>
        </w:rPr>
        <w:t>（一）补助标准。</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池塘标准化改造和集中连片尾水治理、优化养殖结构调整项目奖补资金原则上不超过1500元/亩，自筹资金不低于1800元/亩。</w:t>
      </w:r>
    </w:p>
    <w:p>
      <w:pPr>
        <w:pStyle w:val="13"/>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（二）补助环节。</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资金主要用于：一是基地提档升级。支持基地“四网”配套、池塘加宽加固、进排水系统、生态湿地、水生植物种植、回水循环泵站、池塘清淤、水质监测设施设备、智慧渔业、物联网、污水处理站、种养循环、标识标牌、环境绿化等基础设施设备建设，推进渔业标准化产业基地建设，提升基地标准化水平。二是做好产业结构调整，发展陆基工厂化养殖、桶圈养、高位池养殖、流水槽养殖、底排污养殖模式等新业态培育。三是支持渔业产业基地景区化建设，打造水美新村，促进渔业与旅游、文化、科技、教育、生态治理的有机融合。</w:t>
      </w:r>
    </w:p>
    <w:p>
      <w:pPr>
        <w:pStyle w:val="13"/>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（三） 补助方式。</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补助资金采取先建后补、以奖代补的方式。</w:t>
      </w:r>
    </w:p>
    <w:p>
      <w:pPr>
        <w:pStyle w:val="13"/>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（四）项目建设时间。</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2021年项目经批复后的建设方案须在2022年10月底前完工并通过县级验收。</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七、项目实施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为确保项目绩效目标按时完成，</w:t>
      </w:r>
      <w:r>
        <w:rPr>
          <w:rFonts w:hint="eastAsia" w:eastAsia="仿宋_GB2312" w:cs="仿宋_GB2312"/>
          <w:sz w:val="32"/>
          <w:szCs w:val="32"/>
          <w:lang w:eastAsia="zh-CN"/>
        </w:rPr>
        <w:t>各镇（街道）</w:t>
      </w:r>
      <w:r>
        <w:rPr>
          <w:rFonts w:hint="eastAsia" w:ascii="仿宋_GB2312" w:hAnsi="仿宋_GB2312" w:eastAsia="仿宋_GB2312" w:cs="仿宋_GB2312"/>
          <w:sz w:val="32"/>
          <w:szCs w:val="32"/>
        </w:rPr>
        <w:t>根据绩效目标任务表，于</w:t>
      </w:r>
      <w:r>
        <w:rPr>
          <w:rFonts w:hint="eastAsia"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eastAsia="仿宋_GB2312" w:cs="仿宋_GB2312"/>
          <w:sz w:val="32"/>
          <w:szCs w:val="32"/>
          <w:lang w:val="en-US" w:eastAsia="zh-CN"/>
        </w:rPr>
        <w:t>3</w:t>
      </w:r>
      <w:r>
        <w:rPr>
          <w:rFonts w:hint="eastAsia" w:ascii="仿宋_GB2312" w:hAnsi="仿宋_GB2312" w:eastAsia="仿宋_GB2312" w:cs="仿宋_GB2312"/>
          <w:sz w:val="32"/>
          <w:szCs w:val="32"/>
        </w:rPr>
        <w:t>0日前将</w:t>
      </w:r>
      <w:r>
        <w:rPr>
          <w:rFonts w:hint="eastAsia" w:eastAsia="仿宋_GB2312" w:cs="仿宋_GB2312"/>
          <w:sz w:val="32"/>
          <w:szCs w:val="32"/>
          <w:lang w:eastAsia="zh-CN"/>
        </w:rPr>
        <w:t>本镇（街道）</w:t>
      </w:r>
      <w:r>
        <w:rPr>
          <w:rFonts w:hint="eastAsia" w:ascii="仿宋_GB2312" w:hAnsi="仿宋_GB2312" w:eastAsia="仿宋_GB2312" w:cs="仿宋_GB2312"/>
          <w:sz w:val="32"/>
          <w:szCs w:val="32"/>
        </w:rPr>
        <w:t>项目实施</w:t>
      </w:r>
      <w:r>
        <w:rPr>
          <w:rFonts w:hint="eastAsia" w:eastAsia="仿宋_GB2312" w:cs="仿宋_GB2312"/>
          <w:sz w:val="32"/>
          <w:szCs w:val="32"/>
          <w:lang w:eastAsia="zh-CN"/>
        </w:rPr>
        <w:t>方案</w:t>
      </w:r>
      <w:r>
        <w:rPr>
          <w:rFonts w:hint="eastAsia" w:ascii="仿宋_GB2312" w:hAnsi="仿宋_GB2312" w:eastAsia="仿宋_GB2312" w:cs="仿宋_GB2312"/>
          <w:sz w:val="32"/>
          <w:szCs w:val="32"/>
        </w:rPr>
        <w:t>报县农业农村局，经批复后须在 2022 年 10 月 30 日前完成项目建设，并通过县级验收。</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Style w:val="14"/>
          <w:rFonts w:hint="eastAsia"/>
        </w:rPr>
        <w:t>（一）申报原则。</w:t>
      </w:r>
      <w:r>
        <w:rPr>
          <w:rFonts w:hint="eastAsia" w:ascii="仿宋_GB2312" w:hAnsi="仿宋_GB2312" w:eastAsia="仿宋_GB2312" w:cs="仿宋_GB2312"/>
          <w:sz w:val="32"/>
          <w:szCs w:val="32"/>
        </w:rPr>
        <w:t>项目申报工作由镇（街道）组织区域内渔业经营主体开展自主申报。按照“公开、公平、公正”的原则，采取实地考察、综合评审等方式，择优确定补助项目业主。</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Style w:val="14"/>
          <w:rFonts w:hint="eastAsia"/>
        </w:rPr>
        <w:t>（二）公示公告。</w:t>
      </w:r>
      <w:r>
        <w:rPr>
          <w:rFonts w:hint="eastAsia" w:ascii="仿宋_GB2312" w:hAnsi="仿宋_GB2312" w:eastAsia="仿宋_GB2312" w:cs="仿宋_GB2312"/>
          <w:sz w:val="32"/>
          <w:szCs w:val="32"/>
        </w:rPr>
        <w:t xml:space="preserve">项目进行实施前公示、竣工后公告。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Style w:val="14"/>
          <w:rFonts w:hint="eastAsia"/>
        </w:rPr>
        <w:t>（三）组织验收。</w:t>
      </w:r>
      <w:r>
        <w:rPr>
          <w:rFonts w:hint="eastAsia" w:ascii="仿宋_GB2312" w:hAnsi="仿宋_GB2312" w:eastAsia="仿宋_GB2312" w:cs="仿宋_GB2312"/>
          <w:sz w:val="32"/>
          <w:szCs w:val="32"/>
        </w:rPr>
        <w:t xml:space="preserve">项目实施完成后，各镇（街道）按照国家有关规定组织验收，主管部门复核。验收主要内容有：项目建设地点和内容是否变更、建设标准是否符合行业要求、建设数量是否减少、质量是否合格、资金是否违规、群众是否满意。验收过程中发现问题，督促实施单位及时整改。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Style w:val="14"/>
          <w:rFonts w:hint="eastAsia"/>
        </w:rPr>
        <w:t>（四）绩效评价。</w:t>
      </w:r>
      <w:r>
        <w:rPr>
          <w:rFonts w:hint="eastAsia" w:ascii="仿宋_GB2312" w:hAnsi="仿宋_GB2312" w:eastAsia="仿宋_GB2312" w:cs="仿宋_GB2312"/>
          <w:sz w:val="32"/>
          <w:szCs w:val="32"/>
        </w:rPr>
        <w:t xml:space="preserve">项目完工后，县级主管部门按照相关规定和 绩效指标搞好绩效评价，认真总结，找差距，吸取教训，为以后更好实施相关项目奠定基础。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Style w:val="14"/>
          <w:rFonts w:hint="eastAsia"/>
        </w:rPr>
        <w:t>（五）预期效益。</w:t>
      </w:r>
      <w:r>
        <w:rPr>
          <w:rFonts w:hint="eastAsia" w:ascii="仿宋_GB2312" w:hAnsi="仿宋_GB2312" w:eastAsia="仿宋_GB2312" w:cs="仿宋_GB2312"/>
          <w:sz w:val="32"/>
          <w:szCs w:val="32"/>
        </w:rPr>
        <w:t>养殖池塘尾水治理面积不低于4046.67亩，水产养殖池塘尾水治理满意度80%以上，保障我县养殖水域生态环境安全，群众满意度达90%以上。</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八、资金管理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Style w:val="14"/>
          <w:rFonts w:hint="eastAsia"/>
        </w:rPr>
        <w:t>（一）管理原则。</w:t>
      </w:r>
      <w:r>
        <w:rPr>
          <w:rFonts w:hint="eastAsia" w:ascii="仿宋_GB2312" w:hAnsi="仿宋_GB2312" w:eastAsia="仿宋_GB2312" w:cs="仿宋_GB2312"/>
          <w:sz w:val="32"/>
          <w:szCs w:val="32"/>
        </w:rPr>
        <w:t xml:space="preserve">按照《关于印发四川省实施渔业发展支持政策推动渔业高质量发展实施方案的通知》(川财农〔2021〕107号）规定，严格项目建设管理，管好用好资金，加快资金支付，提高使用效益。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Style w:val="14"/>
          <w:rFonts w:hint="eastAsia"/>
        </w:rPr>
        <w:t>（二）资金拨付。</w:t>
      </w:r>
      <w:r>
        <w:rPr>
          <w:rFonts w:hint="eastAsia" w:ascii="仿宋_GB2312" w:hAnsi="仿宋_GB2312" w:eastAsia="仿宋_GB2312" w:cs="仿宋_GB2312"/>
          <w:sz w:val="32"/>
          <w:szCs w:val="32"/>
        </w:rPr>
        <w:t xml:space="preserve">按照国库集中支付制度有关规定执行，实行县级报账制。 </w:t>
      </w:r>
    </w:p>
    <w:p>
      <w:pPr>
        <w:pStyle w:val="12"/>
        <w:pageBreakBefore w:val="0"/>
        <w:widowControl w:val="0"/>
        <w:kinsoku/>
        <w:wordWrap/>
        <w:overflowPunct/>
        <w:topLinePunct w:val="0"/>
        <w:autoSpaceDE/>
        <w:autoSpaceDN/>
        <w:bidi w:val="0"/>
        <w:adjustRightInd/>
        <w:snapToGrid/>
        <w:spacing w:beforeLines="0" w:afterLines="0" w:line="600" w:lineRule="exact"/>
        <w:ind w:left="0" w:leftChars="0"/>
        <w:textAlignment w:val="auto"/>
        <w:rPr>
          <w:rFonts w:hint="eastAsia"/>
        </w:rPr>
      </w:pPr>
      <w:r>
        <w:rPr>
          <w:rFonts w:hint="eastAsia"/>
        </w:rPr>
        <w:t xml:space="preserve">九、监督管理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县级主管部门加强对项目实施方式和资金用途监管，对重大质量问题或挤占、挪用、贪污以及其他违反专项资金使用规定的问题严肃依法依规处理，并对典型问题进行公开曝光。 </w:t>
      </w:r>
    </w:p>
    <w:p>
      <w:pPr>
        <w:pStyle w:val="2"/>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adjustRightInd/>
        <w:snapToGrid/>
        <w:spacing w:line="600" w:lineRule="exact"/>
        <w:ind w:left="2195" w:leftChars="299" w:hanging="1580" w:hanging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eastAsia="仿宋_GB2312" w:cs="仿宋_GB2312"/>
          <w:sz w:val="32"/>
          <w:szCs w:val="32"/>
          <w:lang w:val="en-US" w:eastAsia="zh-CN"/>
        </w:rPr>
        <w:t>.</w:t>
      </w:r>
      <w:r>
        <w:rPr>
          <w:rFonts w:hint="eastAsia" w:ascii="仿宋_GB2312" w:hAnsi="仿宋_GB2312" w:eastAsia="仿宋_GB2312" w:cs="仿宋_GB2312"/>
          <w:sz w:val="32"/>
          <w:szCs w:val="32"/>
        </w:rPr>
        <w:t>井研县2021年水产养殖池塘尾水治理项目目标任务表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rPr>
        <w:t xml:space="preserve">附件 </w:t>
      </w:r>
      <w:r>
        <w:rPr>
          <w:rFonts w:hint="eastAsia" w:ascii="黑体" w:hAnsi="黑体" w:eastAsia="黑体" w:cs="黑体"/>
          <w:sz w:val="32"/>
          <w:szCs w:val="32"/>
          <w:lang w:val="en-US" w:eastAsia="zh-CN"/>
        </w:rPr>
        <w:t>1-1</w:t>
      </w:r>
    </w:p>
    <w:p>
      <w:pPr>
        <w:keepNext w:val="0"/>
        <w:keepLines w:val="0"/>
        <w:widowControl/>
        <w:suppressLineNumbers w:val="0"/>
        <w:jc w:val="both"/>
        <w:rPr>
          <w:rFonts w:hint="eastAsia" w:ascii="CESI小标宋-GB13000" w:hAnsi="CESI小标宋-GB13000" w:eastAsia="CESI小标宋-GB13000" w:cs="CESI小标宋-GB13000"/>
          <w:color w:val="000000"/>
          <w:kern w:val="0"/>
          <w:sz w:val="36"/>
          <w:szCs w:val="36"/>
          <w:lang w:val="en-US" w:eastAsia="zh-CN" w:bidi="ar"/>
        </w:rPr>
      </w:pPr>
    </w:p>
    <w:p>
      <w:pPr>
        <w:pStyle w:val="11"/>
        <w:bidi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井研县2021年水产养殖池塘尾水治理项目</w:t>
      </w:r>
    </w:p>
    <w:p>
      <w:pPr>
        <w:pStyle w:val="11"/>
        <w:bidi w:val="0"/>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目标任务表</w:t>
      </w:r>
    </w:p>
    <w:p>
      <w:pPr>
        <w:keepNext w:val="0"/>
        <w:keepLines w:val="0"/>
        <w:widowControl/>
        <w:suppressLineNumbers w:val="0"/>
        <w:jc w:val="center"/>
        <w:rPr>
          <w:rFonts w:hint="eastAsia" w:ascii="CESI小标宋-GB13000" w:hAnsi="CESI小标宋-GB13000" w:eastAsia="CESI小标宋-GB13000" w:cs="CESI小标宋-GB13000"/>
          <w:color w:val="000000"/>
          <w:kern w:val="0"/>
          <w:sz w:val="36"/>
          <w:szCs w:val="36"/>
          <w:lang w:eastAsia="zh-CN" w:bidi="ar"/>
        </w:rPr>
      </w:pPr>
    </w:p>
    <w:tbl>
      <w:tblPr>
        <w:tblStyle w:val="10"/>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809"/>
        <w:gridCol w:w="1791"/>
        <w:gridCol w:w="199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786" w:type="dxa"/>
            <w:noWrap w:val="0"/>
            <w:vAlign w:val="top"/>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lang w:val="en-US" w:eastAsia="zh-CN" w:bidi="ar"/>
              </w:rPr>
              <w:t>序号</w:t>
            </w:r>
          </w:p>
        </w:tc>
        <w:tc>
          <w:tcPr>
            <w:tcW w:w="1809" w:type="dxa"/>
            <w:noWrap w:val="0"/>
            <w:vAlign w:val="top"/>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lang w:val="en-US" w:eastAsia="zh-CN" w:bidi="ar"/>
              </w:rPr>
              <w:t>实施单位</w:t>
            </w:r>
          </w:p>
        </w:tc>
        <w:tc>
          <w:tcPr>
            <w:tcW w:w="1791" w:type="dxa"/>
            <w:noWrap w:val="0"/>
            <w:vAlign w:val="top"/>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lang w:eastAsia="zh-CN" w:bidi="ar"/>
              </w:rPr>
              <w:t>资金额度（万元）</w:t>
            </w:r>
          </w:p>
        </w:tc>
        <w:tc>
          <w:tcPr>
            <w:tcW w:w="1996" w:type="dxa"/>
            <w:noWrap w:val="0"/>
            <w:vAlign w:val="top"/>
          </w:tcPr>
          <w:p>
            <w:pPr>
              <w:keepNext w:val="0"/>
              <w:keepLines w:val="0"/>
              <w:widowControl/>
              <w:suppressLineNumbers w:val="0"/>
              <w:jc w:val="center"/>
              <w:rPr>
                <w:rFonts w:hint="eastAsia" w:ascii="黑体" w:hAnsi="黑体" w:eastAsia="黑体" w:cs="黑体"/>
                <w:color w:val="000000"/>
                <w:kern w:val="0"/>
                <w:sz w:val="32"/>
                <w:szCs w:val="32"/>
                <w:vertAlign w:val="baseline"/>
                <w:lang w:eastAsia="zh-CN" w:bidi="ar"/>
              </w:rPr>
            </w:pPr>
            <w:r>
              <w:rPr>
                <w:rFonts w:hint="eastAsia" w:ascii="黑体" w:hAnsi="黑体" w:eastAsia="黑体" w:cs="黑体"/>
                <w:color w:val="000000"/>
                <w:kern w:val="0"/>
                <w:sz w:val="32"/>
                <w:szCs w:val="32"/>
                <w:vertAlign w:val="baseline"/>
                <w:lang w:eastAsia="zh-CN" w:bidi="ar"/>
              </w:rPr>
              <w:t>计划尾水治理面积（亩）</w:t>
            </w:r>
          </w:p>
        </w:tc>
        <w:tc>
          <w:tcPr>
            <w:tcW w:w="2136" w:type="dxa"/>
            <w:noWrap w:val="0"/>
            <w:vAlign w:val="top"/>
          </w:tcPr>
          <w:p>
            <w:pPr>
              <w:keepNext w:val="0"/>
              <w:keepLines w:val="0"/>
              <w:widowControl/>
              <w:suppressLineNumbers w:val="0"/>
              <w:jc w:val="center"/>
              <w:rPr>
                <w:rFonts w:hint="eastAsia" w:ascii="黑体" w:hAnsi="黑体" w:eastAsia="黑体" w:cs="黑体"/>
                <w:color w:val="000000"/>
                <w:kern w:val="0"/>
                <w:sz w:val="32"/>
                <w:szCs w:val="32"/>
                <w:vertAlign w:val="baseline"/>
                <w:lang w:eastAsia="zh-CN" w:bidi="ar"/>
              </w:rPr>
            </w:pPr>
            <w:r>
              <w:rPr>
                <w:rFonts w:hint="eastAsia" w:ascii="黑体" w:hAnsi="黑体" w:eastAsia="黑体" w:cs="黑体"/>
                <w:color w:val="000000"/>
                <w:kern w:val="0"/>
                <w:sz w:val="32"/>
                <w:szCs w:val="32"/>
                <w:vertAlign w:val="baseline"/>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1</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研城街道</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80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640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2</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纯复镇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180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1240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r>
              <w:rPr>
                <w:rFonts w:hint="eastAsia" w:ascii="仿宋_GB2312" w:hAnsi="仿宋_GB2312" w:eastAsia="仿宋_GB2312" w:cs="仿宋_GB2312"/>
                <w:color w:val="000000"/>
                <w:kern w:val="0"/>
                <w:sz w:val="32"/>
                <w:szCs w:val="32"/>
                <w:vertAlign w:val="baseline"/>
                <w:lang w:eastAsia="zh-CN" w:bidi="ar"/>
              </w:rPr>
              <w:t>转型升级1处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3</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r>
              <w:rPr>
                <w:rFonts w:hint="eastAsia" w:ascii="仿宋_GB2312" w:hAnsi="仿宋_GB2312" w:eastAsia="仿宋_GB2312" w:cs="仿宋_GB2312"/>
                <w:color w:val="000000"/>
                <w:kern w:val="0"/>
                <w:sz w:val="32"/>
                <w:szCs w:val="32"/>
                <w:vertAlign w:val="baseline"/>
                <w:lang w:eastAsia="zh-CN" w:bidi="ar"/>
              </w:rPr>
              <w:t>周坡镇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50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400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4</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集益镇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137</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596</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转型升级1处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5</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千佛镇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60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480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6</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三江镇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10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80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7</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马踏镇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30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240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8</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王村镇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50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400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9</w:t>
            </w: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宝五镇</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10</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eastAsia="zh-CN" w:bidi="ar"/>
              </w:rPr>
            </w:pPr>
            <w:r>
              <w:rPr>
                <w:rFonts w:hint="eastAsia" w:ascii="仿宋_GB2312" w:hAnsi="仿宋_GB2312" w:eastAsia="仿宋_GB2312" w:cs="仿宋_GB2312"/>
                <w:color w:val="000000"/>
                <w:kern w:val="0"/>
                <w:sz w:val="32"/>
                <w:szCs w:val="32"/>
                <w:vertAlign w:val="baseline"/>
                <w:lang w:eastAsia="zh-CN" w:bidi="ar"/>
              </w:rPr>
              <w:t>80</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8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c>
          <w:tcPr>
            <w:tcW w:w="1809"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r>
              <w:rPr>
                <w:rFonts w:hint="eastAsia" w:ascii="仿宋_GB2312" w:hAnsi="仿宋_GB2312" w:eastAsia="仿宋_GB2312" w:cs="仿宋_GB2312"/>
                <w:color w:val="000000"/>
                <w:kern w:val="0"/>
                <w:sz w:val="32"/>
                <w:szCs w:val="32"/>
                <w:vertAlign w:val="baseline"/>
                <w:lang w:eastAsia="zh-CN" w:bidi="ar"/>
              </w:rPr>
              <w:t>合计</w:t>
            </w:r>
          </w:p>
        </w:tc>
        <w:tc>
          <w:tcPr>
            <w:tcW w:w="1791"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r>
              <w:rPr>
                <w:rFonts w:hint="eastAsia" w:ascii="仿宋_GB2312" w:hAnsi="仿宋_GB2312" w:eastAsia="仿宋_GB2312" w:cs="仿宋_GB2312"/>
                <w:color w:val="000000"/>
                <w:kern w:val="0"/>
                <w:sz w:val="32"/>
                <w:szCs w:val="32"/>
                <w:vertAlign w:val="baseline"/>
                <w:lang w:eastAsia="zh-CN" w:bidi="ar"/>
              </w:rPr>
              <w:t>607</w:t>
            </w:r>
          </w:p>
        </w:tc>
        <w:tc>
          <w:tcPr>
            <w:tcW w:w="199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r>
              <w:rPr>
                <w:rFonts w:hint="eastAsia" w:ascii="仿宋_GB2312" w:hAnsi="仿宋_GB2312" w:eastAsia="仿宋_GB2312" w:cs="仿宋_GB2312"/>
                <w:color w:val="000000"/>
                <w:kern w:val="0"/>
                <w:sz w:val="32"/>
                <w:szCs w:val="32"/>
                <w:vertAlign w:val="baseline"/>
                <w:lang w:eastAsia="zh-CN" w:bidi="ar"/>
              </w:rPr>
              <w:t>4156</w:t>
            </w:r>
          </w:p>
        </w:tc>
        <w:tc>
          <w:tcPr>
            <w:tcW w:w="2136" w:type="dxa"/>
            <w:noWrap w:val="0"/>
            <w:vAlign w:val="top"/>
          </w:tcPr>
          <w:p>
            <w:pPr>
              <w:keepNext w:val="0"/>
              <w:keepLines w:val="0"/>
              <w:widowControl/>
              <w:suppressLineNumbers w:val="0"/>
              <w:jc w:val="center"/>
              <w:rPr>
                <w:rFonts w:hint="eastAsia" w:ascii="仿宋_GB2312" w:hAnsi="仿宋_GB2312" w:eastAsia="仿宋_GB2312" w:cs="仿宋_GB2312"/>
                <w:color w:val="000000"/>
                <w:kern w:val="0"/>
                <w:sz w:val="32"/>
                <w:szCs w:val="32"/>
                <w:vertAlign w:val="baseline"/>
                <w:lang w:val="en-US" w:eastAsia="zh-CN" w:bidi="ar"/>
              </w:rPr>
            </w:pPr>
          </w:p>
        </w:tc>
      </w:tr>
    </w:tbl>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val="0"/>
          <w:bCs w:val="0"/>
          <w:sz w:val="44"/>
          <w:szCs w:val="44"/>
          <w:lang w:eastAsia="zh-CN"/>
        </w:rPr>
      </w:pPr>
      <w:bookmarkStart w:id="0" w:name="_Toc86999638"/>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 w:val="0"/>
          <w:bCs w:val="0"/>
          <w:w w:val="100"/>
          <w:sz w:val="32"/>
          <w:szCs w:val="32"/>
          <w:lang w:val="zh-CN"/>
        </w:rPr>
      </w:pPr>
    </w:p>
    <w:p>
      <w:pPr>
        <w:pStyle w:val="2"/>
        <w:ind w:left="0" w:leftChars="0" w:firstLine="0" w:firstLineChars="0"/>
        <w:rPr>
          <w:rFonts w:hint="default" w:ascii="仿宋_GB2312" w:hAnsi="仿宋_GB2312" w:eastAsia="仿宋_GB2312" w:cs="仿宋_GB2312"/>
          <w:sz w:val="32"/>
          <w:szCs w:val="32"/>
          <w:lang w:val="en-US" w:eastAsia="zh-CN"/>
        </w:rPr>
      </w:pPr>
    </w:p>
    <w:sectPr>
      <w:footerReference r:id="rId3" w:type="default"/>
      <w:pgSz w:w="11906" w:h="16838"/>
      <w:pgMar w:top="2041" w:right="1531" w:bottom="1587" w:left="1531" w:header="851" w:footer="1247" w:gutter="0"/>
      <w:pgNumType w:fmt="decimal"/>
      <w:cols w:space="0" w:num="1"/>
      <w:rtlGutter w:val="0"/>
      <w:docGrid w:type="linesAndChars" w:linePitch="600" w:charSpace="-849"/>
    </w:sectPr>
  </w:body>
</w:document>
</file>

<file path=word/customizations.xml><?xml version="1.0" encoding="utf-8"?>
<wne:tcg xmlns:r="http://schemas.openxmlformats.org/officeDocument/2006/relationships" xmlns:wne="http://schemas.microsoft.com/office/word/2006/wordml">
  <wne:keymaps>
    <wne:keymap wne:kcmPrimary="0458">
      <wne:acd wne:acdName="acd0"/>
    </wne:keymap>
  </wne:keymaps>
  <wne:acds>
    <wne:acd wne:argValue="AgCMTqd+B2iYm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CESI小标宋-GB13000">
    <w:altName w:val="宋体"/>
    <w:panose1 w:val="020005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VfWQwUAgAAFQ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qyklmins6Pzt6/n74/nHFwIdAGqtn8Nva+EZujemw6IHvYcyzt1V&#10;TsUbExHYAfXpCq/oAuExaDaZzXKYOGzDA/mzp3DrfHgrjCJRKKjD/hKs7LjxoXcdXGI1bdaNlGmH&#10;UpO2oNOXr/M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V9ZDB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OWQyNTE4OTFiZDFiY2RjYTM0ZDczY2JiZmM1M2YifQ=="/>
  </w:docVars>
  <w:rsids>
    <w:rsidRoot w:val="5C702020"/>
    <w:rsid w:val="08E02DB5"/>
    <w:rsid w:val="091D52E2"/>
    <w:rsid w:val="092E4D4D"/>
    <w:rsid w:val="0B503F3F"/>
    <w:rsid w:val="0C6366EA"/>
    <w:rsid w:val="0C8E2BF3"/>
    <w:rsid w:val="10CC3949"/>
    <w:rsid w:val="11395D59"/>
    <w:rsid w:val="118C2F9A"/>
    <w:rsid w:val="11DB31BA"/>
    <w:rsid w:val="12320AD3"/>
    <w:rsid w:val="13867244"/>
    <w:rsid w:val="142E3666"/>
    <w:rsid w:val="19757258"/>
    <w:rsid w:val="1A282B67"/>
    <w:rsid w:val="1A300DC6"/>
    <w:rsid w:val="1ABD72AA"/>
    <w:rsid w:val="20AF1BD3"/>
    <w:rsid w:val="21C576FC"/>
    <w:rsid w:val="2364420A"/>
    <w:rsid w:val="250D68F1"/>
    <w:rsid w:val="2563034F"/>
    <w:rsid w:val="2B225500"/>
    <w:rsid w:val="2DA847E2"/>
    <w:rsid w:val="2E1E6816"/>
    <w:rsid w:val="31FC517A"/>
    <w:rsid w:val="33806477"/>
    <w:rsid w:val="33DB598E"/>
    <w:rsid w:val="37452690"/>
    <w:rsid w:val="39EE0313"/>
    <w:rsid w:val="3B2D5B9D"/>
    <w:rsid w:val="3D025B33"/>
    <w:rsid w:val="3FAB3CB8"/>
    <w:rsid w:val="417E7EAD"/>
    <w:rsid w:val="437F27A2"/>
    <w:rsid w:val="48133B09"/>
    <w:rsid w:val="494C555E"/>
    <w:rsid w:val="4B4832C5"/>
    <w:rsid w:val="517A5F71"/>
    <w:rsid w:val="53357614"/>
    <w:rsid w:val="547E1BD1"/>
    <w:rsid w:val="54AC53E9"/>
    <w:rsid w:val="557843E9"/>
    <w:rsid w:val="57984157"/>
    <w:rsid w:val="58E41764"/>
    <w:rsid w:val="5B5A1360"/>
    <w:rsid w:val="5C397BC2"/>
    <w:rsid w:val="5C702020"/>
    <w:rsid w:val="5CE90454"/>
    <w:rsid w:val="60977E7A"/>
    <w:rsid w:val="60A15EBA"/>
    <w:rsid w:val="680417EB"/>
    <w:rsid w:val="6B0E23F1"/>
    <w:rsid w:val="6CD94DE0"/>
    <w:rsid w:val="70B8608E"/>
    <w:rsid w:val="712B3998"/>
    <w:rsid w:val="731F4FBE"/>
    <w:rsid w:val="76532ACB"/>
    <w:rsid w:val="77B53E6B"/>
    <w:rsid w:val="7993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700" w:lineRule="exact"/>
      <w:jc w:val="center"/>
      <w:outlineLvl w:val="0"/>
    </w:pPr>
    <w:rPr>
      <w:rFonts w:eastAsia="方正小标宋简体"/>
      <w:kern w:val="44"/>
      <w:sz w:val="44"/>
    </w:rPr>
  </w:style>
  <w:style w:type="paragraph" w:styleId="4">
    <w:name w:val="heading 2"/>
    <w:basedOn w:val="1"/>
    <w:next w:val="1"/>
    <w:semiHidden/>
    <w:unhideWhenUsed/>
    <w:qFormat/>
    <w:uiPriority w:val="0"/>
    <w:pPr>
      <w:keepNext/>
      <w:keepLines/>
      <w:spacing w:beforeLines="0" w:beforeAutospacing="0" w:afterLines="0" w:afterAutospacing="0" w:line="240" w:lineRule="auto"/>
      <w:ind w:firstLine="632" w:firstLineChars="200"/>
      <w:outlineLvl w:val="1"/>
    </w:pPr>
    <w:rPr>
      <w:rFonts w:ascii="Arial" w:hAnsi="Arial" w:eastAsia="黑体"/>
    </w:rPr>
  </w:style>
  <w:style w:type="paragraph" w:styleId="5">
    <w:name w:val="heading 3"/>
    <w:basedOn w:val="1"/>
    <w:next w:val="1"/>
    <w:semiHidden/>
    <w:unhideWhenUsed/>
    <w:qFormat/>
    <w:uiPriority w:val="0"/>
    <w:pPr>
      <w:keepNext/>
      <w:keepLines/>
      <w:spacing w:beforeLines="0" w:beforeAutospacing="0" w:afterLines="0" w:afterAutospacing="0" w:line="240" w:lineRule="auto"/>
      <w:ind w:firstLine="632" w:firstLineChars="200"/>
      <w:outlineLvl w:val="2"/>
    </w:pPr>
    <w:rPr>
      <w:rFonts w:eastAsia="楷体_GB2312"/>
      <w:b/>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firstLine="632" w:firstLineChars="200"/>
      <w:jc w:val="both"/>
    </w:pPr>
    <w:rPr>
      <w:rFonts w:ascii="仿宋_GB2312" w:hAnsi="仿宋_GB2312" w:cs="仿宋_GB2312"/>
      <w:sz w:val="32"/>
      <w:szCs w:val="32"/>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主标题"/>
    <w:basedOn w:val="1"/>
    <w:next w:val="1"/>
    <w:qFormat/>
    <w:uiPriority w:val="0"/>
    <w:pPr>
      <w:spacing w:line="700" w:lineRule="exact"/>
      <w:jc w:val="center"/>
    </w:pPr>
    <w:rPr>
      <w:rFonts w:eastAsia="方正公文小标宋"/>
      <w:sz w:val="44"/>
    </w:rPr>
  </w:style>
  <w:style w:type="paragraph" w:customStyle="1" w:styleId="12">
    <w:name w:val="一级标题"/>
    <w:basedOn w:val="4"/>
    <w:next w:val="1"/>
    <w:link w:val="15"/>
    <w:qFormat/>
    <w:uiPriority w:val="0"/>
    <w:pPr>
      <w:keepNext w:val="0"/>
      <w:keepLines w:val="0"/>
      <w:outlineLvl w:val="9"/>
    </w:pPr>
    <w:rPr>
      <w:rFonts w:ascii="Arial" w:hAnsi="Arial" w:cs="仿宋_GB2312"/>
      <w:color w:val="auto"/>
      <w:sz w:val="32"/>
      <w:szCs w:val="22"/>
      <w:lang w:val="zh-CN" w:bidi="zh-CN"/>
    </w:rPr>
  </w:style>
  <w:style w:type="paragraph" w:customStyle="1" w:styleId="13">
    <w:name w:val="二级标题"/>
    <w:basedOn w:val="5"/>
    <w:next w:val="1"/>
    <w:link w:val="14"/>
    <w:qFormat/>
    <w:uiPriority w:val="0"/>
    <w:rPr>
      <w:rFonts w:ascii="仿宋_GB2312" w:hAnsi="仿宋_GB2312"/>
      <w:b w:val="0"/>
      <w:sz w:val="32"/>
      <w:szCs w:val="22"/>
      <w:lang w:val="zh-CN" w:bidi="zh-CN"/>
    </w:rPr>
  </w:style>
  <w:style w:type="character" w:customStyle="1" w:styleId="14">
    <w:name w:val="二级标题 Char"/>
    <w:link w:val="13"/>
    <w:qFormat/>
    <w:uiPriority w:val="0"/>
    <w:rPr>
      <w:rFonts w:ascii="仿宋_GB2312" w:hAnsi="仿宋_GB2312" w:eastAsia="楷体_GB2312" w:cs="仿宋_GB2312"/>
      <w:sz w:val="32"/>
      <w:szCs w:val="22"/>
      <w:lang w:val="zh-CN" w:bidi="zh-CN"/>
    </w:rPr>
  </w:style>
  <w:style w:type="character" w:customStyle="1" w:styleId="15">
    <w:name w:val="一级标题 Char"/>
    <w:link w:val="12"/>
    <w:qFormat/>
    <w:uiPriority w:val="0"/>
    <w:rPr>
      <w:rFonts w:ascii="Arial" w:hAnsi="Arial" w:eastAsia="黑体" w:cs="仿宋_GB2312"/>
      <w:color w:val="auto"/>
      <w:sz w:val="32"/>
      <w:szCs w:val="22"/>
      <w:lang w:val="zh-CN" w:bidi="zh-CN"/>
    </w:rPr>
  </w:style>
  <w:style w:type="character" w:customStyle="1" w:styleId="16">
    <w:name w:val="font81"/>
    <w:basedOn w:val="8"/>
    <w:qFormat/>
    <w:uiPriority w:val="0"/>
    <w:rPr>
      <w:rFonts w:ascii="方正小标宋简体" w:hAnsi="方正小标宋简体" w:eastAsia="方正小标宋简体" w:cs="方正小标宋简体"/>
      <w:color w:val="000000"/>
      <w:sz w:val="32"/>
      <w:szCs w:val="32"/>
      <w:u w:val="none"/>
    </w:rPr>
  </w:style>
  <w:style w:type="paragraph" w:customStyle="1" w:styleId="17">
    <w:name w:val="段落小标"/>
    <w:basedOn w:val="1"/>
    <w:qFormat/>
    <w:uiPriority w:val="0"/>
    <w:pPr>
      <w:ind w:firstLine="638" w:firstLineChars="200"/>
    </w:pPr>
    <w:rPr>
      <w:rFonts w:ascii="楷体_GB2312" w:eastAsia="楷体_GB2312" w:cs="宋体"/>
      <w:bCs/>
    </w:rPr>
  </w:style>
  <w:style w:type="character" w:customStyle="1" w:styleId="18">
    <w:name w:val="font-family:仿宋_gb2312"/>
    <w:qFormat/>
    <w:uiPriority w:val="99"/>
  </w:style>
  <w:style w:type="character" w:customStyle="1" w:styleId="19">
    <w:name w:val="font71"/>
    <w:basedOn w:val="8"/>
    <w:qFormat/>
    <w:uiPriority w:val="0"/>
    <w:rPr>
      <w:rFonts w:hint="default" w:ascii="Times New Roman" w:hAnsi="Times New Roman" w:cs="Times New Roman"/>
      <w:color w:val="000000"/>
      <w:sz w:val="22"/>
      <w:szCs w:val="22"/>
      <w:u w:val="none"/>
    </w:rPr>
  </w:style>
  <w:style w:type="character" w:customStyle="1" w:styleId="20">
    <w:name w:val="font31"/>
    <w:basedOn w:val="8"/>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3208</Words>
  <Characters>3421</Characters>
  <Lines>0</Lines>
  <Paragraphs>0</Paragraphs>
  <TotalTime>5</TotalTime>
  <ScaleCrop>false</ScaleCrop>
  <LinksUpToDate>false</LinksUpToDate>
  <CharactersWithSpaces>3481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2022-05-16T01:49:00Z</dcterms:created>
  <dc:creator>13618182668</dc:creator>
  <cp:lastModifiedBy>sherry</cp:lastModifiedBy>
  <dcterms:modified xsi:type="dcterms:W3CDTF">2022-05-27T09:01:50Z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FC6E2AD673334433B59BB88ADC45FED1</vt:lpwstr>
  </property>
</Properties>
</file>