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6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pacing w:val="-6"/>
          <w:sz w:val="44"/>
          <w:szCs w:val="44"/>
          <w:lang w:eastAsia="zh-CN"/>
        </w:rPr>
        <w:t>井研县2021年中央财政渔业发展补助资金项目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6"/>
          <w:sz w:val="44"/>
          <w:szCs w:val="44"/>
        </w:rPr>
        <w:t>实施方案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bCs/>
          <w:spacing w:val="-6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CESI仿宋-GB2312" w:cs="Times New Roman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抓好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关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于做好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长江经济带生态环境突出问题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整改工作方案》的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问题整改，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推广先进适用的水产绿色健康养殖技术和模式，加快推进水产养殖业绿色发展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着力解决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好县域内水产规范化养殖及水环境治理，重点围绕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过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用药、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尾水排放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、环境卫生差等问题，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关于印发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四川省渔业发展补助资金管理办法实施细则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的通知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川财农[2021]56号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)文件精神，更好发挥渔业发展补助资金的作用，提高渔业发展补助资金的使用效率，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结合我县实际，制定</w:t>
      </w:r>
      <w:r>
        <w:rPr>
          <w:rFonts w:hint="default" w:ascii="Times New Roman" w:hAnsi="Times New Roman" w:eastAsia="CESI仿宋-GB2312" w:cs="Times New Roman"/>
          <w:spacing w:val="8"/>
          <w:sz w:val="32"/>
          <w:szCs w:val="32"/>
          <w:shd w:val="clear" w:color="auto" w:fill="FFFFFF"/>
        </w:rPr>
        <w:t>本方案。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napToGrid/>
        <w:spacing w:before="314" w:after="314" w:line="560" w:lineRule="exact"/>
        <w:rPr>
          <w:rFonts w:hint="default" w:ascii="Times New Roman" w:hAnsi="Times New Roman" w:eastAsia="黑体" w:cs="Times New Roman"/>
          <w:b w:val="0"/>
        </w:rPr>
      </w:pPr>
      <w:r>
        <w:rPr>
          <w:rFonts w:hint="default" w:ascii="Times New Roman" w:hAnsi="Times New Roman" w:eastAsia="黑体" w:cs="Times New Roman"/>
          <w:b w:val="0"/>
        </w:rPr>
        <w:t>第一章 项目概况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</w:rPr>
      </w:pPr>
      <w:r>
        <w:rPr>
          <w:rFonts w:hint="default" w:ascii="Times New Roman" w:hAnsi="Times New Roman" w:eastAsia="黑体" w:cs="Times New Roman"/>
          <w:b w:val="0"/>
          <w:bCs w:val="0"/>
        </w:rPr>
        <w:t>一、项目名称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16" w:firstLineChars="200"/>
        <w:jc w:val="both"/>
        <w:rPr>
          <w:rFonts w:hint="default" w:ascii="Times New Roman" w:hAnsi="Times New Roman" w:eastAsia="CESI仿宋-GB2312" w:cs="Times New Roman"/>
          <w:bCs/>
          <w:spacing w:val="-6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bCs/>
          <w:spacing w:val="-6"/>
          <w:sz w:val="32"/>
          <w:szCs w:val="32"/>
          <w:lang w:eastAsia="zh-CN"/>
        </w:rPr>
        <w:t>井研县2021年中央财政渔业发展补助资金项目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二、项目主管单位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/>
        <w:rPr>
          <w:rFonts w:hint="default" w:ascii="Times New Roman" w:hAnsi="Times New Roman" w:eastAsia="CESI仿宋-GB2312" w:cs="Times New Roman"/>
          <w:b w:val="0"/>
          <w:bCs w:val="0"/>
          <w:kern w:val="2"/>
        </w:rPr>
      </w:pPr>
      <w:r>
        <w:rPr>
          <w:rFonts w:hint="default" w:ascii="Times New Roman" w:hAnsi="Times New Roman" w:eastAsia="CESI仿宋-GB2312" w:cs="Times New Roman"/>
          <w:b w:val="0"/>
          <w:bCs w:val="0"/>
          <w:kern w:val="2"/>
          <w:lang w:eastAsia="zh-CN"/>
        </w:rPr>
        <w:t>井研县</w:t>
      </w:r>
      <w:r>
        <w:rPr>
          <w:rFonts w:hint="default" w:ascii="Times New Roman" w:hAnsi="Times New Roman" w:eastAsia="CESI仿宋-GB2312" w:cs="Times New Roman"/>
          <w:b w:val="0"/>
          <w:bCs w:val="0"/>
          <w:kern w:val="2"/>
        </w:rPr>
        <w:t xml:space="preserve">农业农村局 井研县财政局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/>
        <w:spacing w:line="560" w:lineRule="exact"/>
        <w:ind w:left="0" w:leftChars="0" w:firstLine="640" w:firstLineChars="200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项目监管单位</w:t>
      </w:r>
    </w:p>
    <w:p>
      <w:pPr>
        <w:pStyle w:val="26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rPr>
          <w:rFonts w:hint="default" w:ascii="Times New Roman" w:hAnsi="Times New Roman" w:eastAsia="CESI仿宋-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CESI仿宋-GB2312" w:cs="Times New Roman"/>
          <w:b w:val="0"/>
          <w:bCs w:val="0"/>
          <w:kern w:val="2"/>
          <w:sz w:val="32"/>
          <w:szCs w:val="32"/>
          <w:lang w:val="en-US" w:eastAsia="zh-CN" w:bidi="ar-SA"/>
        </w:rPr>
        <w:t>井研县农业农村局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</w:rPr>
        <w:t>项目实施单位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仿宋-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CESI仿宋-GB2312" w:cs="Times New Roman"/>
          <w:b w:val="0"/>
          <w:bCs w:val="0"/>
          <w:kern w:val="2"/>
          <w:sz w:val="32"/>
          <w:szCs w:val="32"/>
          <w:lang w:val="en-US" w:eastAsia="zh-CN" w:bidi="ar-SA"/>
        </w:rPr>
        <w:t>井研县宝五镇人民政府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</w:rPr>
      </w:pPr>
      <w:r>
        <w:rPr>
          <w:rFonts w:hint="default" w:ascii="Times New Roman" w:hAnsi="Times New Roman" w:eastAsia="黑体" w:cs="Times New Roman"/>
          <w:b w:val="0"/>
          <w:bCs w:val="0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</w:rPr>
        <w:t>、项目建设地点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仿宋-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CESI仿宋-GB2312" w:cs="Times New Roman"/>
          <w:b w:val="0"/>
          <w:bCs w:val="0"/>
          <w:kern w:val="2"/>
          <w:sz w:val="32"/>
          <w:szCs w:val="32"/>
          <w:lang w:val="en-US" w:eastAsia="zh-CN" w:bidi="ar-SA"/>
        </w:rPr>
        <w:t>井研县宝五镇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/>
          <w:szCs w:val="22"/>
        </w:rPr>
      </w:pPr>
      <w:r>
        <w:rPr>
          <w:rFonts w:hint="default" w:ascii="Times New Roman" w:hAnsi="Times New Roman" w:eastAsia="黑体" w:cs="Times New Roman"/>
          <w:b w:val="0"/>
          <w:bCs/>
          <w:szCs w:val="22"/>
          <w:lang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/>
          <w:szCs w:val="22"/>
        </w:rPr>
        <w:t>、项目建设内容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池塘内循环流水槽养殖系统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（二）内陆养殖池塘标准化改造和安装尾水处理设备</w:t>
      </w:r>
    </w:p>
    <w:p>
      <w:pPr>
        <w:pStyle w:val="26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（三）水产尾水水质检测设备购置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/>
          <w:szCs w:val="22"/>
        </w:rPr>
      </w:pPr>
      <w:r>
        <w:rPr>
          <w:rFonts w:hint="default" w:ascii="Times New Roman" w:hAnsi="Times New Roman" w:eastAsia="黑体" w:cs="Times New Roman"/>
          <w:b w:val="0"/>
          <w:bCs/>
          <w:szCs w:val="22"/>
          <w:lang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/>
          <w:szCs w:val="22"/>
        </w:rPr>
        <w:t>、项目建设期限及进度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（一）项目建设期限：2021年9月至2022年2月。</w:t>
      </w:r>
    </w:p>
    <w:p>
      <w:pPr>
        <w:pStyle w:val="26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rPr>
          <w:rFonts w:hint="default" w:ascii="Times New Roman" w:hAnsi="Times New Roman" w:eastAsia="CESI仿宋-GB2312" w:cs="Times New Roma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ESI仿宋-GB2312" w:cs="Times New Roman"/>
          <w:kern w:val="2"/>
          <w:sz w:val="32"/>
          <w:szCs w:val="32"/>
          <w:lang w:val="en-US" w:eastAsia="zh-CN" w:bidi="ar-SA"/>
        </w:rPr>
        <w:t>（二）项目建设进度安排</w:t>
      </w:r>
      <w:r>
        <w:rPr>
          <w:rFonts w:hint="default" w:ascii="Times New Roman" w:hAnsi="Times New Roman" w:eastAsia="CESI仿宋-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14:textFill>
            <w14:solidFill>
              <w14:schemeClr w14:val="tx1"/>
            </w14:solidFill>
          </w14:textFill>
        </w:rPr>
        <w:t>根据实际安排</w:t>
      </w:r>
      <w:r>
        <w:rPr>
          <w:rFonts w:hint="default" w:ascii="Times New Roman" w:hAnsi="Times New Roman" w:eastAsia="CESI仿宋-GB2312" w:cs="Times New Roma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第一阶段（2021年9月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日前）：项目筹备调研及方案计划。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2.第二阶段（2021年9月20日-2022年1月31日）：项目实施。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3.第三阶段（2022年2月1日-2月10日）：验收阶段。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4.第四阶段（2022年2月11日-2月31日）：项</w:t>
      </w:r>
      <w:r>
        <w:rPr>
          <w:rStyle w:val="35"/>
          <w:rFonts w:hint="default" w:ascii="Times New Roman" w:hAnsi="Times New Roman" w:eastAsia="CESI仿宋-GB2312" w:cs="Times New Roman"/>
          <w:sz w:val="32"/>
          <w:szCs w:val="32"/>
        </w:rPr>
        <w:t>目资料整理归档。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/>
          <w:szCs w:val="22"/>
        </w:rPr>
      </w:pPr>
      <w:r>
        <w:rPr>
          <w:rFonts w:hint="default" w:ascii="Times New Roman" w:hAnsi="Times New Roman" w:eastAsia="黑体" w:cs="Times New Roman"/>
          <w:b w:val="0"/>
          <w:bCs/>
          <w:szCs w:val="22"/>
          <w:lang w:eastAsia="zh-CN"/>
        </w:rPr>
        <w:t>八</w:t>
      </w:r>
      <w:r>
        <w:rPr>
          <w:rFonts w:hint="default" w:ascii="Times New Roman" w:hAnsi="Times New Roman" w:eastAsia="黑体" w:cs="Times New Roman"/>
          <w:b w:val="0"/>
          <w:bCs/>
          <w:szCs w:val="22"/>
        </w:rPr>
        <w:t>、项目建设投资及资金筹措预算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项目总投资预算：294.9404万元。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rPr>
          <w:rFonts w:hint="default" w:ascii="Times New Roman" w:hAnsi="Times New Roman" w:eastAsia="CESI仿宋-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资金来源：</w:t>
      </w:r>
      <w:r>
        <w:rPr>
          <w:rFonts w:hint="default" w:ascii="Times New Roman" w:hAnsi="Times New Roman" w:eastAsia="CESI仿宋-GB2312" w:cs="Times New Roman"/>
          <w:b w:val="0"/>
          <w:bCs/>
          <w:spacing w:val="-4"/>
          <w:sz w:val="32"/>
          <w:szCs w:val="32"/>
          <w:lang w:eastAsia="zh-CN"/>
        </w:rPr>
        <w:t>《四川省财政厅 四川省农业农村厅关于下达2021年中央财政渔业发展补助资金的通知》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川财农[2021]41号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141.</w:t>
      </w:r>
      <w:r>
        <w:rPr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占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总额47.87％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自筹（整合其他资金）153.7504万元，占总额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  <w:lang w:eastAsia="zh-CN"/>
        </w:rPr>
        <w:t>52.13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32"/>
        </w:rPr>
        <w:t>％。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napToGrid/>
        <w:spacing w:before="314" w:after="314" w:line="560" w:lineRule="exac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第二章　基本情况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</w:rPr>
      </w:pPr>
      <w:r>
        <w:rPr>
          <w:rFonts w:hint="default" w:ascii="Times New Roman" w:hAnsi="Times New Roman" w:eastAsia="黑体" w:cs="Times New Roman"/>
          <w:b w:val="0"/>
          <w:bCs w:val="0"/>
        </w:rPr>
        <w:t>一、项目背景</w:t>
      </w:r>
    </w:p>
    <w:p>
      <w:pPr>
        <w:pStyle w:val="26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仿宋-GB2312" w:cs="Times New Roman"/>
          <w:b/>
          <w:bCs/>
          <w:kern w:val="0"/>
        </w:rPr>
      </w:pPr>
      <w:r>
        <w:rPr>
          <w:rStyle w:val="35"/>
          <w:rFonts w:hint="default" w:ascii="Times New Roman" w:hAnsi="Times New Roman" w:eastAsia="CESI仿宋-GB2312" w:cs="Times New Roman"/>
        </w:rPr>
        <w:t>以满足人民群众对优质水产品和良好水域生态环境的需求为目标，通过组织实施养殖规划、精准减量用药、开展养殖尾水治理、优化养殖模式结构等措施，推进水产养殖业绿色发展、提质增效。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 2021年磨池河（半边山断面）水质监测数据来看，磨池河流域水质持续在劣Ｖ类水质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，磨池河水产养殖尾水治理形势严峻，为此将渔业发展补助资金项目落实到宝五镇磨池河沿岸，以养殖尾水治理为目标。</w:t>
      </w:r>
    </w:p>
    <w:p>
      <w:pPr>
        <w:pStyle w:val="26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</w:rPr>
        <w:t>二、基本情况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snapToGrid/>
        <w:spacing w:beforeAutospacing="0" w:afterAutospacing="0" w:line="560" w:lineRule="exact"/>
        <w:ind w:firstLine="640" w:firstLineChars="200"/>
        <w:rPr>
          <w:rFonts w:hint="default" w:ascii="Times New Roman" w:hAnsi="Times New Roman" w:eastAsia="CESI仿宋-GB2312" w:cs="Times New Roman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宝五镇隶属于四川省乐山市井研县，地处井研县西部，属亚热带湿润季风气候，多年平均气温 17.5℃，极端最低气温-1℃，极端最高气温 39℃，无霜期年平均 331 天，年平均降水量 950 毫米。全镇共有养殖水面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4657.23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亩，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219户。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养殖水源依靠自然降水及鱼塘尾水重复利用，造成鱼病多发和水质恶化问题突出。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napToGrid/>
        <w:spacing w:before="314" w:after="314" w:line="560" w:lineRule="exac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第三章  建设目标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一、总体思路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snapToGrid/>
        <w:spacing w:beforeAutospacing="0" w:afterAutospacing="0" w:line="560" w:lineRule="exact"/>
        <w:ind w:firstLine="640" w:firstLineChars="200"/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</w:pP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坚持以习近平新时代中国特色社会主义思想为指导，深入贯彻落实党的十九大、省委、市委重要会议精神，加强党对“三农”工作的全面指导，牢固树立新发展理念，落实高质量发展的要求，按照“产业兴旺、生态宜居、乡风文明、治理有效、生活富裕”的总要求，统筹推动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eastAsia="zh-CN"/>
        </w:rPr>
        <w:t>水产养殖鱼塘治理，使</w:t>
      </w:r>
      <w:r>
        <w:rPr>
          <w:rFonts w:hint="default" w:ascii="Times New Roman" w:hAnsi="Times New Roman" w:eastAsia="CESI仿宋-GB2312" w:cs="Times New Roman"/>
          <w:spacing w:val="8"/>
          <w:sz w:val="32"/>
          <w:szCs w:val="32"/>
          <w:shd w:val="clear" w:color="auto" w:fill="FFFFFF"/>
        </w:rPr>
        <w:t>全</w:t>
      </w:r>
      <w:r>
        <w:rPr>
          <w:rFonts w:hint="default" w:ascii="Times New Roman" w:hAnsi="Times New Roman" w:eastAsia="CESI仿宋-GB2312" w:cs="Times New Roman"/>
          <w:spacing w:val="8"/>
          <w:sz w:val="32"/>
          <w:szCs w:val="32"/>
          <w:shd w:val="clear" w:color="auto" w:fill="FFFFFF"/>
          <w:lang w:eastAsia="zh-CN"/>
        </w:rPr>
        <w:t>镇</w:t>
      </w:r>
      <w:r>
        <w:rPr>
          <w:rFonts w:hint="default" w:ascii="Times New Roman" w:hAnsi="Times New Roman" w:eastAsia="CESI仿宋-GB2312" w:cs="Times New Roman"/>
          <w:spacing w:val="8"/>
          <w:sz w:val="32"/>
          <w:szCs w:val="32"/>
          <w:shd w:val="clear" w:color="auto" w:fill="FFFFFF"/>
        </w:rPr>
        <w:t>水产养殖环境得到明显改善</w:t>
      </w:r>
      <w:r>
        <w:rPr>
          <w:rFonts w:hint="default" w:ascii="Times New Roman" w:hAnsi="Times New Roman" w:eastAsia="CESI仿宋-GB2312" w:cs="Times New Roman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二、目标任务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建成后能有效起到带动该地区由传统水产养殖迈向生态、环保、设施、智能养殖，成为本地区生态渔业，环保养殖，乡村振兴的强力示范点。通过改造提升，使全镇群众的生产生活环境明显改善，群众的获得感、幸福感明显增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三、建设原则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CESI仿宋-GB2312" w:cs="Times New Roman"/>
        </w:rPr>
      </w:pP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根据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关于印发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四川省渔业发展补助资金管理办法实施细则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的通知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川财农[2021]56号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)</w:t>
      </w:r>
      <w:r>
        <w:rPr>
          <w:rStyle w:val="36"/>
          <w:rFonts w:hint="default" w:ascii="Times New Roman" w:hAnsi="Times New Roman" w:eastAsia="CESI仿宋-GB2312" w:cs="Times New Roman"/>
          <w:color w:val="000000"/>
          <w:sz w:val="32"/>
          <w:szCs w:val="32"/>
        </w:rPr>
        <w:t>等</w:t>
      </w:r>
      <w:r>
        <w:rPr>
          <w:rFonts w:hint="default" w:ascii="Times New Roman" w:hAnsi="Times New Roman" w:eastAsia="CESI仿宋-GB2312" w:cs="Times New Roman"/>
          <w:color w:val="000000"/>
          <w:sz w:val="32"/>
          <w:szCs w:val="32"/>
        </w:rPr>
        <w:t>文件要求，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精心编制规划，严格按照项目实施程序、建设内容等组织实施。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napToGrid/>
        <w:spacing w:before="314" w:after="314" w:line="560" w:lineRule="exact"/>
        <w:rPr>
          <w:rFonts w:hint="default" w:ascii="Times New Roman" w:hAnsi="Times New Roman" w:eastAsia="黑体" w:cs="Times New Roman"/>
          <w:b w:val="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</w:rPr>
        <w:t>第四章  建设内容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黑体-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CESI黑体-GB2312" w:cs="Times New Roman"/>
          <w:b w:val="0"/>
          <w:bCs w:val="0"/>
          <w:kern w:val="0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CESI黑体-GB2312" w:cs="Times New Roman"/>
          <w:b w:val="0"/>
          <w:bCs w:val="0"/>
          <w:sz w:val="32"/>
          <w:szCs w:val="32"/>
          <w:lang w:val="en-US" w:eastAsia="zh-CN"/>
        </w:rPr>
        <w:t>池塘内循环流水槽养殖系统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宝五镇瓦窑村作为池塘内循环流水槽养殖系统试点村，建设池塘内循环流水槽养殖系统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条。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黑体-GB2312" w:cs="Times New Roman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CESI黑体-GB2312" w:cs="Times New Roman"/>
          <w:b w:val="0"/>
          <w:bCs w:val="0"/>
          <w:kern w:val="0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CESI黑体-GB2312" w:cs="Times New Roman"/>
          <w:b w:val="0"/>
          <w:bCs w:val="0"/>
          <w:kern w:val="0"/>
          <w:sz w:val="32"/>
          <w:szCs w:val="32"/>
          <w:lang w:eastAsia="zh-CN" w:bidi="ar-SA"/>
        </w:rPr>
        <w:t>池塘标准化改造及安装尾水治理设备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在全镇临公路、临磨池河的鱼塘中试点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617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亩</w:t>
      </w:r>
      <w:r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</w:rPr>
        <w:t>内陆养殖池塘进行标准化改造和安装尾水处理设备；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购买生态浮床，实施鱼稻共生、鱼菜共生种养循环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6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left="480" w:leftChars="0" w:firstLine="320" w:firstLineChars="100"/>
        <w:rPr>
          <w:rStyle w:val="35"/>
          <w:rFonts w:hint="default" w:ascii="Times New Roman" w:hAnsi="Times New Roman" w:eastAsia="CESI黑体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黑体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三、水产尾水水质检测设备</w:t>
      </w:r>
    </w:p>
    <w:p>
      <w:pPr>
        <w:pStyle w:val="26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firstLine="640" w:firstLineChars="200"/>
        <w:rPr>
          <w:rStyle w:val="35"/>
          <w:rFonts w:hint="default" w:ascii="Times New Roman" w:hAnsi="Times New Roman" w:eastAsia="CESI黑体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拟在全县14个镇（街道）建立水产养殖尾水排放检测站，购置水质检测仪、消解仪等设备14套。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2240" w:firstLineChars="700"/>
        <w:rPr>
          <w:rFonts w:hint="default" w:ascii="Times New Roman" w:hAnsi="Times New Roman" w:eastAsia="黑体" w:cs="Times New Roman"/>
          <w:b w:val="0"/>
          <w:bCs/>
          <w:color w:val="FF000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</w:rPr>
        <w:t>第五章  项目资金概算及筹措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一、资金总概算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井研县宝五镇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2021年度实施水产养殖鱼塘整治项目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计划总投入294.9404万元</w:t>
      </w:r>
      <w:r>
        <w:rPr>
          <w:rStyle w:val="35"/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二、资金来源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0"/>
          <w:szCs w:val="30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中央补助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资金《关于印发&lt;四川省渔业发展补助资金管理办法实施细则&gt;的通知》(川财农[2021]56号)141.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9万元，占总额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47.87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％；自筹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153.7504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万元，占总额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52.13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％。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0"/>
          <w:szCs w:val="30"/>
          <w:lang w:eastAsia="zh-CN" w:bidi="ar-SA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0"/>
          <w:szCs w:val="30"/>
          <w:lang w:val="en-US" w:eastAsia="zh-CN" w:bidi="ar-SA"/>
        </w:rPr>
        <w:t>三、资金使用安排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CESI楷体-GB2312" w:cs="Times New Roman"/>
          <w:sz w:val="32"/>
          <w:szCs w:val="32"/>
        </w:rPr>
      </w:pPr>
      <w:r>
        <w:rPr>
          <w:rFonts w:hint="default" w:ascii="Times New Roman" w:hAnsi="Times New Roman" w:eastAsia="CESI楷体-GB2312" w:cs="Times New Roman"/>
          <w:b w:val="0"/>
          <w:bCs w:val="0"/>
          <w:kern w:val="0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CESI楷体-GB2312" w:cs="Times New Roman"/>
          <w:sz w:val="32"/>
          <w:szCs w:val="32"/>
          <w:lang w:val="en-US" w:eastAsia="zh-CN"/>
        </w:rPr>
        <w:t>池塘内循环流水槽养殖系统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val="en-US" w:eastAsia="zh-CN"/>
        </w:rPr>
      </w:pP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eastAsia="zh-CN"/>
        </w:rPr>
        <w:t>在瓦窑村利用29亩旧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塘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内循环流水槽养殖系统试点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，促进渔业产业结构持续优化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。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eastAsia="zh-CN"/>
        </w:rPr>
        <w:t>预计实施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池塘内循环流水槽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条，造价以通威公司方案书报价为准（附后）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，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预计共投入资金51.661万元。资金来源为：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eastAsia="zh-CN"/>
        </w:rPr>
        <w:t>中央补助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资金22.73万元，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占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该项投入资金44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％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eastAsia="zh-CN"/>
        </w:rPr>
        <w:t>；自筹资金28.931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val="en-US" w:eastAsia="zh-CN"/>
        </w:rPr>
        <w:t>万元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占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该项投入资金56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％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楷体-GB2312" w:cs="Times New Roman"/>
          <w:sz w:val="32"/>
          <w:szCs w:val="32"/>
        </w:rPr>
      </w:pPr>
      <w:r>
        <w:rPr>
          <w:rFonts w:hint="default" w:ascii="Times New Roman" w:hAnsi="Times New Roman" w:eastAsia="CESI楷体-GB2312" w:cs="Times New Roman"/>
          <w:b w:val="0"/>
          <w:bCs w:val="0"/>
          <w:kern w:val="0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CESI楷体-GB2312" w:cs="Times New Roman"/>
          <w:b w:val="0"/>
          <w:bCs w:val="0"/>
          <w:sz w:val="32"/>
          <w:szCs w:val="32"/>
          <w:lang w:eastAsia="zh-CN"/>
        </w:rPr>
        <w:t>池塘标准化改造及尾水治理</w:t>
      </w:r>
    </w:p>
    <w:p>
      <w:pPr>
        <w:pStyle w:val="26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eastAsia="zh-CN"/>
        </w:rPr>
        <w:t>在全镇临公路、临磨池河的鱼塘中开展集中连片治理和鱼菜共生尾水治理模式试点588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val="en-US" w:eastAsia="zh-CN"/>
        </w:rPr>
        <w:t>亩，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  <w:lang w:eastAsia="zh-CN"/>
        </w:rPr>
        <w:t>安装尾水处理设备10台、种植水生植物等模式进行尾水治理，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预计共投入资金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223.8694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万元。资金来源为：中央财政补助资金99.05万元，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占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该项投入资金44.24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％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；自筹124.8194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占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该项投入资金55.76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％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6"/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bidi w:val="0"/>
        <w:snapToGrid/>
        <w:spacing w:line="560" w:lineRule="exact"/>
        <w:rPr>
          <w:rStyle w:val="35"/>
          <w:rFonts w:hint="default" w:ascii="Times New Roman" w:hAnsi="Times New Roman" w:eastAsia="CESI楷体-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楷体-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水产尾水水质检测设备</w:t>
      </w:r>
    </w:p>
    <w:p>
      <w:pPr>
        <w:pStyle w:val="26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为进一步加强水产养殖尾水排放管理，拟在全县14个镇（街道）建立水产养殖尾水排放检测站，购置水质检测仪、消解仪等设备14套，预计需资金19.41万元。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资金来源为：中央财政补助资金19.41万元，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占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该项投入资金100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％</w:t>
      </w:r>
      <w:r>
        <w:rPr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黑体-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CESI黑体-GB2312" w:cs="Times New Roman"/>
          <w:b w:val="0"/>
          <w:bCs w:val="0"/>
          <w:kern w:val="0"/>
          <w:sz w:val="32"/>
          <w:szCs w:val="32"/>
          <w:lang w:val="en-US" w:eastAsia="zh-CN" w:bidi="ar-SA"/>
        </w:rPr>
        <w:t>四、实施方式及资金补助方式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严格按照项目采购要求，对达到政府采购限额的，按政府采购方式实施；</w:t>
      </w:r>
      <w:r>
        <w:rPr>
          <w:rFonts w:hint="default" w:ascii="Times New Roman" w:hAnsi="Times New Roman" w:eastAsia="CESI仿宋-GB2312" w:cs="Times New Roman"/>
          <w:b w:val="0"/>
          <w:bCs/>
          <w:kern w:val="0"/>
          <w:sz w:val="32"/>
          <w:szCs w:val="32"/>
          <w:lang w:val="zh-CN"/>
        </w:rPr>
        <w:t>符合民办公助要求的，应执行民办公助实施方式</w:t>
      </w:r>
      <w:r>
        <w:rPr>
          <w:rFonts w:hint="default" w:ascii="Times New Roman" w:hAnsi="Times New Roman" w:eastAsia="CESI仿宋-GB2312" w:cs="Times New Roman"/>
          <w:b w:val="0"/>
          <w:bCs/>
          <w:kern w:val="0"/>
          <w:sz w:val="32"/>
          <w:szCs w:val="32"/>
        </w:rPr>
        <w:t>；先建后补项目经第三方造价机构评审后，按补助比例拨付补助资金。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snapToGrid/>
        <w:spacing w:before="314" w:after="314" w:line="560" w:lineRule="exac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第六章  效益分析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一、经济效益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Style w:val="35"/>
          <w:rFonts w:hint="default" w:ascii="Times New Roman" w:hAnsi="Times New Roman" w:eastAsia="CESI仿宋-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Style w:val="35"/>
          <w:rFonts w:hint="default" w:ascii="Times New Roman" w:hAnsi="Times New Roman" w:eastAsia="CESI仿宋-GB2312" w:cs="Times New Roman"/>
          <w:b w:val="0"/>
          <w:bCs w:val="0"/>
          <w:kern w:val="0"/>
          <w:sz w:val="32"/>
          <w:szCs w:val="32"/>
          <w:lang w:val="en-US" w:eastAsia="zh-CN" w:bidi="ar-SA"/>
        </w:rPr>
        <w:t>通过项目实施，项目区基础设施条件和农户生产条件将得到较大改善，为项目区养殖户和贫困群众建立起稳定增收项目，加快养殖户增收创收和美丽新村建设步伐。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二、社会效益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before="3" w:line="560" w:lineRule="exact"/>
        <w:ind w:right="525" w:firstLine="640" w:firstLineChars="200"/>
        <w:jc w:val="both"/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</w:pP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通过项目实施，</w:t>
      </w:r>
      <w:r>
        <w:rPr>
          <w:rFonts w:hint="default" w:ascii="Times New Roman" w:hAnsi="Times New Roman" w:eastAsia="CESI仿宋-GB2312" w:cs="Times New Roman"/>
          <w:b w:val="0"/>
          <w:bCs/>
          <w:sz w:val="32"/>
          <w:szCs w:val="32"/>
        </w:rPr>
        <w:t>项目区</w:t>
      </w:r>
      <w:r>
        <w:rPr>
          <w:rFonts w:hint="default" w:ascii="Times New Roman" w:hAnsi="Times New Roman" w:eastAsia="CESI仿宋-GB2312" w:cs="Times New Roman"/>
          <w:b w:val="0"/>
          <w:bCs/>
          <w:sz w:val="32"/>
          <w:szCs w:val="32"/>
          <w:lang w:eastAsia="zh-CN"/>
        </w:rPr>
        <w:t>的水产养殖</w:t>
      </w:r>
      <w:r>
        <w:rPr>
          <w:rFonts w:hint="default" w:ascii="Times New Roman" w:hAnsi="Times New Roman" w:eastAsia="CESI仿宋-GB2312" w:cs="Times New Roman"/>
          <w:b w:val="0"/>
          <w:bCs/>
          <w:sz w:val="32"/>
          <w:szCs w:val="32"/>
        </w:rPr>
        <w:t>基础设施条件和生产条件得到较大改善，</w:t>
      </w:r>
      <w:r>
        <w:rPr>
          <w:rFonts w:hint="default" w:ascii="Times New Roman" w:hAnsi="Times New Roman" w:eastAsia="CESI仿宋-GB2312" w:cs="Times New Roman"/>
          <w:b w:val="0"/>
          <w:bCs/>
          <w:sz w:val="32"/>
          <w:szCs w:val="32"/>
          <w:lang w:eastAsia="zh-CN"/>
        </w:rPr>
        <w:t>使得我镇水产养殖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由传统水产养殖迈向生态、环保、设施、智能养殖，成为本地区生态渔业，环保养殖，乡村振兴的强力示范点。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生态效益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firstLine="640" w:firstLineChars="200"/>
        <w:rPr>
          <w:rStyle w:val="35"/>
          <w:rFonts w:hint="default" w:ascii="Times New Roman" w:hAnsi="Times New Roman" w:eastAsia="CESI仿宋-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Style w:val="35"/>
          <w:rFonts w:hint="default" w:ascii="Times New Roman" w:hAnsi="Times New Roman" w:eastAsia="CESI仿宋-GB2312" w:cs="Times New Roman"/>
          <w:b w:val="0"/>
          <w:bCs w:val="0"/>
          <w:kern w:val="0"/>
          <w:sz w:val="32"/>
          <w:szCs w:val="32"/>
          <w:lang w:val="en-US" w:eastAsia="zh-CN" w:bidi="ar-SA"/>
        </w:rPr>
        <w:t>到2021年底，</w:t>
      </w:r>
      <w:r>
        <w:rPr>
          <w:rFonts w:hint="default" w:ascii="Times New Roman" w:hAnsi="Times New Roman" w:eastAsia="CESI仿宋-GB2312" w:cs="Times New Roman"/>
          <w:b w:val="0"/>
          <w:bCs/>
          <w:sz w:val="32"/>
          <w:szCs w:val="32"/>
        </w:rPr>
        <w:t>实现养殖尾水满足淡水池塘养殖尾水排放要求，</w:t>
      </w:r>
      <w:r>
        <w:rPr>
          <w:rStyle w:val="35"/>
          <w:rFonts w:hint="default" w:ascii="Times New Roman" w:hAnsi="Times New Roman" w:eastAsia="CESI仿宋-GB2312" w:cs="Times New Roman"/>
          <w:b w:val="0"/>
          <w:bCs w:val="0"/>
          <w:kern w:val="0"/>
          <w:sz w:val="32"/>
          <w:szCs w:val="32"/>
          <w:lang w:val="en-US" w:eastAsia="zh-CN" w:bidi="ar-SA"/>
        </w:rPr>
        <w:t>实现用药减量行动推广点全覆盖，过度用药、滥用抗生素、违反休药期规定等问题得到有效遏制；产地水产品抽检合格率保持在97%以上；加快推广先进适用的水产绿色健康养殖技术和模式，促进全镇水产养殖业转型升级；加强养殖尾水排放管理和尾水治理，全镇219户水产养殖户尾水排放“一包一”监管率达100%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Style w:val="35"/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firstLine="3200" w:firstLineChars="1000"/>
        <w:jc w:val="both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第七章  项目管理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一、保障措施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楷体-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CESI楷体-GB2312" w:cs="Times New Roman"/>
          <w:b w:val="0"/>
          <w:bCs w:val="0"/>
          <w:kern w:val="0"/>
          <w:sz w:val="32"/>
          <w:szCs w:val="32"/>
        </w:rPr>
        <w:t>（一）加强领导，强化管理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政府的指导下，全镇以巩固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前期水产养殖尾水治理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成果为抓手，将项目实施列入重要议事日程，成立以党委书记、镇长为组长，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分管副镇长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为副组长，各村支部书记和相关部门负责人为成员的项目工作领导小组，强化项目监管、实施，构建上下联动、职责明确、齐抓共管、有序推进的工作机制。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楷体-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CESI楷体-GB2312" w:cs="Times New Roman"/>
          <w:b w:val="0"/>
          <w:bCs w:val="0"/>
          <w:kern w:val="0"/>
          <w:sz w:val="32"/>
          <w:szCs w:val="32"/>
        </w:rPr>
        <w:t>（二）规范财务管理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加强资金监管和项目质量验收工作，经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Style w:val="35"/>
          <w:rFonts w:hint="default" w:ascii="Times New Roman" w:hAnsi="Times New Roman" w:eastAsia="CESI仿宋-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局相关部门验收后按报账制给付相关款项，确保资金安全和使用规范。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-SA"/>
        </w:rPr>
        <w:t>二、项目建设管理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baseline"/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关于印发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四川省渔业发展补助资金管理办法实施细则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的通知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</w:rPr>
        <w:t>川财农[2021]56号</w:t>
      </w:r>
      <w:r>
        <w:rPr>
          <w:rFonts w:hint="default" w:ascii="Times New Roman" w:hAnsi="Times New Roman" w:eastAsia="CESI仿宋-GB2312" w:cs="Times New Roman"/>
          <w:color w:val="000000"/>
          <w:kern w:val="0"/>
          <w:sz w:val="32"/>
          <w:szCs w:val="32"/>
          <w:lang w:val="en-US" w:eastAsia="zh-CN"/>
        </w:rPr>
        <w:t>)</w:t>
      </w:r>
      <w:r>
        <w:rPr>
          <w:rStyle w:val="36"/>
          <w:rFonts w:hint="default" w:ascii="Times New Roman" w:hAnsi="Times New Roman" w:eastAsia="CESI仿宋-GB2312" w:cs="Times New Roman"/>
          <w:color w:val="000000"/>
          <w:sz w:val="32"/>
          <w:szCs w:val="32"/>
        </w:rPr>
        <w:t>等</w:t>
      </w:r>
      <w:r>
        <w:rPr>
          <w:rFonts w:hint="default" w:ascii="Times New Roman" w:hAnsi="Times New Roman" w:eastAsia="CESI仿宋-GB2312" w:cs="Times New Roman"/>
          <w:color w:val="000000"/>
          <w:sz w:val="32"/>
          <w:szCs w:val="32"/>
        </w:rPr>
        <w:t>文件要求，</w:t>
      </w: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编制项目建设内容和资金预算，加强项目资金管理，确保专款专用，按照公开、公平、公正的原则，对补助资金规模、补助标准、补助环节、受益对象予以监督管理，确保项目建设质量。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Fonts w:hint="default" w:ascii="Times New Roman" w:hAnsi="Times New Roman" w:eastAsia="CESI黑体-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CESI黑体-GB2312" w:cs="Times New Roman"/>
          <w:b w:val="0"/>
          <w:bCs w:val="0"/>
          <w:kern w:val="0"/>
          <w:sz w:val="32"/>
          <w:szCs w:val="32"/>
          <w:lang w:val="en-US" w:eastAsia="zh-CN" w:bidi="ar-SA"/>
        </w:rPr>
        <w:t>三、项目进度管理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3"/>
        <w:rPr>
          <w:rStyle w:val="35"/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Style w:val="35"/>
          <w:rFonts w:hint="default" w:ascii="Times New Roman" w:hAnsi="Times New Roman" w:eastAsia="CESI仿宋-GB2312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财政资金实行县级财政报帐制管理，必须专款专用、专账核实、公示公告等制度；县财政局会同县农业农村局核查项目进展情况及资金使用情况，对工程建设资金，县财政坚持“先建后补”、“定量定额补助”的原则，工程完工，经县级验收合格后，县农业农村局凭票据将补助资金拨付给受款方。</w:t>
      </w:r>
    </w:p>
    <w:p>
      <w:pPr>
        <w:pStyle w:val="3"/>
        <w:spacing w:before="314" w:after="314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第八章 其他附表</w:t>
      </w:r>
    </w:p>
    <w:p>
      <w:pPr>
        <w:spacing w:line="360" w:lineRule="auto"/>
        <w:ind w:left="1598" w:leftChars="304" w:hanging="960" w:hangingChars="300"/>
        <w:textAlignment w:val="baseline"/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附件：1.</w:t>
      </w:r>
      <w:r>
        <w:rPr>
          <w:rFonts w:hint="default" w:ascii="Times New Roman" w:hAnsi="Times New Roman" w:eastAsia="CESI仿宋-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井研县2021年中央财政渔业发展补助资金项目资金预算表 </w:t>
      </w:r>
    </w:p>
    <w:p>
      <w:pPr>
        <w:spacing w:line="360" w:lineRule="auto"/>
        <w:ind w:left="1596" w:leftChars="760" w:firstLine="0" w:firstLineChars="0"/>
        <w:textAlignment w:val="baseline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Style w:val="35"/>
          <w:rFonts w:hint="default" w:ascii="Times New Roman" w:hAnsi="Times New Roman" w:eastAsia="CESI仿宋-GB2312" w:cs="Times New Roman"/>
          <w:kern w:val="0"/>
          <w:sz w:val="32"/>
          <w:szCs w:val="32"/>
        </w:rPr>
        <w:t>2.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池塘内循环流水养殖系统技术方案</w:t>
      </w:r>
    </w:p>
    <w:p>
      <w:pPr>
        <w:pStyle w:val="26"/>
        <w:ind w:left="1920" w:leftChars="0" w:hanging="1920" w:hangingChars="600"/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 xml:space="preserve">          3.50T/h养鱼尾水处理系统技术方案</w:t>
      </w:r>
    </w:p>
    <w:p>
      <w:pPr>
        <w:pStyle w:val="26"/>
        <w:ind w:left="1920" w:leftChars="0" w:hanging="1920" w:hangingChars="600"/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 xml:space="preserve">          4.30-40亩鱼塘养殖尾水处理设备技术方案</w:t>
      </w:r>
    </w:p>
    <w:p>
      <w:pPr>
        <w:pStyle w:val="26"/>
        <w:ind w:left="0" w:leftChars="0" w:firstLine="0" w:firstLineChars="0"/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sectPr>
          <w:footerReference r:id="rId3" w:type="default"/>
          <w:pgSz w:w="11906" w:h="16838"/>
          <w:pgMar w:top="1701" w:right="1474" w:bottom="1418" w:left="1588" w:header="851" w:footer="992" w:gutter="0"/>
          <w:pgNumType w:fmt="numberInDash" w:start="1"/>
          <w:cols w:space="0" w:num="1"/>
          <w:docGrid w:type="lines" w:linePitch="314" w:charSpace="0"/>
        </w:sectPr>
      </w:pPr>
    </w:p>
    <w:tbl>
      <w:tblPr>
        <w:tblStyle w:val="23"/>
        <w:tblW w:w="1340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504"/>
        <w:gridCol w:w="670"/>
        <w:gridCol w:w="860"/>
        <w:gridCol w:w="1334"/>
        <w:gridCol w:w="2057"/>
        <w:gridCol w:w="1266"/>
        <w:gridCol w:w="1235"/>
        <w:gridCol w:w="2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CESI小标宋-GB13000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井研县2021年中央财政渔业发展补助资金项目预算表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一、吕学刚、胡永才鱼塘尾水处理方案预算（治理面积43亩，2户）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3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预算资金（万元）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补助占比%</w:t>
            </w:r>
          </w:p>
        </w:tc>
        <w:tc>
          <w:tcPr>
            <w:tcW w:w="2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尾水处理设备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80000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48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尾水处理设备基建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5000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0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二、易继东鱼塘治理预算（治理面积244亩）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机械筑埂</w:t>
            </w:r>
          </w:p>
        </w:tc>
        <w:tc>
          <w:tcPr>
            <w:tcW w:w="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42"/>
                <w:rFonts w:hint="default" w:ascii="Times New Roman" w:hAnsi="Times New Roman" w:cs="Times New Roman"/>
                <w:lang w:val="en-US" w:eastAsia="zh-CN" w:bidi="ar"/>
              </w:rPr>
              <w:t>³</w:t>
            </w:r>
          </w:p>
        </w:tc>
        <w:tc>
          <w:tcPr>
            <w:tcW w:w="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8047</w:t>
            </w:r>
          </w:p>
        </w:tc>
        <w:tc>
          <w:tcPr>
            <w:tcW w:w="13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20</w:t>
            </w:r>
          </w:p>
        </w:tc>
        <w:tc>
          <w:tcPr>
            <w:tcW w:w="2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16.094</w:t>
            </w:r>
          </w:p>
        </w:tc>
        <w:tc>
          <w:tcPr>
            <w:tcW w:w="12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51.54</w:t>
            </w:r>
          </w:p>
        </w:tc>
        <w:tc>
          <w:tcPr>
            <w:tcW w:w="12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含挖填方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机械平整鱼塘护坡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5.2635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混凝土现浇内外坡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17.501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混凝土现浇内坡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19.56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混凝土修复塘埂内外坡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1513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8.7754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防洪缺及防护栏</w:t>
            </w:r>
          </w:p>
        </w:tc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5400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04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拦鱼栅</w:t>
            </w:r>
          </w:p>
        </w:tc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16000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4.8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维修管理房</w:t>
            </w:r>
          </w:p>
        </w:tc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5400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22千瓦三相潜水泵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7500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0.75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ɸ50电缆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ɸ200闸阀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1200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ɸ200热接pe管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62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4.371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道路硬化500m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650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20.475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3.5m×0.18m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（含路基平整）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尾水处理设备</w:t>
            </w:r>
          </w:p>
        </w:tc>
        <w:tc>
          <w:tcPr>
            <w:tcW w:w="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80000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尾水处理设备基建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5000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117.1399</w:t>
            </w:r>
          </w:p>
        </w:tc>
        <w:tc>
          <w:tcPr>
            <w:tcW w:w="12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0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瓦窑村集体股份经济合作社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预算（面积29亩）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流水槽玻璃缸体</w:t>
            </w:r>
          </w:p>
        </w:tc>
        <w:tc>
          <w:tcPr>
            <w:tcW w:w="67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8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100000</w:t>
            </w:r>
          </w:p>
        </w:tc>
        <w:tc>
          <w:tcPr>
            <w:tcW w:w="205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2.73</w:t>
            </w:r>
          </w:p>
        </w:tc>
        <w:tc>
          <w:tcPr>
            <w:tcW w:w="1235" w:type="dxa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44</w:t>
            </w:r>
          </w:p>
        </w:tc>
        <w:tc>
          <w:tcPr>
            <w:tcW w:w="28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三相电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15000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管理房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530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756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挖填方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20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15×2×40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基础修建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42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192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19×40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700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162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15×3+2×15+3×12）×0.15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护坡保坎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700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.03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边沟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105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40×0.6×0.2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粪池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开挖硬化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800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096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1×1×1.2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抽水设备500管+机器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14000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便道硬化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620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085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湿地（水生植物种植）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40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环境绿化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20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发电机组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15千瓦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修建水柜子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3×2.5×1.5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661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四、雷国庆鱼塘尾水治理预算（治理面积22亩）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挖填方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25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5.83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砌砖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0.24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135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看护房屋顶改造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130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0.286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护坡硬化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55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2.31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尾水处理设备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80000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尾水处理设备基建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5000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水产养殖智能设备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2000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51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五、李延军鱼塘尾水治理预算（治理面积33亩）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看护房屋顶改造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130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1.43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4.55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水产养殖智能设备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  <w:t>2000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80000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尾水处理设备基建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5000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10.33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六、熊险峰鱼塘尾水处理预算（治理面积30亩，1户）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挖填方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43"/>
                <w:rFonts w:hint="default" w:ascii="Times New Roman" w:hAnsi="Times New Roman" w:cs="Times New Roman"/>
                <w:lang w:val="en-US" w:eastAsia="zh-CN" w:bidi="ar"/>
              </w:rPr>
              <w:t>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88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砌砖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0.24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135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0.945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0.24m×24m×3m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护坡硬化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58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80000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尾水处理设备基建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5000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083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七、张永红鱼塘标准化改造（治理面积52亩）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挖填方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43"/>
                <w:rFonts w:hint="default" w:ascii="Times New Roman" w:hAnsi="Times New Roman" w:cs="Times New Roman"/>
                <w:lang w:val="en-US" w:eastAsia="zh-CN" w:bidi="ar"/>
              </w:rPr>
              <w:t>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875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7.63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护坡堡坎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硬化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43"/>
                <w:rFonts w:hint="default" w:ascii="Times New Roman" w:hAnsi="Times New Roman" w:cs="Times New Roman"/>
                <w:lang w:val="en-US" w:eastAsia="zh-CN" w:bidi="ar"/>
              </w:rPr>
              <w:t>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58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2.784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排水水柜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15000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道路硬化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72m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43"/>
                <w:rFonts w:hint="default" w:ascii="Times New Roman" w:hAnsi="Times New Roman" w:cs="Times New Roman"/>
                <w:lang w:val="en-US" w:eastAsia="zh-CN" w:bidi="ar"/>
              </w:rPr>
              <w:t>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650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77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4.5m×0.18m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80000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尾水处理设备基建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5000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.3415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李红军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鱼塘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标准化改造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预算（治理面积2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塘坎加高加固挖填方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198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0.495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3.79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机械平整鱼塘护坡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266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0.399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混凝土现浇内外坡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55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2.2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塘埂硬化78m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650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2.73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3m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×0.18m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挖填方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m³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1320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1.98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水产养殖智能设备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2000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04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九、方才文鱼塘尾水处理预算（治理面积31亩，1户）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水产养殖智能设备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2000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4.18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80000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尾水处理设备基建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5000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看护房屋顶改造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130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9.49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9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十、张建军鱼塘尾水处理预算（治理面积35亩，1户）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修建防洪缺及防护栏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31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尾水处理设备基建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十一、苏颜燕鱼塘尾水处理预算（治理面积70亩，1户）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现浇内外坡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43"/>
                <w:rFonts w:hint="default" w:ascii="Times New Roman" w:hAnsi="Times New Roman" w:cs="Times New Roman"/>
                <w:lang w:val="en-US" w:eastAsia="zh-CN" w:bidi="ar"/>
              </w:rPr>
              <w:t>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86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35m×14m×0.06m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塘缺口硬化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43"/>
                <w:rFonts w:hint="default" w:ascii="Times New Roman" w:hAnsi="Times New Roman" w:cs="Times New Roman"/>
                <w:lang w:val="en-US" w:eastAsia="zh-CN" w:bidi="ar"/>
              </w:rPr>
              <w:t>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12m×5m×0.1m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塘缺口硬化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43"/>
                <w:rFonts w:hint="default" w:ascii="Times New Roman" w:hAnsi="Times New Roman" w:cs="Times New Roman"/>
                <w:lang w:val="en-US" w:eastAsia="zh-CN" w:bidi="ar"/>
              </w:rPr>
              <w:t>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6m×6.5m×0.1m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尾水处理设备基建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11.04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十二、水产尾水水质检测设备</w:t>
            </w:r>
          </w:p>
        </w:tc>
        <w:tc>
          <w:tcPr>
            <w:tcW w:w="8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水质分析仪、消解仪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19.41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19.41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按采购办理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19.41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 项 总 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294.9404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141.19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7.87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总治理面积6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</w:tr>
    </w:tbl>
    <w:p>
      <w:pPr>
        <w:pStyle w:val="26"/>
        <w:spacing w:line="240" w:lineRule="auto"/>
        <w:ind w:firstLine="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1134" w:right="1588" w:bottom="1134" w:left="2041" w:header="851" w:footer="992" w:gutter="0"/>
      <w:pgNumType w:fmt="numberInDash"/>
      <w:cols w:space="0" w:num="1"/>
      <w:docGrid w:type="linesAndChar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Times New Roman"/>
                        <w:sz w:val="24"/>
                        <w:szCs w:val="24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88779"/>
    <w:multiLevelType w:val="singleLevel"/>
    <w:tmpl w:val="8198877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75B13B"/>
    <w:multiLevelType w:val="singleLevel"/>
    <w:tmpl w:val="9775B13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07E0864"/>
    <w:multiLevelType w:val="singleLevel"/>
    <w:tmpl w:val="407E086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oNotHyphenateCaps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OWQyNTE4OTFiZDFiY2RjYTM0ZDczY2JiZmM1M2YifQ=="/>
  </w:docVars>
  <w:rsids>
    <w:rsidRoot w:val="73980603"/>
    <w:rsid w:val="00015682"/>
    <w:rsid w:val="000178C6"/>
    <w:rsid w:val="0004030B"/>
    <w:rsid w:val="000451AC"/>
    <w:rsid w:val="000526C2"/>
    <w:rsid w:val="000A347D"/>
    <w:rsid w:val="000F6448"/>
    <w:rsid w:val="00146B83"/>
    <w:rsid w:val="001A073F"/>
    <w:rsid w:val="001B5C60"/>
    <w:rsid w:val="001B6EDA"/>
    <w:rsid w:val="00215C69"/>
    <w:rsid w:val="00231ED9"/>
    <w:rsid w:val="002560EE"/>
    <w:rsid w:val="00274FC3"/>
    <w:rsid w:val="002B7164"/>
    <w:rsid w:val="002F232D"/>
    <w:rsid w:val="003013A7"/>
    <w:rsid w:val="003027DC"/>
    <w:rsid w:val="0030430E"/>
    <w:rsid w:val="00307220"/>
    <w:rsid w:val="00327727"/>
    <w:rsid w:val="00331EC2"/>
    <w:rsid w:val="00344E4C"/>
    <w:rsid w:val="003473C2"/>
    <w:rsid w:val="00355957"/>
    <w:rsid w:val="003646D6"/>
    <w:rsid w:val="003659CD"/>
    <w:rsid w:val="00375183"/>
    <w:rsid w:val="00386E1E"/>
    <w:rsid w:val="00392570"/>
    <w:rsid w:val="003B27DB"/>
    <w:rsid w:val="003C12F4"/>
    <w:rsid w:val="003E6E5E"/>
    <w:rsid w:val="003F1DA6"/>
    <w:rsid w:val="003F3D9C"/>
    <w:rsid w:val="00426903"/>
    <w:rsid w:val="00441F9E"/>
    <w:rsid w:val="00473E17"/>
    <w:rsid w:val="00496830"/>
    <w:rsid w:val="004C310F"/>
    <w:rsid w:val="004F4156"/>
    <w:rsid w:val="00500052"/>
    <w:rsid w:val="00522AD9"/>
    <w:rsid w:val="00561010"/>
    <w:rsid w:val="00580DB4"/>
    <w:rsid w:val="005B752A"/>
    <w:rsid w:val="005F6364"/>
    <w:rsid w:val="006736C3"/>
    <w:rsid w:val="00682CE0"/>
    <w:rsid w:val="006952DE"/>
    <w:rsid w:val="00696CB4"/>
    <w:rsid w:val="006A195F"/>
    <w:rsid w:val="006B065C"/>
    <w:rsid w:val="006B42AA"/>
    <w:rsid w:val="006C2C3A"/>
    <w:rsid w:val="006E04DF"/>
    <w:rsid w:val="006F490E"/>
    <w:rsid w:val="0070780C"/>
    <w:rsid w:val="00740F6E"/>
    <w:rsid w:val="007628DA"/>
    <w:rsid w:val="00782DAD"/>
    <w:rsid w:val="007B3450"/>
    <w:rsid w:val="007C5F19"/>
    <w:rsid w:val="007C79CB"/>
    <w:rsid w:val="007E7743"/>
    <w:rsid w:val="00805617"/>
    <w:rsid w:val="00824578"/>
    <w:rsid w:val="00861D4F"/>
    <w:rsid w:val="00874D68"/>
    <w:rsid w:val="00876D0A"/>
    <w:rsid w:val="00895B8F"/>
    <w:rsid w:val="008A07FF"/>
    <w:rsid w:val="008C4CC2"/>
    <w:rsid w:val="0091246C"/>
    <w:rsid w:val="00915053"/>
    <w:rsid w:val="009711F4"/>
    <w:rsid w:val="00984930"/>
    <w:rsid w:val="00991467"/>
    <w:rsid w:val="009D7A9F"/>
    <w:rsid w:val="009E7F84"/>
    <w:rsid w:val="00A07EF9"/>
    <w:rsid w:val="00A506FB"/>
    <w:rsid w:val="00A8220C"/>
    <w:rsid w:val="00A90A90"/>
    <w:rsid w:val="00B372E8"/>
    <w:rsid w:val="00B52F93"/>
    <w:rsid w:val="00B60B6F"/>
    <w:rsid w:val="00BB24EC"/>
    <w:rsid w:val="00BB34E0"/>
    <w:rsid w:val="00BB4884"/>
    <w:rsid w:val="00BF4D96"/>
    <w:rsid w:val="00C023A1"/>
    <w:rsid w:val="00C21A61"/>
    <w:rsid w:val="00C30E57"/>
    <w:rsid w:val="00C34F77"/>
    <w:rsid w:val="00C6312A"/>
    <w:rsid w:val="00C7370D"/>
    <w:rsid w:val="00C85F15"/>
    <w:rsid w:val="00CB26CD"/>
    <w:rsid w:val="00CB29FC"/>
    <w:rsid w:val="00CE0967"/>
    <w:rsid w:val="00CF3176"/>
    <w:rsid w:val="00D01BED"/>
    <w:rsid w:val="00D11996"/>
    <w:rsid w:val="00D267ED"/>
    <w:rsid w:val="00D3339D"/>
    <w:rsid w:val="00D364F1"/>
    <w:rsid w:val="00D73EF4"/>
    <w:rsid w:val="00D91803"/>
    <w:rsid w:val="00D94F1F"/>
    <w:rsid w:val="00DD5017"/>
    <w:rsid w:val="00DF529F"/>
    <w:rsid w:val="00E023E4"/>
    <w:rsid w:val="00E3586F"/>
    <w:rsid w:val="00E41E80"/>
    <w:rsid w:val="00E77C12"/>
    <w:rsid w:val="00E82EE9"/>
    <w:rsid w:val="00E8632C"/>
    <w:rsid w:val="00E864EE"/>
    <w:rsid w:val="00EA754E"/>
    <w:rsid w:val="00EB49ED"/>
    <w:rsid w:val="00EF60D1"/>
    <w:rsid w:val="00F02F14"/>
    <w:rsid w:val="00F13127"/>
    <w:rsid w:val="00F164FB"/>
    <w:rsid w:val="00F55511"/>
    <w:rsid w:val="00F64533"/>
    <w:rsid w:val="00F65871"/>
    <w:rsid w:val="00F66321"/>
    <w:rsid w:val="00F735A5"/>
    <w:rsid w:val="00F916E1"/>
    <w:rsid w:val="00FC15A1"/>
    <w:rsid w:val="00FD731C"/>
    <w:rsid w:val="014915F3"/>
    <w:rsid w:val="01EE61CA"/>
    <w:rsid w:val="03A4464C"/>
    <w:rsid w:val="03DE6042"/>
    <w:rsid w:val="03EA33F9"/>
    <w:rsid w:val="049413E7"/>
    <w:rsid w:val="04961F2D"/>
    <w:rsid w:val="05257C46"/>
    <w:rsid w:val="05671E1F"/>
    <w:rsid w:val="05984EF4"/>
    <w:rsid w:val="064768DF"/>
    <w:rsid w:val="074D483C"/>
    <w:rsid w:val="07DB0CDB"/>
    <w:rsid w:val="083C590A"/>
    <w:rsid w:val="08CB09AF"/>
    <w:rsid w:val="095B5067"/>
    <w:rsid w:val="09CD264B"/>
    <w:rsid w:val="0A3C774D"/>
    <w:rsid w:val="0B4879B4"/>
    <w:rsid w:val="0BCC2221"/>
    <w:rsid w:val="0C044582"/>
    <w:rsid w:val="0C207F1C"/>
    <w:rsid w:val="0C3D561B"/>
    <w:rsid w:val="0C9B6AEC"/>
    <w:rsid w:val="0CAF2412"/>
    <w:rsid w:val="0D67738E"/>
    <w:rsid w:val="0FDA2F1C"/>
    <w:rsid w:val="11650ADE"/>
    <w:rsid w:val="12081E13"/>
    <w:rsid w:val="12405AE8"/>
    <w:rsid w:val="124F16CB"/>
    <w:rsid w:val="12556E8E"/>
    <w:rsid w:val="129D4653"/>
    <w:rsid w:val="135F3A3E"/>
    <w:rsid w:val="13602E81"/>
    <w:rsid w:val="146C3FDD"/>
    <w:rsid w:val="152243DC"/>
    <w:rsid w:val="17212F9F"/>
    <w:rsid w:val="174E4CAF"/>
    <w:rsid w:val="18CE264A"/>
    <w:rsid w:val="18E42F95"/>
    <w:rsid w:val="191C2100"/>
    <w:rsid w:val="194B09DC"/>
    <w:rsid w:val="1B211374"/>
    <w:rsid w:val="1C0B4F12"/>
    <w:rsid w:val="1DA7210C"/>
    <w:rsid w:val="1F1137CB"/>
    <w:rsid w:val="1F122C19"/>
    <w:rsid w:val="1F525CD3"/>
    <w:rsid w:val="1F7D59F4"/>
    <w:rsid w:val="20154DE2"/>
    <w:rsid w:val="201A7901"/>
    <w:rsid w:val="212C10D1"/>
    <w:rsid w:val="233066E0"/>
    <w:rsid w:val="234F765B"/>
    <w:rsid w:val="24236C2E"/>
    <w:rsid w:val="249126D5"/>
    <w:rsid w:val="24DA58E0"/>
    <w:rsid w:val="25723071"/>
    <w:rsid w:val="25B83E06"/>
    <w:rsid w:val="262263F3"/>
    <w:rsid w:val="26AB05D1"/>
    <w:rsid w:val="27156BD2"/>
    <w:rsid w:val="28AD7DD9"/>
    <w:rsid w:val="28F9799B"/>
    <w:rsid w:val="29A22921"/>
    <w:rsid w:val="29D6572D"/>
    <w:rsid w:val="29F573A4"/>
    <w:rsid w:val="2A8E57FD"/>
    <w:rsid w:val="2AA547F2"/>
    <w:rsid w:val="2AC74A2B"/>
    <w:rsid w:val="2B1E6526"/>
    <w:rsid w:val="2BB5231D"/>
    <w:rsid w:val="2C5879D8"/>
    <w:rsid w:val="2C813144"/>
    <w:rsid w:val="2C822BE5"/>
    <w:rsid w:val="2D5D1C72"/>
    <w:rsid w:val="2FC86EDD"/>
    <w:rsid w:val="332E2C95"/>
    <w:rsid w:val="33F74E37"/>
    <w:rsid w:val="34F52F93"/>
    <w:rsid w:val="363F18EF"/>
    <w:rsid w:val="36E52507"/>
    <w:rsid w:val="3712211C"/>
    <w:rsid w:val="373369B9"/>
    <w:rsid w:val="376659B9"/>
    <w:rsid w:val="37AC319E"/>
    <w:rsid w:val="37E0231A"/>
    <w:rsid w:val="383E49E5"/>
    <w:rsid w:val="38A24418"/>
    <w:rsid w:val="38B8574F"/>
    <w:rsid w:val="39047352"/>
    <w:rsid w:val="392D557E"/>
    <w:rsid w:val="3A110C77"/>
    <w:rsid w:val="3A63316D"/>
    <w:rsid w:val="3CD47788"/>
    <w:rsid w:val="3F910CF0"/>
    <w:rsid w:val="3FED7695"/>
    <w:rsid w:val="401F21CB"/>
    <w:rsid w:val="40466397"/>
    <w:rsid w:val="414D7C53"/>
    <w:rsid w:val="41921112"/>
    <w:rsid w:val="420C753A"/>
    <w:rsid w:val="421341E1"/>
    <w:rsid w:val="444E36D4"/>
    <w:rsid w:val="45924196"/>
    <w:rsid w:val="46761179"/>
    <w:rsid w:val="46B36B6A"/>
    <w:rsid w:val="46CC254B"/>
    <w:rsid w:val="4AA912FD"/>
    <w:rsid w:val="4AB60BDD"/>
    <w:rsid w:val="4AD87C7D"/>
    <w:rsid w:val="4ADB3FAE"/>
    <w:rsid w:val="4ADB5EF1"/>
    <w:rsid w:val="4B300437"/>
    <w:rsid w:val="4B321008"/>
    <w:rsid w:val="4BD6346A"/>
    <w:rsid w:val="4C3A37B0"/>
    <w:rsid w:val="4CA037E1"/>
    <w:rsid w:val="4CD647F1"/>
    <w:rsid w:val="4D1C3A8B"/>
    <w:rsid w:val="4D692409"/>
    <w:rsid w:val="4DDD6865"/>
    <w:rsid w:val="4DEF7C84"/>
    <w:rsid w:val="4DFB12B5"/>
    <w:rsid w:val="4E862E81"/>
    <w:rsid w:val="4ECE247F"/>
    <w:rsid w:val="4FE34C24"/>
    <w:rsid w:val="4FFFCCA1"/>
    <w:rsid w:val="50121056"/>
    <w:rsid w:val="501A61CD"/>
    <w:rsid w:val="50B853AC"/>
    <w:rsid w:val="512E0032"/>
    <w:rsid w:val="52107087"/>
    <w:rsid w:val="524C1A73"/>
    <w:rsid w:val="524F75FB"/>
    <w:rsid w:val="5288686A"/>
    <w:rsid w:val="52D213D3"/>
    <w:rsid w:val="540D23C1"/>
    <w:rsid w:val="546B2407"/>
    <w:rsid w:val="54B11CEE"/>
    <w:rsid w:val="556B0FAA"/>
    <w:rsid w:val="557B628C"/>
    <w:rsid w:val="56AA19E6"/>
    <w:rsid w:val="578466ED"/>
    <w:rsid w:val="57A927D9"/>
    <w:rsid w:val="585B2AC3"/>
    <w:rsid w:val="586D3CD6"/>
    <w:rsid w:val="599EB02A"/>
    <w:rsid w:val="5A025B82"/>
    <w:rsid w:val="5A5814A7"/>
    <w:rsid w:val="5A851514"/>
    <w:rsid w:val="5C422C0C"/>
    <w:rsid w:val="5CE1761A"/>
    <w:rsid w:val="5CFCF334"/>
    <w:rsid w:val="5DA34213"/>
    <w:rsid w:val="5DBE1537"/>
    <w:rsid w:val="5EB73C46"/>
    <w:rsid w:val="5EED0259"/>
    <w:rsid w:val="5EEF2524"/>
    <w:rsid w:val="5F9E1509"/>
    <w:rsid w:val="611415A8"/>
    <w:rsid w:val="61304A98"/>
    <w:rsid w:val="613528A8"/>
    <w:rsid w:val="6303090E"/>
    <w:rsid w:val="635E1EAA"/>
    <w:rsid w:val="63631FF8"/>
    <w:rsid w:val="63B07521"/>
    <w:rsid w:val="63DE60A5"/>
    <w:rsid w:val="645843FF"/>
    <w:rsid w:val="645B71B3"/>
    <w:rsid w:val="650877A6"/>
    <w:rsid w:val="65383470"/>
    <w:rsid w:val="658E47F1"/>
    <w:rsid w:val="660A5479"/>
    <w:rsid w:val="66214399"/>
    <w:rsid w:val="66CB4339"/>
    <w:rsid w:val="68477340"/>
    <w:rsid w:val="684C23DC"/>
    <w:rsid w:val="684F6757"/>
    <w:rsid w:val="69221E5F"/>
    <w:rsid w:val="69CC1731"/>
    <w:rsid w:val="6A663D1E"/>
    <w:rsid w:val="6B053D1E"/>
    <w:rsid w:val="6B8653CA"/>
    <w:rsid w:val="6D225371"/>
    <w:rsid w:val="6D4B66D5"/>
    <w:rsid w:val="6DEC3E72"/>
    <w:rsid w:val="6E4214CA"/>
    <w:rsid w:val="6ED613F5"/>
    <w:rsid w:val="6FFD919F"/>
    <w:rsid w:val="70D657DF"/>
    <w:rsid w:val="70F70888"/>
    <w:rsid w:val="711E494D"/>
    <w:rsid w:val="71584E98"/>
    <w:rsid w:val="71A85942"/>
    <w:rsid w:val="728C0C01"/>
    <w:rsid w:val="73101035"/>
    <w:rsid w:val="7347394A"/>
    <w:rsid w:val="737A7E54"/>
    <w:rsid w:val="73980603"/>
    <w:rsid w:val="73BA4325"/>
    <w:rsid w:val="75073A81"/>
    <w:rsid w:val="768B48DD"/>
    <w:rsid w:val="77CB748D"/>
    <w:rsid w:val="796E4E46"/>
    <w:rsid w:val="7A63480D"/>
    <w:rsid w:val="7A9E71A4"/>
    <w:rsid w:val="7AC9EC44"/>
    <w:rsid w:val="7BBB6947"/>
    <w:rsid w:val="7C7B6A19"/>
    <w:rsid w:val="7CD9419A"/>
    <w:rsid w:val="7D0F5E27"/>
    <w:rsid w:val="7D2F0AC5"/>
    <w:rsid w:val="7DFE7362"/>
    <w:rsid w:val="7E102540"/>
    <w:rsid w:val="7ED719FA"/>
    <w:rsid w:val="7EEFF30C"/>
    <w:rsid w:val="7F34071D"/>
    <w:rsid w:val="7F660FA0"/>
    <w:rsid w:val="95BF6274"/>
    <w:rsid w:val="ABCFF6BD"/>
    <w:rsid w:val="AFCFB192"/>
    <w:rsid w:val="BBEFE35E"/>
    <w:rsid w:val="BDF7EBEC"/>
    <w:rsid w:val="BFFD5E8F"/>
    <w:rsid w:val="DB7F4EEF"/>
    <w:rsid w:val="E7EE1A3D"/>
    <w:rsid w:val="E89B4962"/>
    <w:rsid w:val="FA7F9F1B"/>
    <w:rsid w:val="FAD17837"/>
    <w:rsid w:val="FF76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qFormat="1" w:unhideWhenUsed="0"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qFormat="1" w:unhideWhenUsed="0" w:uiPriority="99" w:name="HTML Cite"/>
    <w:lsdException w:qFormat="1" w:unhideWhenUsed="0" w:uiPriority="99" w:name="HTML Code"/>
    <w:lsdException w:qFormat="1" w:unhideWhenUsed="0" w:uiPriority="99" w:name="HTML Definition"/>
    <w:lsdException w:qFormat="1" w:unhideWhenUsed="0" w:uiPriority="99" w:name="HTML Keyboard"/>
    <w:lsdException w:uiPriority="99" w:name="HTML Preformatted" w:locked="1"/>
    <w:lsdException w:qFormat="1" w:unhideWhenUsed="0" w:uiPriority="99" w:name="HTML Sample"/>
    <w:lsdException w:uiPriority="99" w:name="HTML Typewriter" w:locked="1"/>
    <w:lsdException w:qFormat="1" w:unhideWhenUsed="0" w:uiPriority="99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7"/>
    <w:qFormat/>
    <w:locked/>
    <w:uiPriority w:val="99"/>
    <w:pPr>
      <w:widowControl/>
      <w:wordWrap w:val="0"/>
      <w:spacing w:beforeLines="100" w:afterLines="100" w:line="360" w:lineRule="auto"/>
      <w:jc w:val="center"/>
      <w:outlineLvl w:val="0"/>
    </w:pPr>
    <w:rPr>
      <w:rFonts w:ascii="Times New Roman" w:hAnsi="Times New Roman" w:eastAsia="楷体_GB2312" w:cs="Times New Roman"/>
      <w:b/>
      <w:bCs/>
      <w:kern w:val="0"/>
      <w:sz w:val="32"/>
      <w:szCs w:val="32"/>
    </w:rPr>
  </w:style>
  <w:style w:type="paragraph" w:styleId="4">
    <w:name w:val="heading 2"/>
    <w:basedOn w:val="1"/>
    <w:next w:val="1"/>
    <w:link w:val="28"/>
    <w:qFormat/>
    <w:locked/>
    <w:uiPriority w:val="99"/>
    <w:pPr>
      <w:widowControl/>
      <w:wordWrap w:val="0"/>
      <w:spacing w:line="360" w:lineRule="auto"/>
      <w:ind w:firstLine="1020" w:firstLineChars="200"/>
      <w:jc w:val="left"/>
      <w:outlineLvl w:val="1"/>
    </w:pPr>
    <w:rPr>
      <w:rFonts w:ascii="Times New Roman" w:hAnsi="Times New Roman" w:eastAsia="楷体_GB2312" w:cs="Times New Roman"/>
      <w:b/>
      <w:bCs/>
      <w:kern w:val="0"/>
      <w:sz w:val="32"/>
      <w:szCs w:val="32"/>
    </w:rPr>
  </w:style>
  <w:style w:type="character" w:default="1" w:styleId="12">
    <w:name w:val="Default Paragraph Font"/>
    <w:semiHidden/>
    <w:qFormat/>
    <w:uiPriority w:val="99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3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locked/>
    <w:uiPriority w:val="99"/>
    <w:pPr>
      <w:tabs>
        <w:tab w:val="right" w:leader="dot" w:pos="8720"/>
      </w:tabs>
      <w:jc w:val="center"/>
    </w:pPr>
    <w:rPr>
      <w:rFonts w:ascii="宋体" w:hAnsi="宋体" w:cs="宋体"/>
      <w:sz w:val="28"/>
      <w:szCs w:val="28"/>
    </w:rPr>
  </w:style>
  <w:style w:type="paragraph" w:styleId="9">
    <w:name w:val="table of figures"/>
    <w:basedOn w:val="1"/>
    <w:next w:val="1"/>
    <w:semiHidden/>
    <w:qFormat/>
    <w:locked/>
    <w:uiPriority w:val="99"/>
    <w:pPr>
      <w:ind w:left="200" w:leftChars="200" w:hanging="200" w:hangingChars="200"/>
    </w:pPr>
  </w:style>
  <w:style w:type="paragraph" w:styleId="10">
    <w:name w:val="Normal (Web)"/>
    <w:basedOn w:val="1"/>
    <w:semiHidden/>
    <w:qFormat/>
    <w:uiPriority w:val="99"/>
    <w:pPr>
      <w:spacing w:line="480" w:lineRule="auto"/>
      <w:jc w:val="left"/>
    </w:pPr>
    <w:rPr>
      <w:rFonts w:ascii="微软雅黑" w:hAnsi="微软雅黑" w:eastAsia="微软雅黑" w:cs="微软雅黑"/>
      <w:kern w:val="0"/>
      <w:sz w:val="18"/>
      <w:szCs w:val="18"/>
    </w:rPr>
  </w:style>
  <w:style w:type="paragraph" w:styleId="11">
    <w:name w:val="Title"/>
    <w:basedOn w:val="1"/>
    <w:next w:val="1"/>
    <w:qFormat/>
    <w:locked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3">
    <w:name w:val="Strong"/>
    <w:basedOn w:val="12"/>
    <w:qFormat/>
    <w:locked/>
    <w:uiPriority w:val="99"/>
    <w:rPr>
      <w:rFonts w:cs="Times New Roman"/>
      <w:b/>
      <w:bCs/>
    </w:rPr>
  </w:style>
  <w:style w:type="character" w:styleId="14">
    <w:name w:val="FollowedHyperlink"/>
    <w:basedOn w:val="12"/>
    <w:semiHidden/>
    <w:qFormat/>
    <w:uiPriority w:val="99"/>
    <w:rPr>
      <w:rFonts w:cs="Times New Roman"/>
      <w:color w:val="auto"/>
      <w:u w:val="none"/>
    </w:rPr>
  </w:style>
  <w:style w:type="character" w:styleId="15">
    <w:name w:val="Emphasis"/>
    <w:basedOn w:val="12"/>
    <w:qFormat/>
    <w:locked/>
    <w:uiPriority w:val="99"/>
    <w:rPr>
      <w:rFonts w:cs="Times New Roman"/>
    </w:rPr>
  </w:style>
  <w:style w:type="character" w:styleId="16">
    <w:name w:val="HTML Definition"/>
    <w:basedOn w:val="12"/>
    <w:semiHidden/>
    <w:qFormat/>
    <w:uiPriority w:val="99"/>
    <w:rPr>
      <w:rFonts w:cs="Times New Roman"/>
    </w:rPr>
  </w:style>
  <w:style w:type="character" w:styleId="17">
    <w:name w:val="HTML Variable"/>
    <w:basedOn w:val="12"/>
    <w:semiHidden/>
    <w:qFormat/>
    <w:uiPriority w:val="99"/>
    <w:rPr>
      <w:rFonts w:cs="Times New Roman"/>
    </w:rPr>
  </w:style>
  <w:style w:type="character" w:styleId="18">
    <w:name w:val="Hyperlink"/>
    <w:basedOn w:val="12"/>
    <w:semiHidden/>
    <w:qFormat/>
    <w:uiPriority w:val="99"/>
    <w:rPr>
      <w:rFonts w:cs="Times New Roman"/>
      <w:color w:val="auto"/>
      <w:u w:val="none"/>
    </w:rPr>
  </w:style>
  <w:style w:type="character" w:styleId="19">
    <w:name w:val="HTML Code"/>
    <w:basedOn w:val="12"/>
    <w:semiHidden/>
    <w:qFormat/>
    <w:uiPriority w:val="99"/>
    <w:rPr>
      <w:rFonts w:ascii="serif" w:hAnsi="serif" w:cs="serif"/>
      <w:sz w:val="21"/>
      <w:szCs w:val="21"/>
    </w:rPr>
  </w:style>
  <w:style w:type="character" w:styleId="20">
    <w:name w:val="HTML Cite"/>
    <w:basedOn w:val="12"/>
    <w:semiHidden/>
    <w:qFormat/>
    <w:uiPriority w:val="99"/>
    <w:rPr>
      <w:rFonts w:cs="Times New Roman"/>
    </w:rPr>
  </w:style>
  <w:style w:type="character" w:styleId="21">
    <w:name w:val="HTML Keyboard"/>
    <w:basedOn w:val="12"/>
    <w:semiHidden/>
    <w:qFormat/>
    <w:uiPriority w:val="99"/>
    <w:rPr>
      <w:rFonts w:ascii="serif" w:hAnsi="serif" w:cs="serif"/>
      <w:sz w:val="21"/>
      <w:szCs w:val="21"/>
    </w:rPr>
  </w:style>
  <w:style w:type="character" w:styleId="22">
    <w:name w:val="HTML Sample"/>
    <w:basedOn w:val="12"/>
    <w:semiHidden/>
    <w:qFormat/>
    <w:uiPriority w:val="99"/>
    <w:rPr>
      <w:rFonts w:ascii="serif" w:hAnsi="serif" w:cs="serif"/>
      <w:sz w:val="21"/>
      <w:szCs w:val="21"/>
    </w:rPr>
  </w:style>
  <w:style w:type="table" w:styleId="24">
    <w:name w:val="Table Grid"/>
    <w:basedOn w:val="2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主标题"/>
    <w:basedOn w:val="1"/>
    <w:next w:val="1"/>
    <w:qFormat/>
    <w:uiPriority w:val="0"/>
    <w:pPr>
      <w:spacing w:line="700" w:lineRule="exact"/>
      <w:jc w:val="center"/>
    </w:pPr>
    <w:rPr>
      <w:rFonts w:eastAsia="方正公文小标宋"/>
      <w:sz w:val="44"/>
    </w:rPr>
  </w:style>
  <w:style w:type="paragraph" w:customStyle="1" w:styleId="26">
    <w:name w:val="常用样式（方正仿宋简）"/>
    <w:qFormat/>
    <w:uiPriority w:val="99"/>
    <w:pPr>
      <w:widowControl w:val="0"/>
      <w:tabs>
        <w:tab w:val="left" w:pos="1675"/>
      </w:tabs>
      <w:spacing w:line="560" w:lineRule="exact"/>
      <w:ind w:firstLine="640" w:firstLineChars="200"/>
      <w:jc w:val="both"/>
    </w:pPr>
    <w:rPr>
      <w:rFonts w:ascii="Calibri" w:hAnsi="Calibri" w:eastAsia="方正仿宋简体" w:cs="Calibri"/>
      <w:kern w:val="2"/>
      <w:sz w:val="32"/>
      <w:szCs w:val="32"/>
      <w:lang w:val="en-US" w:eastAsia="zh-CN" w:bidi="ar-SA"/>
    </w:rPr>
  </w:style>
  <w:style w:type="character" w:customStyle="1" w:styleId="27">
    <w:name w:val="Heading 1 Char"/>
    <w:basedOn w:val="12"/>
    <w:link w:val="3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28">
    <w:name w:val="Heading 2 Char"/>
    <w:basedOn w:val="12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9">
    <w:name w:val="Balloon Text Char"/>
    <w:basedOn w:val="12"/>
    <w:link w:val="5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30">
    <w:name w:val="Footer Char"/>
    <w:basedOn w:val="12"/>
    <w:link w:val="6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31">
    <w:name w:val="Header Char"/>
    <w:basedOn w:val="12"/>
    <w:link w:val="7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32">
    <w:name w:val="fontstrikethrough"/>
    <w:basedOn w:val="12"/>
    <w:qFormat/>
    <w:uiPriority w:val="99"/>
    <w:rPr>
      <w:rFonts w:cs="Times New Roman"/>
      <w:strike/>
    </w:rPr>
  </w:style>
  <w:style w:type="character" w:customStyle="1" w:styleId="33">
    <w:name w:val="fontborder"/>
    <w:basedOn w:val="12"/>
    <w:qFormat/>
    <w:uiPriority w:val="99"/>
    <w:rPr>
      <w:rFonts w:cs="Times New Roman"/>
      <w:bdr w:val="single" w:color="000000" w:sz="6" w:space="0"/>
    </w:rPr>
  </w:style>
  <w:style w:type="character" w:customStyle="1" w:styleId="34">
    <w:name w:val="one"/>
    <w:basedOn w:val="12"/>
    <w:qFormat/>
    <w:uiPriority w:val="99"/>
    <w:rPr>
      <w:rFonts w:cs="Times New Roman"/>
      <w:color w:val="auto"/>
    </w:rPr>
  </w:style>
  <w:style w:type="character" w:customStyle="1" w:styleId="35">
    <w:name w:val="font-family:仿宋_gb2312"/>
    <w:qFormat/>
    <w:uiPriority w:val="99"/>
  </w:style>
  <w:style w:type="character" w:customStyle="1" w:styleId="36">
    <w:name w:val="NormalCharacter"/>
    <w:qFormat/>
    <w:uiPriority w:val="99"/>
    <w:rPr>
      <w:sz w:val="20"/>
    </w:rPr>
  </w:style>
  <w:style w:type="character" w:customStyle="1" w:styleId="37">
    <w:name w:val="font121"/>
    <w:basedOn w:val="12"/>
    <w:qFormat/>
    <w:uiPriority w:val="0"/>
    <w:rPr>
      <w:rFonts w:hint="eastAsia" w:ascii="CESI仿宋-GB2312" w:hAnsi="CESI仿宋-GB2312" w:eastAsia="CESI仿宋-GB2312" w:cs="CESI仿宋-GB2312"/>
      <w:color w:val="000000"/>
      <w:sz w:val="32"/>
      <w:szCs w:val="32"/>
      <w:u w:val="none"/>
    </w:rPr>
  </w:style>
  <w:style w:type="character" w:customStyle="1" w:styleId="38">
    <w:name w:val="font13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9">
    <w:name w:val="font71"/>
    <w:basedOn w:val="12"/>
    <w:qFormat/>
    <w:uiPriority w:val="0"/>
    <w:rPr>
      <w:rFonts w:hint="eastAsia" w:ascii="CESI仿宋-GB2312" w:hAnsi="CESI仿宋-GB2312" w:eastAsia="CESI仿宋-GB2312" w:cs="CESI仿宋-GB2312"/>
      <w:color w:val="000000"/>
      <w:sz w:val="32"/>
      <w:szCs w:val="32"/>
      <w:u w:val="none"/>
    </w:rPr>
  </w:style>
  <w:style w:type="character" w:customStyle="1" w:styleId="40">
    <w:name w:val="font17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1">
    <w:name w:val="font61"/>
    <w:basedOn w:val="12"/>
    <w:qFormat/>
    <w:uiPriority w:val="0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42">
    <w:name w:val="font4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3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13</Pages>
  <Words>4531</Words>
  <Characters>5511</Characters>
  <Lines>0</Lines>
  <Paragraphs>0</Paragraphs>
  <TotalTime>10</TotalTime>
  <ScaleCrop>false</ScaleCrop>
  <LinksUpToDate>false</LinksUpToDate>
  <CharactersWithSpaces>5582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2021-06-06T08:53:00Z</dcterms:created>
  <dc:creator>Administrator</dc:creator>
  <cp:lastModifiedBy>sherry</cp:lastModifiedBy>
  <cp:lastPrinted>2021-09-04T15:52:00Z</cp:lastPrinted>
  <dcterms:modified xsi:type="dcterms:W3CDTF">2022-05-25T07:30:20Z</dcterms:modified>
  <dc:title>犍为县舞雩镇2020年乡村振兴战略先进镇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C897BD8DDFF64B1A89DB484B7BDA55B0</vt:lpwstr>
  </property>
</Properties>
</file>