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cs="黑体"/>
          <w:sz w:val="32"/>
          <w:szCs w:val="32"/>
        </w:rPr>
      </w:pPr>
    </w:p>
    <w:p>
      <w:pPr>
        <w:adjustRightInd w:val="0"/>
        <w:snapToGrid w:val="0"/>
        <w:spacing w:line="580" w:lineRule="exact"/>
        <w:jc w:val="left"/>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井研县</w:t>
      </w:r>
      <w:r>
        <w:rPr>
          <w:rFonts w:hint="eastAsia" w:ascii="方正小标宋简体" w:hAnsi="方正小标宋简体" w:eastAsia="方正小标宋简体" w:cs="方正小标宋简体"/>
          <w:sz w:val="44"/>
          <w:szCs w:val="44"/>
          <w:lang w:eastAsia="zh-CN"/>
        </w:rPr>
        <w:t>东林镇人民政府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2021年政府信息公开工作年度报告</w:t>
      </w:r>
    </w:p>
    <w:p>
      <w:pPr>
        <w:adjustRightInd w:val="0"/>
        <w:snapToGrid w:val="0"/>
        <w:spacing w:line="580" w:lineRule="exact"/>
        <w:jc w:val="both"/>
        <w:rPr>
          <w:rFonts w:ascii="Times New Roman" w:hAnsi="Times New Roman" w:eastAsia="方正小标宋简体" w:cs="方正小标宋简体"/>
          <w:sz w:val="44"/>
          <w:szCs w:val="44"/>
        </w:rPr>
      </w:pPr>
    </w:p>
    <w:p>
      <w:pPr>
        <w:adjustRightInd w:val="0"/>
        <w:snapToGrid w:val="0"/>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一、总体情况</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仿宋" w:hAnsi="仿宋" w:eastAsia="仿宋" w:cs="仿宋"/>
          <w:sz w:val="32"/>
          <w:szCs w:val="32"/>
        </w:rPr>
        <w:t>根据《中华人民共和国政府信息公开条例》的规定，现公布</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东林镇政府信息公开工作年度报告。本报告由概述、主动公开政府信息情况、依申请公开政府信息情况、政府信息公开的收费和减免情况、政府信息公开申请行政复议和行政诉讼情况、政府信息公开中存在的问题及改进情况共七个部分组成。内容涵盖镇政</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年1月1 日至</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年12月31日期间的政府信息公开工作情况。</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二、主动公开政府信息情况</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年,对各项工作进行了分解,进一步明确了政府信息公开范围、工作分工、工作职责等具体要求,成立了</w:t>
      </w:r>
      <w:r>
        <w:rPr>
          <w:rFonts w:hint="eastAsia" w:ascii="仿宋" w:hAnsi="仿宋" w:eastAsia="仿宋" w:cs="仿宋"/>
          <w:sz w:val="32"/>
          <w:szCs w:val="32"/>
          <w:lang w:val="en-US" w:eastAsia="zh-CN"/>
        </w:rPr>
        <w:t>由</w:t>
      </w:r>
      <w:r>
        <w:rPr>
          <w:rFonts w:hint="eastAsia" w:ascii="仿宋" w:hAnsi="仿宋" w:eastAsia="仿宋" w:cs="仿宋"/>
          <w:sz w:val="32"/>
          <w:szCs w:val="32"/>
        </w:rPr>
        <w:t>镇长</w:t>
      </w:r>
      <w:r>
        <w:rPr>
          <w:rFonts w:hint="eastAsia" w:ascii="仿宋" w:hAnsi="仿宋" w:eastAsia="仿宋" w:cs="仿宋"/>
          <w:sz w:val="32"/>
          <w:szCs w:val="32"/>
          <w:lang w:val="en-US" w:eastAsia="zh-CN"/>
        </w:rPr>
        <w:t>何贤担任组长</w:t>
      </w:r>
      <w:r>
        <w:rPr>
          <w:rFonts w:hint="eastAsia" w:ascii="仿宋" w:hAnsi="仿宋" w:eastAsia="仿宋" w:cs="仿宋"/>
          <w:sz w:val="32"/>
          <w:szCs w:val="32"/>
        </w:rPr>
        <w:t>，党</w:t>
      </w:r>
      <w:r>
        <w:rPr>
          <w:rFonts w:hint="eastAsia" w:ascii="仿宋" w:hAnsi="仿宋" w:eastAsia="仿宋" w:cs="仿宋"/>
          <w:sz w:val="32"/>
          <w:szCs w:val="32"/>
          <w:lang w:val="en-US" w:eastAsia="zh-CN"/>
        </w:rPr>
        <w:t>委</w:t>
      </w:r>
      <w:r>
        <w:rPr>
          <w:rFonts w:hint="eastAsia" w:ascii="仿宋" w:hAnsi="仿宋" w:eastAsia="仿宋" w:cs="仿宋"/>
          <w:sz w:val="32"/>
          <w:szCs w:val="32"/>
        </w:rPr>
        <w:t>副书记</w:t>
      </w:r>
      <w:r>
        <w:rPr>
          <w:rFonts w:hint="eastAsia" w:ascii="仿宋" w:hAnsi="仿宋" w:eastAsia="仿宋" w:cs="仿宋"/>
          <w:sz w:val="32"/>
          <w:szCs w:val="32"/>
          <w:lang w:eastAsia="zh-CN"/>
        </w:rPr>
        <w:t>刘媛</w:t>
      </w:r>
      <w:r>
        <w:rPr>
          <w:rFonts w:hint="eastAsia" w:ascii="仿宋" w:hAnsi="仿宋" w:eastAsia="仿宋" w:cs="仿宋"/>
          <w:sz w:val="32"/>
          <w:szCs w:val="32"/>
          <w:lang w:val="en-US" w:eastAsia="zh-CN"/>
        </w:rPr>
        <w:t>担任</w:t>
      </w:r>
      <w:r>
        <w:rPr>
          <w:rFonts w:hint="eastAsia" w:ascii="仿宋" w:hAnsi="仿宋" w:eastAsia="仿宋" w:cs="仿宋"/>
          <w:sz w:val="32"/>
          <w:szCs w:val="32"/>
        </w:rPr>
        <w:t>副组长，党政办工作人员</w:t>
      </w:r>
      <w:r>
        <w:rPr>
          <w:rFonts w:hint="eastAsia" w:ascii="仿宋" w:hAnsi="仿宋" w:eastAsia="仿宋" w:cs="仿宋"/>
          <w:sz w:val="32"/>
          <w:szCs w:val="32"/>
          <w:lang w:val="en-US" w:eastAsia="zh-CN"/>
        </w:rPr>
        <w:t>是成员的</w:t>
      </w:r>
      <w:r>
        <w:rPr>
          <w:rFonts w:hint="eastAsia" w:ascii="仿宋" w:hAnsi="仿宋" w:eastAsia="仿宋" w:cs="仿宋"/>
          <w:sz w:val="32"/>
          <w:szCs w:val="32"/>
        </w:rPr>
        <w:t>东林镇政府信息公开工作领导小组</w:t>
      </w:r>
      <w:r>
        <w:rPr>
          <w:rFonts w:hint="eastAsia" w:ascii="仿宋" w:hAnsi="仿宋" w:eastAsia="仿宋" w:cs="仿宋"/>
          <w:sz w:val="32"/>
          <w:szCs w:val="32"/>
          <w:lang w:eastAsia="zh-CN"/>
        </w:rPr>
        <w:t>。</w:t>
      </w:r>
      <w:r>
        <w:rPr>
          <w:rFonts w:hint="eastAsia" w:ascii="仿宋" w:hAnsi="仿宋" w:eastAsia="仿宋" w:cs="仿宋"/>
          <w:sz w:val="32"/>
          <w:szCs w:val="32"/>
        </w:rPr>
        <w:t>实行“谁制定、谁公开、谁负责”,使信息公开各项工作有序进行。</w:t>
      </w:r>
    </w:p>
    <w:p>
      <w:pPr>
        <w:numPr>
          <w:ilvl w:val="0"/>
          <w:numId w:val="1"/>
        </w:numPr>
        <w:ind w:firstLine="640"/>
        <w:rPr>
          <w:rFonts w:hint="eastAsia" w:ascii="楷体" w:hAnsi="楷体" w:eastAsia="楷体" w:cs="楷体"/>
          <w:sz w:val="32"/>
          <w:szCs w:val="32"/>
        </w:rPr>
      </w:pPr>
      <w:r>
        <w:rPr>
          <w:rFonts w:hint="eastAsia" w:ascii="楷体" w:hAnsi="楷体" w:eastAsia="楷体" w:cs="楷体"/>
          <w:sz w:val="32"/>
          <w:szCs w:val="32"/>
        </w:rPr>
        <w:t xml:space="preserve">主动公开政府信息情况 </w:t>
      </w:r>
    </w:p>
    <w:p>
      <w:pPr>
        <w:numPr>
          <w:ilvl w:val="0"/>
          <w:numId w:val="0"/>
        </w:numPr>
        <w:ind w:firstLine="640" w:firstLineChars="200"/>
        <w:rPr>
          <w:rFonts w:hint="default" w:ascii="Tahoma" w:hAnsi="Tahoma" w:eastAsia="Tahoma" w:cs="Tahoma"/>
          <w:i w:val="0"/>
          <w:caps w:val="0"/>
          <w:color w:val="000000"/>
          <w:spacing w:val="0"/>
          <w:sz w:val="18"/>
          <w:szCs w:val="18"/>
        </w:rPr>
      </w:pPr>
      <w:r>
        <w:rPr>
          <w:rFonts w:hint="eastAsia" w:ascii="仿宋_GB2312" w:hAnsi="Tahoma" w:eastAsia="仿宋_GB2312" w:cs="仿宋_GB2312"/>
          <w:i w:val="0"/>
          <w:caps w:val="0"/>
          <w:color w:val="000000"/>
          <w:spacing w:val="0"/>
          <w:kern w:val="0"/>
          <w:sz w:val="32"/>
          <w:szCs w:val="32"/>
          <w:lang w:val="en-US" w:eastAsia="zh-CN" w:bidi="ar"/>
        </w:rPr>
        <w:t>2021年我镇在井研县门户网站和井研县人民政府信息公开报送系统主动公开政务信息，共发布政府各类信息95条,在各类公示栏公示民政、计生、残联、扶贫、环保等信息300条。</w:t>
      </w:r>
    </w:p>
    <w:p>
      <w:pPr>
        <w:keepNext w:val="0"/>
        <w:keepLines w:val="0"/>
        <w:widowControl/>
        <w:suppressLineNumbers w:val="0"/>
        <w:spacing w:before="75" w:beforeAutospacing="0" w:after="75" w:afterAutospacing="0" w:line="560" w:lineRule="atLeast"/>
        <w:ind w:left="0" w:right="0" w:firstLine="640"/>
        <w:jc w:val="left"/>
        <w:rPr>
          <w:rFonts w:hint="default" w:ascii="Tahoma" w:hAnsi="Tahoma" w:eastAsia="Tahoma" w:cs="Tahoma"/>
          <w:i w:val="0"/>
          <w:caps w:val="0"/>
          <w:color w:val="000000"/>
          <w:spacing w:val="0"/>
          <w:sz w:val="18"/>
          <w:szCs w:val="18"/>
        </w:rPr>
      </w:pPr>
      <w:r>
        <w:rPr>
          <w:rFonts w:hint="eastAsia" w:ascii="楷体_GB2312" w:hAnsi="Tahoma" w:eastAsia="楷体_GB2312" w:cs="楷体_GB2312"/>
          <w:i w:val="0"/>
          <w:caps w:val="0"/>
          <w:color w:val="000000"/>
          <w:spacing w:val="0"/>
          <w:kern w:val="0"/>
          <w:sz w:val="32"/>
          <w:szCs w:val="32"/>
          <w:lang w:val="en-US" w:eastAsia="zh-CN" w:bidi="ar"/>
        </w:rPr>
        <w:t>（二）依申请公开政府信息办理情况</w:t>
      </w:r>
    </w:p>
    <w:p>
      <w:pPr>
        <w:keepNext w:val="0"/>
        <w:keepLines w:val="0"/>
        <w:widowControl/>
        <w:suppressLineNumbers w:val="0"/>
        <w:spacing w:before="75" w:beforeAutospacing="0" w:after="75" w:afterAutospacing="0" w:line="560" w:lineRule="atLeast"/>
        <w:ind w:left="0" w:right="0" w:firstLine="640"/>
        <w:jc w:val="left"/>
        <w:rPr>
          <w:rFonts w:hint="default" w:ascii="Tahoma" w:hAnsi="Tahoma" w:eastAsia="Tahoma" w:cs="Tahoma"/>
          <w:i w:val="0"/>
          <w:caps w:val="0"/>
          <w:color w:val="000000"/>
          <w:spacing w:val="0"/>
          <w:sz w:val="18"/>
          <w:szCs w:val="18"/>
        </w:rPr>
      </w:pPr>
      <w:r>
        <w:rPr>
          <w:rFonts w:hint="eastAsia" w:ascii="仿宋_GB2312" w:hAnsi="Tahoma" w:eastAsia="仿宋_GB2312" w:cs="仿宋_GB2312"/>
          <w:i w:val="0"/>
          <w:caps w:val="0"/>
          <w:color w:val="000000"/>
          <w:spacing w:val="0"/>
          <w:kern w:val="0"/>
          <w:sz w:val="32"/>
          <w:szCs w:val="32"/>
          <w:lang w:val="en-US" w:eastAsia="zh-CN" w:bidi="ar"/>
        </w:rPr>
        <w:t>本年度我镇未收到政府信息公开申请。</w:t>
      </w:r>
    </w:p>
    <w:p>
      <w:pPr>
        <w:keepNext w:val="0"/>
        <w:keepLines w:val="0"/>
        <w:widowControl/>
        <w:suppressLineNumbers w:val="0"/>
        <w:spacing w:before="75" w:beforeAutospacing="0" w:after="75" w:afterAutospacing="0" w:line="560" w:lineRule="atLeast"/>
        <w:ind w:left="0" w:right="0" w:firstLine="640"/>
        <w:jc w:val="left"/>
        <w:rPr>
          <w:rFonts w:hint="default" w:ascii="Tahoma" w:hAnsi="Tahoma" w:eastAsia="Tahoma" w:cs="Tahoma"/>
          <w:i w:val="0"/>
          <w:caps w:val="0"/>
          <w:color w:val="000000"/>
          <w:spacing w:val="0"/>
          <w:sz w:val="18"/>
          <w:szCs w:val="18"/>
        </w:rPr>
      </w:pPr>
      <w:bookmarkStart w:id="0" w:name="_GoBack"/>
      <w:bookmarkEnd w:id="0"/>
      <w:r>
        <w:rPr>
          <w:rFonts w:hint="eastAsia" w:ascii="楷体_GB2312" w:hAnsi="Tahoma" w:eastAsia="楷体_GB2312" w:cs="楷体_GB2312"/>
          <w:i w:val="0"/>
          <w:caps w:val="0"/>
          <w:color w:val="000000"/>
          <w:spacing w:val="0"/>
          <w:kern w:val="0"/>
          <w:sz w:val="32"/>
          <w:szCs w:val="32"/>
          <w:lang w:val="en-US" w:eastAsia="zh-CN" w:bidi="ar"/>
        </w:rPr>
        <w:t>（三）被申请行政复议、提起行政诉讼的情况</w:t>
      </w:r>
    </w:p>
    <w:p>
      <w:pPr>
        <w:keepNext w:val="0"/>
        <w:keepLines w:val="0"/>
        <w:widowControl/>
        <w:suppressLineNumbers w:val="0"/>
        <w:spacing w:before="75" w:beforeAutospacing="0" w:after="75" w:afterAutospacing="0" w:line="560" w:lineRule="atLeast"/>
        <w:ind w:left="0" w:right="0" w:firstLine="640"/>
        <w:jc w:val="left"/>
        <w:rPr>
          <w:rFonts w:hint="eastAsia" w:ascii="仿宋" w:hAnsi="仿宋" w:eastAsia="仿宋" w:cs="仿宋"/>
          <w:sz w:val="32"/>
          <w:szCs w:val="32"/>
        </w:rPr>
      </w:pPr>
      <w:r>
        <w:rPr>
          <w:rFonts w:hint="eastAsia" w:ascii="仿宋_GB2312" w:hAnsi="Tahoma" w:eastAsia="仿宋_GB2312" w:cs="仿宋_GB2312"/>
          <w:i w:val="0"/>
          <w:caps w:val="0"/>
          <w:color w:val="000000"/>
          <w:spacing w:val="0"/>
          <w:kern w:val="0"/>
          <w:sz w:val="32"/>
          <w:szCs w:val="32"/>
          <w:lang w:val="en-US" w:eastAsia="zh-CN" w:bidi="ar"/>
        </w:rPr>
        <w:t>本年度没有发生因政府信息公开申请行政复议、提起行政诉讼的情况，没有发生因政府信息公开引发的行政复议和行政诉讼事件。</w:t>
      </w:r>
    </w:p>
    <w:tbl>
      <w:tblPr>
        <w:tblStyle w:val="7"/>
        <w:tblW w:w="8780" w:type="dxa"/>
        <w:jc w:val="center"/>
        <w:tblLayout w:type="fixed"/>
        <w:tblCellMar>
          <w:top w:w="0" w:type="dxa"/>
          <w:left w:w="0" w:type="dxa"/>
          <w:bottom w:w="0" w:type="dxa"/>
          <w:right w:w="0" w:type="dxa"/>
        </w:tblCellMar>
      </w:tblPr>
      <w:tblGrid>
        <w:gridCol w:w="2662"/>
        <w:gridCol w:w="2167"/>
        <w:gridCol w:w="1806"/>
        <w:gridCol w:w="2145"/>
      </w:tblGrid>
      <w:tr>
        <w:tblPrEx>
          <w:tblCellMar>
            <w:top w:w="0" w:type="dxa"/>
            <w:left w:w="0" w:type="dxa"/>
            <w:bottom w:w="0" w:type="dxa"/>
            <w:right w:w="0" w:type="dxa"/>
          </w:tblCellMar>
        </w:tblPrEx>
        <w:trPr>
          <w:trHeight w:val="684" w:hRule="atLeast"/>
          <w:jc w:val="center"/>
        </w:trPr>
        <w:tc>
          <w:tcPr>
            <w:tcW w:w="87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第二十条第（一）项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2167"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本年制发件数</w:t>
            </w:r>
          </w:p>
        </w:tc>
        <w:tc>
          <w:tcPr>
            <w:tcW w:w="1806"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本年废止件数</w:t>
            </w:r>
          </w:p>
        </w:tc>
        <w:tc>
          <w:tcPr>
            <w:tcW w:w="2145"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现行有效件数</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规章</w:t>
            </w:r>
          </w:p>
        </w:tc>
        <w:tc>
          <w:tcPr>
            <w:tcW w:w="2167"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c>
          <w:tcPr>
            <w:tcW w:w="1806"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rPr>
              <w:t>　</w:t>
            </w:r>
            <w:r>
              <w:rPr>
                <w:rFonts w:hint="eastAsia" w:ascii="Times New Roman" w:hAnsi="Times New Roman"/>
                <w:lang w:val="en-US" w:eastAsia="zh-CN"/>
              </w:rPr>
              <w:t>0</w:t>
            </w:r>
          </w:p>
        </w:tc>
        <w:tc>
          <w:tcPr>
            <w:tcW w:w="2145"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行政规范性文件</w:t>
            </w:r>
          </w:p>
        </w:tc>
        <w:tc>
          <w:tcPr>
            <w:tcW w:w="2167"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c>
          <w:tcPr>
            <w:tcW w:w="1806"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rPr>
              <w:t>　</w:t>
            </w:r>
            <w:r>
              <w:rPr>
                <w:rFonts w:hint="eastAsia" w:ascii="Times New Roman" w:hAnsi="Times New Roman"/>
                <w:lang w:val="en-US" w:eastAsia="zh-CN"/>
              </w:rPr>
              <w:t>0</w:t>
            </w:r>
          </w:p>
        </w:tc>
        <w:tc>
          <w:tcPr>
            <w:tcW w:w="2145"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7</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第二十条第（五）项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本年处理决定数量</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行政许可</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第二十条第（六）项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本年处理决定数量</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行政处罚</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行政强制</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第二十条第（八）项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nil"/>
              <w:left w:val="nil"/>
              <w:bottom w:val="single" w:color="auto" w:sz="8" w:space="0"/>
              <w:right w:val="single" w:color="000000"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本年收费金额（单位：万元）</w:t>
            </w:r>
          </w:p>
        </w:tc>
      </w:tr>
      <w:tr>
        <w:tblPrEx>
          <w:tblCellMar>
            <w:top w:w="0" w:type="dxa"/>
            <w:left w:w="0" w:type="dxa"/>
            <w:bottom w:w="0" w:type="dxa"/>
            <w:right w:w="0" w:type="dxa"/>
          </w:tblCellMar>
        </w:tblPrEx>
        <w:trPr>
          <w:trHeight w:val="725"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行政事业性收费</w:t>
            </w:r>
          </w:p>
        </w:tc>
        <w:tc>
          <w:tcPr>
            <w:tcW w:w="6118" w:type="dxa"/>
            <w:gridSpan w:val="3"/>
            <w:tcBorders>
              <w:top w:val="nil"/>
              <w:left w:val="nil"/>
              <w:bottom w:val="single" w:color="auto" w:sz="8" w:space="0"/>
              <w:right w:val="single" w:color="000000"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lang w:val="en-US" w:eastAsia="zh-CN"/>
              </w:rPr>
              <w:t>0</w:t>
            </w:r>
          </w:p>
        </w:tc>
      </w:tr>
    </w:tbl>
    <w:p>
      <w:pPr>
        <w:spacing w:line="580" w:lineRule="exact"/>
        <w:ind w:firstLine="640" w:firstLineChars="200"/>
        <w:rPr>
          <w:rFonts w:ascii="Times New Roman" w:hAnsi="Times New Roman" w:eastAsia="仿宋_GB2312" w:cs="仿宋_GB2312"/>
          <w:sz w:val="32"/>
          <w:szCs w:val="32"/>
        </w:rPr>
      </w:pPr>
    </w:p>
    <w:p>
      <w:pPr>
        <w:spacing w:line="580" w:lineRule="exact"/>
        <w:ind w:firstLine="640" w:firstLineChars="200"/>
        <w:rPr>
          <w:rFonts w:ascii="Times New Roman" w:hAnsi="Times New Roman" w:eastAsia="仿宋_GB2312" w:cs="仿宋_GB2312"/>
          <w:sz w:val="32"/>
          <w:szCs w:val="32"/>
        </w:rPr>
      </w:pPr>
    </w:p>
    <w:p>
      <w:pPr>
        <w:spacing w:line="580" w:lineRule="exact"/>
        <w:ind w:firstLine="640" w:firstLineChars="200"/>
        <w:rPr>
          <w:rFonts w:ascii="Times New Roman" w:hAnsi="Times New Roman"/>
        </w:rPr>
      </w:pPr>
      <w:r>
        <w:rPr>
          <w:rFonts w:hint="eastAsia" w:ascii="Times New Roman" w:hAnsi="Times New Roman" w:eastAsia="黑体" w:cs="仿宋_GB2312"/>
          <w:sz w:val="32"/>
          <w:szCs w:val="32"/>
        </w:rPr>
        <w:t>三、收到和处理政府信息公开申请情况</w:t>
      </w:r>
    </w:p>
    <w:tbl>
      <w:tblPr>
        <w:tblStyle w:val="7"/>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restart"/>
            <w:tcMar>
              <w:left w:w="108" w:type="dxa"/>
              <w:right w:w="108" w:type="dxa"/>
            </w:tcMar>
            <w:vAlign w:val="center"/>
          </w:tcPr>
          <w:p>
            <w:pPr>
              <w:spacing w:line="440" w:lineRule="exact"/>
              <w:rPr>
                <w:rFonts w:ascii="Times New Roman" w:hAnsi="Times New Roman"/>
              </w:rPr>
            </w:pPr>
            <w:r>
              <w:rPr>
                <w:rFonts w:hint="eastAsia" w:ascii="Times New Roman" w:hAnsi="Times New Roman"/>
              </w:rPr>
              <w:t>（本列数据的勾稽关系为：第一项加第二项之和，等于第三项加第四项之和）</w:t>
            </w:r>
          </w:p>
        </w:tc>
        <w:tc>
          <w:tcPr>
            <w:tcW w:w="4818" w:type="dxa"/>
            <w:gridSpan w:val="7"/>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continue"/>
            <w:tcMar>
              <w:left w:w="108" w:type="dxa"/>
              <w:right w:w="108" w:type="dxa"/>
            </w:tcMar>
            <w:vAlign w:val="center"/>
          </w:tcPr>
          <w:p>
            <w:pPr>
              <w:spacing w:line="440" w:lineRule="exact"/>
              <w:rPr>
                <w:rFonts w:ascii="Times New Roman" w:hAnsi="Times New Roman"/>
              </w:rPr>
            </w:pPr>
          </w:p>
        </w:tc>
        <w:tc>
          <w:tcPr>
            <w:tcW w:w="688" w:type="dxa"/>
            <w:vMerge w:val="restart"/>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自</w:t>
            </w:r>
          </w:p>
          <w:p>
            <w:pPr>
              <w:spacing w:line="440" w:lineRule="exact"/>
              <w:jc w:val="center"/>
              <w:rPr>
                <w:rFonts w:ascii="Times New Roman" w:hAnsi="Times New Roman"/>
              </w:rPr>
            </w:pPr>
            <w:r>
              <w:rPr>
                <w:rFonts w:hint="eastAsia" w:ascii="Times New Roman" w:hAnsi="Times New Roman"/>
              </w:rPr>
              <w:t>然</w:t>
            </w:r>
          </w:p>
          <w:p>
            <w:pPr>
              <w:spacing w:line="440" w:lineRule="exact"/>
              <w:jc w:val="center"/>
              <w:rPr>
                <w:rFonts w:ascii="Times New Roman" w:hAnsi="Times New Roman"/>
              </w:rPr>
            </w:pPr>
            <w:r>
              <w:rPr>
                <w:rFonts w:hint="eastAsia" w:ascii="Times New Roman" w:hAnsi="Times New Roman"/>
              </w:rPr>
              <w:t>人</w:t>
            </w:r>
          </w:p>
        </w:tc>
        <w:tc>
          <w:tcPr>
            <w:tcW w:w="3441" w:type="dxa"/>
            <w:gridSpan w:val="5"/>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法人或其他组织</w:t>
            </w:r>
          </w:p>
        </w:tc>
        <w:tc>
          <w:tcPr>
            <w:tcW w:w="689" w:type="dxa"/>
            <w:vMerge w:val="restart"/>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continue"/>
            <w:tcMar>
              <w:left w:w="108" w:type="dxa"/>
              <w:right w:w="108" w:type="dxa"/>
            </w:tcMar>
            <w:vAlign w:val="center"/>
          </w:tcPr>
          <w:p>
            <w:pPr>
              <w:spacing w:line="440" w:lineRule="exact"/>
              <w:rPr>
                <w:rFonts w:ascii="Times New Roman" w:hAnsi="Times New Roman"/>
              </w:rPr>
            </w:pPr>
          </w:p>
        </w:tc>
        <w:tc>
          <w:tcPr>
            <w:tcW w:w="688" w:type="dxa"/>
            <w:vMerge w:val="continue"/>
            <w:tcMar>
              <w:left w:w="57" w:type="dxa"/>
              <w:right w:w="57" w:type="dxa"/>
            </w:tcMar>
            <w:vAlign w:val="center"/>
          </w:tcPr>
          <w:p>
            <w:pPr>
              <w:spacing w:line="440" w:lineRule="exact"/>
              <w:rPr>
                <w:rFonts w:ascii="Times New Roman" w:hAnsi="Times New Roman"/>
              </w:rPr>
            </w:pP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商业</w:t>
            </w:r>
          </w:p>
          <w:p>
            <w:pPr>
              <w:spacing w:line="440" w:lineRule="exact"/>
              <w:jc w:val="center"/>
              <w:rPr>
                <w:rFonts w:ascii="Times New Roman" w:hAnsi="Times New Roman"/>
              </w:rPr>
            </w:pPr>
            <w:r>
              <w:rPr>
                <w:rFonts w:hint="eastAsia" w:ascii="Times New Roman" w:hAnsi="Times New Roman"/>
              </w:rPr>
              <w:t>企业</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科研</w:t>
            </w:r>
          </w:p>
          <w:p>
            <w:pPr>
              <w:spacing w:line="440" w:lineRule="exact"/>
              <w:jc w:val="center"/>
              <w:rPr>
                <w:rFonts w:ascii="Times New Roman" w:hAnsi="Times New Roman"/>
              </w:rPr>
            </w:pPr>
            <w:r>
              <w:rPr>
                <w:rFonts w:hint="eastAsia" w:ascii="Times New Roman" w:hAnsi="Times New Roman"/>
              </w:rPr>
              <w:t>机构</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社会公益组织</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法律服务机构</w:t>
            </w:r>
          </w:p>
        </w:tc>
        <w:tc>
          <w:tcPr>
            <w:tcW w:w="689"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其他</w:t>
            </w:r>
          </w:p>
        </w:tc>
        <w:tc>
          <w:tcPr>
            <w:tcW w:w="689" w:type="dxa"/>
            <w:vMerge w:val="continue"/>
            <w:tcMar>
              <w:left w:w="57" w:type="dxa"/>
              <w:right w:w="57" w:type="dxa"/>
            </w:tcMar>
            <w:vAlign w:val="center"/>
          </w:tcPr>
          <w:p>
            <w:pPr>
              <w:spacing w:line="4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一、本年新收政府信息公开申请数量</w:t>
            </w:r>
          </w:p>
        </w:tc>
        <w:tc>
          <w:tcPr>
            <w:tcW w:w="688" w:type="dxa"/>
            <w:tcMar>
              <w:left w:w="57" w:type="dxa"/>
              <w:right w:w="57" w:type="dxa"/>
            </w:tcMar>
            <w:vAlign w:val="center"/>
          </w:tcPr>
          <w:p>
            <w:pPr>
              <w:spacing w:line="440" w:lineRule="exact"/>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jc w:val="center"/>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二、上年结转政府信息公开申请数量</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三、本年度办理结果</w:t>
            </w: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（一）予以公开</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（二）部分公开（区分处理的，只计这一情形，不计其他情形）</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（三）不予公开</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属于国家秘密</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其他法律行政法规禁止公开</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危及“三安全一稳定”</w:t>
            </w:r>
          </w:p>
        </w:tc>
        <w:tc>
          <w:tcPr>
            <w:tcW w:w="688"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rPr>
                <w:rFonts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4.</w:t>
            </w:r>
            <w:r>
              <w:rPr>
                <w:rFonts w:hint="eastAsia" w:ascii="Times New Roman" w:hAnsi="Times New Roman"/>
              </w:rPr>
              <w:t>保护第三方合法权益</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5.</w:t>
            </w:r>
            <w:r>
              <w:rPr>
                <w:rFonts w:hint="eastAsia" w:ascii="Times New Roman" w:hAnsi="Times New Roman"/>
              </w:rPr>
              <w:t>属于三类内部事务信息</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6.</w:t>
            </w:r>
            <w:r>
              <w:rPr>
                <w:rFonts w:hint="eastAsia" w:ascii="Times New Roman" w:hAnsi="Times New Roman"/>
              </w:rPr>
              <w:t>属于四类过程性信息</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7.</w:t>
            </w:r>
            <w:r>
              <w:rPr>
                <w:rFonts w:hint="eastAsia" w:ascii="Times New Roman" w:hAnsi="Times New Roman"/>
              </w:rPr>
              <w:t>属于行政执法案卷</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8.</w:t>
            </w:r>
            <w:r>
              <w:rPr>
                <w:rFonts w:hint="eastAsia" w:ascii="Times New Roman" w:hAnsi="Times New Roman"/>
              </w:rPr>
              <w:t>属于行政查询事项</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（四）无法提供</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本机关不掌握相关政府信息</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没有现成信息需要另行制作</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补正后申请内容仍不明确</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（五）不予处理</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信访举报投诉类申请</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重复申请</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要求提供公开出版物</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4.</w:t>
            </w:r>
            <w:r>
              <w:rPr>
                <w:rFonts w:hint="eastAsia" w:ascii="Times New Roman" w:hAnsi="Times New Roman"/>
              </w:rPr>
              <w:t>无正当理由大量反复申请</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5.</w:t>
            </w:r>
            <w:r>
              <w:rPr>
                <w:rFonts w:hint="eastAsia" w:ascii="Times New Roman" w:hAnsi="Times New Roman"/>
              </w:rPr>
              <w:t>要求行政机关确认或重新出具已获取信息</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（六）其他处理</w:t>
            </w: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1.</w:t>
            </w:r>
            <w:r>
              <w:rPr>
                <w:rFonts w:hint="eastAsia" w:ascii="Times New Roman" w:hAnsi="Times New Roman"/>
              </w:rPr>
              <w:t>申请人无正当理由逾期不补正、行政机关不再处理其政府信息公开申请</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2.</w:t>
            </w:r>
            <w:r>
              <w:rPr>
                <w:rFonts w:hint="eastAsia" w:ascii="Times New Roman" w:hAnsi="Times New Roman"/>
              </w:rPr>
              <w:t>申请人逾期未按收费通知要求缴纳费用、行政机关不再处理其政府信息公开申请</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3.</w:t>
            </w:r>
            <w:r>
              <w:rPr>
                <w:rFonts w:hint="eastAsia" w:ascii="Times New Roman" w:hAnsi="Times New Roman"/>
              </w:rPr>
              <w:t>其他</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（七）总计</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四、结转下年度继续办理</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rPr>
                <w:rFonts w:ascii="Times New Roman" w:hAnsi="Times New Roman"/>
              </w:rPr>
            </w:pPr>
            <w:r>
              <w:rPr>
                <w:rFonts w:hint="eastAsia" w:ascii="Times New Roman" w:hAnsi="Times New Roman"/>
                <w:lang w:val="en-US" w:eastAsia="zh-CN"/>
              </w:rPr>
              <w:t>0</w:t>
            </w:r>
          </w:p>
        </w:tc>
        <w:tc>
          <w:tcPr>
            <w:tcW w:w="689" w:type="dxa"/>
            <w:tcMar>
              <w:left w:w="57" w:type="dxa"/>
              <w:right w:w="57" w:type="dxa"/>
            </w:tcMar>
          </w:tcPr>
          <w:p>
            <w:pPr>
              <w:spacing w:line="440" w:lineRule="exact"/>
              <w:rPr>
                <w:rFonts w:ascii="Times New Roman" w:hAnsi="Times New Roman"/>
              </w:rPr>
            </w:pPr>
            <w:r>
              <w:rPr>
                <w:rFonts w:hint="eastAsia" w:ascii="Times New Roman" w:hAnsi="Times New Roman"/>
                <w:lang w:val="en-US" w:eastAsia="zh-CN"/>
              </w:rPr>
              <w:t>0</w:t>
            </w:r>
          </w:p>
        </w:tc>
      </w:tr>
    </w:tbl>
    <w:p>
      <w:pPr>
        <w:spacing w:line="58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lang w:val="en-US" w:eastAsia="zh-CN"/>
              </w:rPr>
              <w:t>0</w:t>
            </w:r>
          </w:p>
        </w:tc>
      </w:tr>
    </w:tbl>
    <w:p>
      <w:pPr>
        <w:adjustRightInd w:val="0"/>
        <w:snapToGrid w:val="0"/>
        <w:spacing w:line="58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五、存在的主要问题及改进情况</w:t>
      </w:r>
    </w:p>
    <w:p>
      <w:pPr>
        <w:adjustRightInd w:val="0"/>
        <w:snapToGrid w:val="0"/>
        <w:spacing w:line="58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存在问题</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1、政务信息公开的主动性和创新性不足，工作不持续，力度不够。</w:t>
      </w:r>
    </w:p>
    <w:p>
      <w:pPr>
        <w:adjustRightInd w:val="0"/>
        <w:snapToGrid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2、政务</w:t>
      </w:r>
      <w:r>
        <w:rPr>
          <w:rFonts w:hint="eastAsia" w:ascii="仿宋" w:hAnsi="仿宋" w:eastAsia="仿宋" w:cs="仿宋"/>
          <w:sz w:val="32"/>
          <w:szCs w:val="32"/>
          <w:lang w:eastAsia="zh-CN"/>
        </w:rPr>
        <w:t>信息公开内容不够全面，</w:t>
      </w:r>
      <w:r>
        <w:rPr>
          <w:rFonts w:hint="eastAsia" w:ascii="仿宋" w:hAnsi="仿宋" w:eastAsia="仿宋" w:cs="仿宋"/>
          <w:sz w:val="32"/>
          <w:szCs w:val="32"/>
          <w:lang w:val="en-US" w:eastAsia="zh-CN"/>
        </w:rPr>
        <w:t>质量不高且</w:t>
      </w:r>
      <w:r>
        <w:rPr>
          <w:rFonts w:hint="eastAsia" w:ascii="仿宋" w:hAnsi="仿宋" w:eastAsia="仿宋" w:cs="仿宋"/>
          <w:sz w:val="32"/>
          <w:szCs w:val="32"/>
          <w:lang w:eastAsia="zh-CN"/>
        </w:rPr>
        <w:t>时间相对滞后。</w:t>
      </w:r>
    </w:p>
    <w:p>
      <w:pPr>
        <w:numPr>
          <w:ilvl w:val="0"/>
          <w:numId w:val="2"/>
        </w:numPr>
        <w:adjustRightInd w:val="0"/>
        <w:snapToGrid w:val="0"/>
        <w:spacing w:line="58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整改措施</w:t>
      </w:r>
    </w:p>
    <w:p>
      <w:pPr>
        <w:numPr>
          <w:ilvl w:val="0"/>
          <w:numId w:val="3"/>
        </w:num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进一步加强我镇政务公开工作的组织领导，增强政务公开意识，进一步健全和完善政务公开制度，规范公开内容，提高公开质量。</w:t>
      </w:r>
    </w:p>
    <w:p>
      <w:pPr>
        <w:numPr>
          <w:ilvl w:val="0"/>
          <w:numId w:val="3"/>
        </w:numPr>
        <w:adjustRightInd w:val="0"/>
        <w:snapToGrid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加强人员培训，提高工作效率。对政务公开工作人员进行专职培训，并掌握相关法律法规和办事流程，确保政务公开工作的时效性。</w:t>
      </w:r>
    </w:p>
    <w:p>
      <w:pPr>
        <w:adjustRightInd w:val="0"/>
        <w:snapToGrid w:val="0"/>
        <w:spacing w:line="58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六、其他需要报告的事项</w:t>
      </w:r>
    </w:p>
    <w:p>
      <w:pPr>
        <w:widowControl/>
        <w:spacing w:line="480" w:lineRule="exact"/>
        <w:ind w:firstLine="640" w:firstLineChars="200"/>
        <w:jc w:val="left"/>
        <w:rPr>
          <w:rFonts w:ascii="Times New Roman" w:hAnsi="Times New Roman" w:eastAsia="仿宋_GB2312" w:cs="黑体"/>
          <w:bCs/>
          <w:kern w:val="0"/>
          <w:sz w:val="28"/>
          <w:szCs w:val="28"/>
        </w:rPr>
      </w:pPr>
      <w:r>
        <w:rPr>
          <w:rFonts w:hint="eastAsia" w:ascii="Times New Roman" w:hAnsi="Times New Roman" w:eastAsia="仿宋_GB2312" w:cs="仿宋_GB2312"/>
          <w:sz w:val="32"/>
          <w:szCs w:val="32"/>
          <w:lang w:val="en-US" w:eastAsia="zh-CN"/>
        </w:rPr>
        <w:t>本报告中所列数据统计时间为2021年1月1日至2021年12月31日。如需了解更多政府信息，请登录查询井研县人民政府网站网址为http://www.jingyan.gov.cn/。</w:t>
      </w:r>
    </w:p>
    <w:p>
      <w:pPr>
        <w:widowControl/>
        <w:spacing w:line="400" w:lineRule="exact"/>
        <w:jc w:val="left"/>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ind w:firstLine="4480" w:firstLineChars="140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井研县东林镇人民政府</w:t>
      </w:r>
    </w:p>
    <w:p>
      <w:pPr>
        <w:ind w:firstLine="4800" w:firstLineChars="150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2022年1月7日</w:t>
      </w:r>
    </w:p>
    <w:sectPr>
      <w:footerReference r:id="rId3" w:type="default"/>
      <w:footerReference r:id="rId4" w:type="even"/>
      <w:pgSz w:w="11906" w:h="16838"/>
      <w:pgMar w:top="2098" w:right="1474" w:bottom="1701" w:left="1588" w:header="851" w:footer="1418"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sz w:val="28"/>
        <w:szCs w:val="28"/>
      </w:rPr>
    </w:pPr>
    <w:r>
      <w:rPr>
        <w:rStyle w:val="9"/>
        <w:rFonts w:hint="eastAsia" w:ascii="宋体" w:hAnsi="宋体"/>
        <w:sz w:val="28"/>
        <w:szCs w:val="28"/>
      </w:rPr>
      <w:t>―</w:t>
    </w: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9</w:t>
    </w:r>
    <w:r>
      <w:rPr>
        <w:rStyle w:val="9"/>
        <w:rFonts w:ascii="宋体" w:hAnsi="宋体"/>
        <w:sz w:val="28"/>
        <w:szCs w:val="28"/>
      </w:rPr>
      <w:fldChar w:fldCharType="end"/>
    </w:r>
    <w:r>
      <w:rPr>
        <w:rStyle w:val="9"/>
        <w:rFonts w:ascii="宋体" w:hAnsi="宋体"/>
        <w:sz w:val="28"/>
        <w:szCs w:val="28"/>
      </w:rPr>
      <w:t xml:space="preserve"> </w:t>
    </w:r>
    <w:r>
      <w:rPr>
        <w:rStyle w:val="9"/>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280" w:firstLineChars="100"/>
      <w:rPr>
        <w:rFonts w:ascii="宋体" w:hAnsi="宋体" w:cs="宋体"/>
        <w:sz w:val="28"/>
        <w:szCs w:val="28"/>
      </w:rPr>
    </w:pPr>
    <w:r>
      <w:rPr>
        <w:rFonts w:ascii="宋体" w:hAnsi="宋体" w:cs="宋体"/>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4811C"/>
    <w:multiLevelType w:val="singleLevel"/>
    <w:tmpl w:val="8C54811C"/>
    <w:lvl w:ilvl="0" w:tentative="0">
      <w:start w:val="1"/>
      <w:numFmt w:val="chineseCounting"/>
      <w:suff w:val="nothing"/>
      <w:lvlText w:val="（%1）"/>
      <w:lvlJc w:val="left"/>
      <w:rPr>
        <w:rFonts w:hint="eastAsia"/>
      </w:rPr>
    </w:lvl>
  </w:abstractNum>
  <w:abstractNum w:abstractNumId="1">
    <w:nsid w:val="AB57FCB5"/>
    <w:multiLevelType w:val="singleLevel"/>
    <w:tmpl w:val="AB57FCB5"/>
    <w:lvl w:ilvl="0" w:tentative="0">
      <w:start w:val="1"/>
      <w:numFmt w:val="decimal"/>
      <w:suff w:val="nothing"/>
      <w:lvlText w:val="%1、"/>
      <w:lvlJc w:val="left"/>
    </w:lvl>
  </w:abstractNum>
  <w:abstractNum w:abstractNumId="2">
    <w:nsid w:val="24D4A14A"/>
    <w:multiLevelType w:val="singleLevel"/>
    <w:tmpl w:val="24D4A14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A3"/>
    <w:rsid w:val="000C57CC"/>
    <w:rsid w:val="00125210"/>
    <w:rsid w:val="00154645"/>
    <w:rsid w:val="00176057"/>
    <w:rsid w:val="001F6329"/>
    <w:rsid w:val="0020050D"/>
    <w:rsid w:val="0033416E"/>
    <w:rsid w:val="003538EC"/>
    <w:rsid w:val="00470769"/>
    <w:rsid w:val="00492C2B"/>
    <w:rsid w:val="005D57BD"/>
    <w:rsid w:val="00612AE0"/>
    <w:rsid w:val="00857D16"/>
    <w:rsid w:val="008A6493"/>
    <w:rsid w:val="009D6A05"/>
    <w:rsid w:val="00A24209"/>
    <w:rsid w:val="00A32F62"/>
    <w:rsid w:val="00A47E71"/>
    <w:rsid w:val="00A70043"/>
    <w:rsid w:val="00C01B69"/>
    <w:rsid w:val="00D0145F"/>
    <w:rsid w:val="00DA66A3"/>
    <w:rsid w:val="00E47D76"/>
    <w:rsid w:val="04D3794E"/>
    <w:rsid w:val="0C231980"/>
    <w:rsid w:val="0EC450AC"/>
    <w:rsid w:val="13053D66"/>
    <w:rsid w:val="15272688"/>
    <w:rsid w:val="164E6A0E"/>
    <w:rsid w:val="17171975"/>
    <w:rsid w:val="17FC3493"/>
    <w:rsid w:val="18CF4ACF"/>
    <w:rsid w:val="1F79341D"/>
    <w:rsid w:val="1FF46218"/>
    <w:rsid w:val="2150302E"/>
    <w:rsid w:val="21680169"/>
    <w:rsid w:val="24957786"/>
    <w:rsid w:val="2865283A"/>
    <w:rsid w:val="29133A30"/>
    <w:rsid w:val="2D9F2A59"/>
    <w:rsid w:val="2ED056B9"/>
    <w:rsid w:val="2F52229B"/>
    <w:rsid w:val="31AA0D63"/>
    <w:rsid w:val="37635533"/>
    <w:rsid w:val="39427DD8"/>
    <w:rsid w:val="3A6D6387"/>
    <w:rsid w:val="3E0B0DEB"/>
    <w:rsid w:val="44D244BE"/>
    <w:rsid w:val="48154F30"/>
    <w:rsid w:val="49C63F12"/>
    <w:rsid w:val="49C66B46"/>
    <w:rsid w:val="4CD84341"/>
    <w:rsid w:val="4E0C4C2F"/>
    <w:rsid w:val="4FE91B6E"/>
    <w:rsid w:val="502920F0"/>
    <w:rsid w:val="52F823BD"/>
    <w:rsid w:val="52FA2655"/>
    <w:rsid w:val="5A9621CA"/>
    <w:rsid w:val="5BC3024B"/>
    <w:rsid w:val="5C44077B"/>
    <w:rsid w:val="5E4C0977"/>
    <w:rsid w:val="5E7A3110"/>
    <w:rsid w:val="5F4C20F3"/>
    <w:rsid w:val="5F6A5394"/>
    <w:rsid w:val="639E33D3"/>
    <w:rsid w:val="6EFE2D3E"/>
    <w:rsid w:val="70251133"/>
    <w:rsid w:val="712E7811"/>
    <w:rsid w:val="79045028"/>
    <w:rsid w:val="793D41AB"/>
    <w:rsid w:val="7FE36E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章标题"/>
    <w:basedOn w:val="1"/>
    <w:next w:val="3"/>
    <w:qFormat/>
    <w:uiPriority w:val="99"/>
    <w:pPr>
      <w:spacing w:before="158" w:after="153" w:line="323" w:lineRule="atLeast"/>
      <w:ind w:right="-120"/>
      <w:jc w:val="center"/>
      <w:textAlignment w:val="baseline"/>
    </w:pPr>
    <w:rPr>
      <w:color w:val="FF0000"/>
      <w:sz w:val="18"/>
    </w:rPr>
  </w:style>
  <w:style w:type="paragraph" w:customStyle="1" w:styleId="3">
    <w:name w:val="节标题"/>
    <w:basedOn w:val="1"/>
    <w:next w:val="1"/>
    <w:qFormat/>
    <w:uiPriority w:val="99"/>
    <w:pPr>
      <w:spacing w:line="289" w:lineRule="atLeast"/>
      <w:jc w:val="center"/>
      <w:textAlignment w:val="baseline"/>
    </w:pPr>
    <w:rPr>
      <w:color w:val="000000"/>
      <w:sz w:val="2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qFormat/>
    <w:uiPriority w:val="99"/>
    <w:rPr>
      <w:rFonts w:cs="Times New Roman"/>
    </w:rPr>
  </w:style>
  <w:style w:type="character" w:styleId="10">
    <w:name w:val="Emphasis"/>
    <w:basedOn w:val="8"/>
    <w:qFormat/>
    <w:uiPriority w:val="99"/>
    <w:rPr>
      <w:rFonts w:cs="Times New Roman"/>
      <w:i/>
    </w:rPr>
  </w:style>
  <w:style w:type="character" w:customStyle="1" w:styleId="11">
    <w:name w:val="Footer Char"/>
    <w:basedOn w:val="8"/>
    <w:link w:val="4"/>
    <w:semiHidden/>
    <w:locked/>
    <w:uiPriority w:val="99"/>
    <w:rPr>
      <w:rFonts w:ascii="Calibri" w:hAnsi="Calibri" w:cs="Times New Roman"/>
      <w:sz w:val="18"/>
      <w:szCs w:val="18"/>
    </w:rPr>
  </w:style>
  <w:style w:type="character" w:customStyle="1" w:styleId="12">
    <w:name w:val="Header Char"/>
    <w:basedOn w:val="8"/>
    <w:link w:val="5"/>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1714</Words>
  <Characters>1792</Characters>
  <Lines>0</Lines>
  <Paragraphs>0</Paragraphs>
  <TotalTime>8</TotalTime>
  <ScaleCrop>false</ScaleCrop>
  <LinksUpToDate>false</LinksUpToDate>
  <CharactersWithSpaces>1807</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2021-12-24T07:44:00Z</dcterms:created>
  <dc:creator>Administrator</dc:creator>
  <cp:lastModifiedBy>dell</cp:lastModifiedBy>
  <cp:lastPrinted>2021-12-24T07:43:00Z</cp:lastPrinted>
  <dcterms:modified xsi:type="dcterms:W3CDTF">2022-12-16T08:14:57Z</dcterms:modified>
  <dc:title>井研县人民政府办公室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03E5AE2A693B40409F3A44F951220FD5</vt:lpwstr>
  </property>
</Properties>
</file>