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569AF">
      <w:pPr>
        <w:spacing w:line="267" w:lineRule="auto"/>
        <w:rPr>
          <w:rFonts w:ascii="Arial"/>
          <w:sz w:val="21"/>
        </w:rPr>
      </w:pPr>
    </w:p>
    <w:p w14:paraId="745798D5">
      <w:pPr>
        <w:spacing w:line="267" w:lineRule="auto"/>
        <w:rPr>
          <w:rFonts w:ascii="Arial"/>
          <w:sz w:val="21"/>
        </w:rPr>
      </w:pPr>
    </w:p>
    <w:p w14:paraId="57689556">
      <w:pPr>
        <w:spacing w:line="267" w:lineRule="auto"/>
        <w:rPr>
          <w:rFonts w:ascii="Arial"/>
          <w:sz w:val="21"/>
        </w:rPr>
      </w:pPr>
    </w:p>
    <w:p w14:paraId="5C65D69C">
      <w:pPr>
        <w:spacing w:line="268" w:lineRule="auto"/>
        <w:rPr>
          <w:rFonts w:ascii="Arial"/>
          <w:sz w:val="21"/>
        </w:rPr>
      </w:pPr>
      <w:bookmarkStart w:id="0" w:name="_GoBack"/>
      <w:bookmarkEnd w:id="0"/>
    </w:p>
    <w:p w14:paraId="78AF21DF">
      <w:pPr>
        <w:spacing w:line="268" w:lineRule="auto"/>
        <w:rPr>
          <w:rFonts w:ascii="Arial"/>
          <w:sz w:val="21"/>
        </w:rPr>
      </w:pPr>
    </w:p>
    <w:p w14:paraId="47CC9C60">
      <w:pPr>
        <w:spacing w:before="101" w:line="222" w:lineRule="auto"/>
        <w:ind w:left="351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7"/>
          <w:sz w:val="31"/>
          <w:szCs w:val="31"/>
        </w:rPr>
        <w:t>第一部分</w:t>
      </w:r>
    </w:p>
    <w:p w14:paraId="1888D7DF">
      <w:pPr>
        <w:pStyle w:val="2"/>
        <w:spacing w:before="238" w:line="375" w:lineRule="auto"/>
        <w:ind w:left="2193" w:right="2212" w:firstLine="229"/>
      </w:pPr>
      <w:r>
        <w:rPr>
          <w:spacing w:val="7"/>
        </w:rPr>
        <w:t>井研县王村镇中心小学校</w:t>
      </w:r>
      <w:r>
        <w:rPr>
          <w:spacing w:val="1"/>
        </w:rPr>
        <w:t xml:space="preserve">  </w:t>
      </w:r>
      <w:r>
        <w:rPr>
          <w:spacing w:val="15"/>
        </w:rPr>
        <w:t>2025年单位预算编制的说明</w:t>
      </w:r>
    </w:p>
    <w:p w14:paraId="412DD4E9">
      <w:pPr>
        <w:spacing w:line="221" w:lineRule="auto"/>
        <w:ind w:left="352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第二部分</w:t>
      </w:r>
    </w:p>
    <w:p w14:paraId="4741AFF4">
      <w:pPr>
        <w:pStyle w:val="2"/>
        <w:spacing w:before="259" w:line="222" w:lineRule="auto"/>
        <w:ind w:left="1953"/>
      </w:pPr>
      <w:r>
        <w:rPr>
          <w:spacing w:val="7"/>
        </w:rPr>
        <w:t>井研县王村镇中心小学校预算表</w:t>
      </w:r>
    </w:p>
    <w:p w14:paraId="5F952D6B">
      <w:pPr>
        <w:pStyle w:val="2"/>
        <w:spacing w:before="256" w:line="221" w:lineRule="auto"/>
        <w:ind w:left="3"/>
      </w:pPr>
      <w:r>
        <w:rPr>
          <w:rFonts w:ascii="宋体" w:hAnsi="宋体" w:eastAsia="宋体" w:cs="宋体"/>
          <w:spacing w:val="27"/>
        </w:rPr>
        <w:t>1.</w:t>
      </w:r>
      <w:r>
        <w:rPr>
          <w:spacing w:val="27"/>
        </w:rPr>
        <w:t>单位收支总表(公开表1)</w:t>
      </w:r>
    </w:p>
    <w:p w14:paraId="2B39C3FB">
      <w:pPr>
        <w:pStyle w:val="2"/>
        <w:spacing w:before="239" w:line="221" w:lineRule="auto"/>
        <w:ind w:left="3"/>
      </w:pPr>
      <w:r>
        <w:rPr>
          <w:rFonts w:ascii="宋体" w:hAnsi="宋体" w:eastAsia="宋体" w:cs="宋体"/>
          <w:spacing w:val="26"/>
        </w:rPr>
        <w:t>2.</w:t>
      </w:r>
      <w:r>
        <w:rPr>
          <w:spacing w:val="26"/>
        </w:rPr>
        <w:t>单位收入总表(公开表1-1)</w:t>
      </w:r>
    </w:p>
    <w:p w14:paraId="525DC665">
      <w:pPr>
        <w:pStyle w:val="2"/>
        <w:spacing w:before="249" w:line="221" w:lineRule="auto"/>
        <w:ind w:left="3"/>
      </w:pPr>
      <w:r>
        <w:rPr>
          <w:rFonts w:ascii="宋体" w:hAnsi="宋体" w:eastAsia="宋体" w:cs="宋体"/>
          <w:spacing w:val="26"/>
        </w:rPr>
        <w:t>3.</w:t>
      </w:r>
      <w:r>
        <w:rPr>
          <w:spacing w:val="26"/>
        </w:rPr>
        <w:t>单位支出总表(公开表1-2)</w:t>
      </w:r>
    </w:p>
    <w:p w14:paraId="36E325BD">
      <w:pPr>
        <w:pStyle w:val="2"/>
        <w:spacing w:before="269" w:line="222" w:lineRule="auto"/>
        <w:ind w:left="3"/>
      </w:pPr>
      <w:r>
        <w:rPr>
          <w:rFonts w:ascii="宋体" w:hAnsi="宋体" w:eastAsia="宋体" w:cs="宋体"/>
          <w:spacing w:val="24"/>
        </w:rPr>
        <w:t>4.</w:t>
      </w:r>
      <w:r>
        <w:rPr>
          <w:spacing w:val="24"/>
        </w:rPr>
        <w:t>财拨款收支预算总表(公开表2)</w:t>
      </w:r>
    </w:p>
    <w:p w14:paraId="0BB2C440">
      <w:pPr>
        <w:pStyle w:val="2"/>
        <w:spacing w:before="247" w:line="221" w:lineRule="auto"/>
        <w:ind w:left="3"/>
      </w:pPr>
      <w:r>
        <w:rPr>
          <w:rFonts w:ascii="宋体" w:hAnsi="宋体" w:eastAsia="宋体" w:cs="宋体"/>
          <w:spacing w:val="24"/>
        </w:rPr>
        <w:t>5.</w:t>
      </w:r>
      <w:r>
        <w:rPr>
          <w:spacing w:val="24"/>
        </w:rPr>
        <w:t>财政拨款支出预算表(部门经济分类科目)(公开表2</w:t>
      </w:r>
      <w:r>
        <w:rPr>
          <w:spacing w:val="23"/>
        </w:rPr>
        <w:t>-1)</w:t>
      </w:r>
    </w:p>
    <w:p w14:paraId="733916B2">
      <w:pPr>
        <w:pStyle w:val="2"/>
        <w:spacing w:before="249" w:line="222" w:lineRule="auto"/>
        <w:ind w:left="3"/>
      </w:pPr>
      <w:r>
        <w:rPr>
          <w:rFonts w:ascii="宋体" w:hAnsi="宋体" w:eastAsia="宋体" w:cs="宋体"/>
          <w:spacing w:val="23"/>
        </w:rPr>
        <w:t>6.</w:t>
      </w:r>
      <w:r>
        <w:rPr>
          <w:spacing w:val="23"/>
        </w:rPr>
        <w:t>一般公共预算支出预算表(公开表3)</w:t>
      </w:r>
    </w:p>
    <w:p w14:paraId="0FA3B831">
      <w:pPr>
        <w:pStyle w:val="2"/>
        <w:spacing w:before="258" w:line="222" w:lineRule="auto"/>
        <w:ind w:left="3"/>
      </w:pPr>
      <w:r>
        <w:rPr>
          <w:rFonts w:ascii="宋体" w:hAnsi="宋体" w:eastAsia="宋体" w:cs="宋体"/>
          <w:spacing w:val="21"/>
        </w:rPr>
        <w:t>7.</w:t>
      </w:r>
      <w:r>
        <w:rPr>
          <w:spacing w:val="21"/>
        </w:rPr>
        <w:t>一般公共预算基本支出预算表(公开表3-1)</w:t>
      </w:r>
    </w:p>
    <w:p w14:paraId="37587B07">
      <w:pPr>
        <w:pStyle w:val="2"/>
        <w:spacing w:before="247" w:line="222" w:lineRule="auto"/>
        <w:ind w:left="3"/>
      </w:pPr>
      <w:r>
        <w:rPr>
          <w:rFonts w:ascii="宋体" w:hAnsi="宋体" w:eastAsia="宋体" w:cs="宋体"/>
          <w:spacing w:val="21"/>
        </w:rPr>
        <w:t>8.</w:t>
      </w:r>
      <w:r>
        <w:rPr>
          <w:spacing w:val="21"/>
        </w:rPr>
        <w:t>一般公共预算项目支出预算表(公开表3-2)</w:t>
      </w:r>
    </w:p>
    <w:p w14:paraId="4331BA62">
      <w:pPr>
        <w:pStyle w:val="2"/>
        <w:spacing w:before="277" w:line="222" w:lineRule="auto"/>
        <w:ind w:left="3"/>
      </w:pPr>
      <w:r>
        <w:rPr>
          <w:rFonts w:ascii="宋体" w:hAnsi="宋体" w:eastAsia="宋体" w:cs="宋体"/>
          <w:spacing w:val="20"/>
        </w:rPr>
        <w:t>9.</w:t>
      </w:r>
      <w:r>
        <w:rPr>
          <w:spacing w:val="20"/>
        </w:rPr>
        <w:t>一般公共预算“三公”经费支出预算表(</w:t>
      </w:r>
      <w:r>
        <w:rPr>
          <w:spacing w:val="19"/>
        </w:rPr>
        <w:t>公开表3-3)</w:t>
      </w:r>
    </w:p>
    <w:p w14:paraId="44512F2F">
      <w:pPr>
        <w:pStyle w:val="2"/>
        <w:spacing w:before="226" w:line="220" w:lineRule="auto"/>
        <w:ind w:left="3"/>
      </w:pPr>
      <w:r>
        <w:rPr>
          <w:rFonts w:ascii="宋体" w:hAnsi="宋体" w:eastAsia="宋体" w:cs="宋体"/>
          <w:spacing w:val="20"/>
        </w:rPr>
        <w:t>10.</w:t>
      </w:r>
      <w:r>
        <w:rPr>
          <w:spacing w:val="20"/>
        </w:rPr>
        <w:t>政府性基金预算支出预算表(公开表4)</w:t>
      </w:r>
    </w:p>
    <w:p w14:paraId="776C56BB">
      <w:pPr>
        <w:pStyle w:val="2"/>
        <w:spacing w:before="260" w:line="220" w:lineRule="auto"/>
        <w:ind w:left="3"/>
      </w:pPr>
      <w:r>
        <w:rPr>
          <w:rFonts w:ascii="宋体" w:hAnsi="宋体" w:eastAsia="宋体" w:cs="宋体"/>
          <w:spacing w:val="18"/>
        </w:rPr>
        <w:t>11.</w:t>
      </w:r>
      <w:r>
        <w:rPr>
          <w:spacing w:val="18"/>
        </w:rPr>
        <w:t>政府性基金预算“三公”经费支出预算表(公开表</w:t>
      </w:r>
      <w:r>
        <w:rPr>
          <w:spacing w:val="17"/>
        </w:rPr>
        <w:t>4-1)</w:t>
      </w:r>
    </w:p>
    <w:p w14:paraId="5EC3F5F2">
      <w:pPr>
        <w:pStyle w:val="2"/>
        <w:spacing w:before="243" w:line="222" w:lineRule="auto"/>
        <w:ind w:left="3"/>
      </w:pPr>
      <w:r>
        <w:rPr>
          <w:rFonts w:ascii="宋体" w:hAnsi="宋体" w:eastAsia="宋体" w:cs="宋体"/>
          <w:spacing w:val="20"/>
        </w:rPr>
        <w:t>12.</w:t>
      </w:r>
      <w:r>
        <w:rPr>
          <w:spacing w:val="20"/>
        </w:rPr>
        <w:t>国有资本经营预算支出预算表(公开表5)</w:t>
      </w:r>
    </w:p>
    <w:p w14:paraId="6BD3D92B">
      <w:pPr>
        <w:pStyle w:val="2"/>
        <w:spacing w:before="267" w:line="222" w:lineRule="auto"/>
        <w:ind w:left="3"/>
      </w:pPr>
      <w:r>
        <w:rPr>
          <w:rFonts w:ascii="宋体" w:hAnsi="宋体" w:eastAsia="宋体" w:cs="宋体"/>
          <w:spacing w:val="23"/>
        </w:rPr>
        <w:t>13.</w:t>
      </w:r>
      <w:r>
        <w:rPr>
          <w:spacing w:val="23"/>
        </w:rPr>
        <w:t>政府购买服务预算表(公开表6)</w:t>
      </w:r>
    </w:p>
    <w:p w14:paraId="13B46A6A">
      <w:pPr>
        <w:pStyle w:val="2"/>
        <w:spacing w:before="237" w:line="222" w:lineRule="auto"/>
        <w:ind w:left="3"/>
      </w:pPr>
      <w:r>
        <w:rPr>
          <w:rFonts w:ascii="宋体" w:hAnsi="宋体" w:eastAsia="宋体" w:cs="宋体"/>
          <w:spacing w:val="26"/>
        </w:rPr>
        <w:t>14.</w:t>
      </w:r>
      <w:r>
        <w:rPr>
          <w:spacing w:val="26"/>
        </w:rPr>
        <w:t>政府采购预算表(公开7)</w:t>
      </w:r>
    </w:p>
    <w:p w14:paraId="32C753FC">
      <w:pPr>
        <w:pStyle w:val="2"/>
        <w:spacing w:before="246" w:line="221" w:lineRule="auto"/>
        <w:ind w:left="3"/>
      </w:pPr>
      <w:r>
        <w:rPr>
          <w:rFonts w:ascii="宋体" w:hAnsi="宋体" w:eastAsia="宋体" w:cs="宋体"/>
          <w:spacing w:val="21"/>
        </w:rPr>
        <w:t>15.</w:t>
      </w:r>
      <w:r>
        <w:rPr>
          <w:spacing w:val="21"/>
        </w:rPr>
        <w:t>单位预算项目绩效目标表(公开表8)</w:t>
      </w:r>
    </w:p>
    <w:sectPr>
      <w:pgSz w:w="11910" w:h="16840"/>
      <w:pgMar w:top="139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99C5B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302</Words>
  <Characters>356</Characters>
  <TotalTime>0</TotalTime>
  <ScaleCrop>false</ScaleCrop>
  <LinksUpToDate>false</LinksUpToDate>
  <CharactersWithSpaces>358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2026-02-24T16:17:00Z</dcterms:created>
  <dc:creator>86181</dc:creator>
  <cp:lastModifiedBy>朝夕</cp:lastModifiedBy>
  <dcterms:modified xsi:type="dcterms:W3CDTF">2026-02-24T08:17:38Z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2026-02-24T16:17:29Z</vt:filetime>
  </property>
  <property fmtid="{D5CDD505-2E9C-101B-9397-08002B2CF9AE}" pid="4" name="UsrData">
    <vt:lpwstr>699d5e941ac7a6001f75c199wl</vt:lpwstr>
  </property>
  <property fmtid="{D5CDD505-2E9C-101B-9397-08002B2CF9AE}" pid="5" name="KSOTemplateDocerSaveRecord">
    <vt:lpwstr>eyJoZGlkIjoiNmQzOWYwOWE5MDgyMDg1MWJiYzZkNzU1MzgyNGI3NDciLCJ1c2VySWQiOiI1OTYzNzM1MDIifQ==</vt:lpwstr>
  </property>
  <property fmtid="{D5CDD505-2E9C-101B-9397-08002B2CF9AE}" pid="6" name="KSOProductBuildVer">
    <vt:lpwstr>2052-12.1.0.24657</vt:lpwstr>
  </property>
  <property fmtid="{D5CDD505-2E9C-101B-9397-08002B2CF9AE}" pid="7" name="ICV">
    <vt:lpwstr>D8DC8C8F88DA4C28BE9FEE3952B3E149_12</vt:lpwstr>
  </property>
</Properties>
</file>