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16B279">
      <w:pPr>
        <w:spacing w:line="355" w:lineRule="auto"/>
        <w:rPr>
          <w:rFonts w:ascii="Arial"/>
          <w:sz w:val="21"/>
        </w:rPr>
      </w:pPr>
    </w:p>
    <w:p w14:paraId="5475309C">
      <w:pPr>
        <w:spacing w:line="355" w:lineRule="auto"/>
        <w:rPr>
          <w:rFonts w:ascii="Arial"/>
          <w:sz w:val="21"/>
        </w:rPr>
      </w:pPr>
    </w:p>
    <w:p w14:paraId="69618BDF">
      <w:pPr>
        <w:spacing w:before="100" w:line="227" w:lineRule="auto"/>
        <w:ind w:left="15"/>
        <w:rPr>
          <w:rFonts w:ascii="黑体" w:hAnsi="黑体" w:eastAsia="黑体" w:cs="黑体"/>
          <w:sz w:val="31"/>
          <w:szCs w:val="31"/>
        </w:rPr>
      </w:pPr>
      <w:r>
        <w:rPr>
          <w:rFonts w:ascii="黑体" w:hAnsi="黑体" w:eastAsia="黑体" w:cs="黑体"/>
          <w:spacing w:val="-4"/>
          <w:sz w:val="31"/>
          <w:szCs w:val="31"/>
        </w:rPr>
        <w:t>附件</w:t>
      </w:r>
      <w:r>
        <w:rPr>
          <w:rFonts w:ascii="黑体" w:hAnsi="黑体" w:eastAsia="黑体" w:cs="黑体"/>
          <w:spacing w:val="-72"/>
          <w:sz w:val="31"/>
          <w:szCs w:val="31"/>
        </w:rPr>
        <w:t xml:space="preserve"> </w:t>
      </w:r>
    </w:p>
    <w:p w14:paraId="6C6F1388">
      <w:pPr>
        <w:spacing w:before="109" w:line="168" w:lineRule="auto"/>
        <w:ind w:left="1765" w:right="1887" w:firstLine="55"/>
        <w:jc w:val="center"/>
        <w:outlineLvl w:val="0"/>
        <w:rPr>
          <w:rFonts w:ascii="微软雅黑" w:hAnsi="微软雅黑" w:eastAsia="微软雅黑" w:cs="微软雅黑"/>
          <w:sz w:val="43"/>
          <w:szCs w:val="43"/>
        </w:rPr>
      </w:pPr>
      <w:r>
        <w:rPr>
          <w:rFonts w:ascii="微软雅黑" w:hAnsi="微软雅黑" w:eastAsia="微软雅黑" w:cs="微软雅黑"/>
          <w:sz w:val="44"/>
          <w:szCs w:val="44"/>
        </w:rPr>
        <w:t>四川省井研县研城中学</w:t>
      </w:r>
      <w:r>
        <w:rPr>
          <w:rFonts w:ascii="微软雅黑" w:hAnsi="微软雅黑" w:eastAsia="微软雅黑" w:cs="微软雅黑"/>
          <w:spacing w:val="4"/>
          <w:sz w:val="43"/>
          <w:szCs w:val="43"/>
        </w:rPr>
        <w:t>202</w:t>
      </w:r>
      <w:r>
        <w:rPr>
          <w:rFonts w:hint="eastAsia" w:ascii="微软雅黑" w:hAnsi="微软雅黑" w:eastAsia="微软雅黑" w:cs="微软雅黑"/>
          <w:spacing w:val="4"/>
          <w:sz w:val="43"/>
          <w:szCs w:val="43"/>
          <w:lang w:val="en-US" w:eastAsia="zh-CN"/>
        </w:rPr>
        <w:t>6</w:t>
      </w:r>
      <w:r>
        <w:rPr>
          <w:rFonts w:ascii="微软雅黑" w:hAnsi="微软雅黑" w:eastAsia="微软雅黑" w:cs="微软雅黑"/>
          <w:spacing w:val="4"/>
          <w:sz w:val="43"/>
          <w:szCs w:val="43"/>
        </w:rPr>
        <w:t>年部门预算编制说明</w:t>
      </w:r>
    </w:p>
    <w:p w14:paraId="4AE718C1">
      <w:pPr>
        <w:spacing w:line="253" w:lineRule="auto"/>
        <w:rPr>
          <w:rFonts w:ascii="Arial"/>
          <w:sz w:val="21"/>
        </w:rPr>
      </w:pPr>
    </w:p>
    <w:p w14:paraId="51D5F52F">
      <w:pPr>
        <w:spacing w:line="253" w:lineRule="auto"/>
        <w:rPr>
          <w:rFonts w:ascii="Arial"/>
          <w:sz w:val="21"/>
        </w:rPr>
      </w:pPr>
    </w:p>
    <w:p w14:paraId="298411FE">
      <w:pPr>
        <w:spacing w:line="253" w:lineRule="auto"/>
        <w:rPr>
          <w:rFonts w:ascii="Arial"/>
          <w:sz w:val="21"/>
        </w:rPr>
      </w:pPr>
    </w:p>
    <w:p w14:paraId="297A809A">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7" w:right="88" w:firstLine="632"/>
        <w:textAlignment w:val="baseline"/>
      </w:pPr>
      <w:r>
        <w:rPr>
          <w:spacing w:val="6"/>
        </w:rPr>
        <w:t>按照预算管理有关规定，</w:t>
      </w:r>
      <w:r>
        <w:rPr>
          <w:spacing w:val="-72"/>
        </w:rPr>
        <w:t xml:space="preserve"> </w:t>
      </w:r>
      <w:r>
        <w:rPr>
          <w:spacing w:val="6"/>
        </w:rPr>
        <w:t>目前部门预算的编制实行综合预算</w:t>
      </w:r>
      <w:r>
        <w:rPr>
          <w:spacing w:val="8"/>
        </w:rPr>
        <w:t>制度，即全部收入和支出都反映在预算中。</w:t>
      </w:r>
    </w:p>
    <w:p w14:paraId="6BBA8D83">
      <w:pPr>
        <w:keepNext w:val="0"/>
        <w:keepLines w:val="0"/>
        <w:pageBreakBefore w:val="0"/>
        <w:widowControl/>
        <w:kinsoku w:val="0"/>
        <w:wordWrap/>
        <w:overflowPunct/>
        <w:topLinePunct w:val="0"/>
        <w:autoSpaceDE w:val="0"/>
        <w:autoSpaceDN w:val="0"/>
        <w:bidi w:val="0"/>
        <w:adjustRightInd w:val="0"/>
        <w:snapToGrid w:val="0"/>
        <w:spacing w:line="360" w:lineRule="auto"/>
        <w:ind w:left="638"/>
        <w:textAlignment w:val="baseline"/>
        <w:rPr>
          <w:rFonts w:ascii="黑体" w:hAnsi="黑体" w:eastAsia="黑体" w:cs="黑体"/>
          <w:sz w:val="31"/>
          <w:szCs w:val="31"/>
        </w:rPr>
      </w:pPr>
      <w:r>
        <w:rPr>
          <w:rFonts w:ascii="黑体" w:hAnsi="黑体" w:eastAsia="黑体" w:cs="黑体"/>
          <w:spacing w:val="8"/>
          <w:sz w:val="31"/>
          <w:szCs w:val="31"/>
        </w:rPr>
        <w:t>一、基本职能及主要工作</w:t>
      </w:r>
    </w:p>
    <w:p w14:paraId="5689D8C4">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663"/>
        <w:textAlignment w:val="baseline"/>
        <w:outlineLvl w:val="1"/>
      </w:pPr>
      <w:r>
        <w:rPr>
          <w:b/>
          <w:bCs/>
          <w:spacing w:val="2"/>
        </w:rPr>
        <w:t>（一）主要职能</w:t>
      </w:r>
    </w:p>
    <w:p w14:paraId="5E198D28">
      <w:pPr>
        <w:pStyle w:val="2"/>
        <w:keepNext w:val="0"/>
        <w:keepLines w:val="0"/>
        <w:pageBreakBefore w:val="0"/>
        <w:widowControl/>
        <w:kinsoku w:val="0"/>
        <w:wordWrap/>
        <w:overflowPunct/>
        <w:topLinePunct w:val="0"/>
        <w:autoSpaceDE w:val="0"/>
        <w:autoSpaceDN w:val="0"/>
        <w:bidi w:val="0"/>
        <w:adjustRightInd w:val="0"/>
        <w:snapToGrid w:val="0"/>
        <w:spacing w:line="360" w:lineRule="auto"/>
        <w:ind w:firstLine="675"/>
        <w:jc w:val="both"/>
        <w:textAlignment w:val="baseline"/>
        <w:rPr>
          <w:spacing w:val="8"/>
        </w:rPr>
      </w:pPr>
      <w:r>
        <w:rPr>
          <w:rFonts w:hint="eastAsia"/>
          <w:spacing w:val="8"/>
        </w:rPr>
        <w:t>实施初中义务教育，促进基础教育发展，初中学历教育</w:t>
      </w:r>
      <w:r>
        <w:rPr>
          <w:rFonts w:hint="eastAsia"/>
          <w:spacing w:val="8"/>
          <w:lang w:eastAsia="zh-CN"/>
        </w:rPr>
        <w:t>。</w:t>
      </w:r>
    </w:p>
    <w:p w14:paraId="593E062B">
      <w:pPr>
        <w:pStyle w:val="2"/>
        <w:keepNext w:val="0"/>
        <w:keepLines w:val="0"/>
        <w:pageBreakBefore w:val="0"/>
        <w:widowControl/>
        <w:kinsoku w:val="0"/>
        <w:wordWrap/>
        <w:overflowPunct/>
        <w:topLinePunct w:val="0"/>
        <w:autoSpaceDE w:val="0"/>
        <w:autoSpaceDN w:val="0"/>
        <w:bidi w:val="0"/>
        <w:adjustRightInd w:val="0"/>
        <w:snapToGrid w:val="0"/>
        <w:spacing w:line="360" w:lineRule="auto"/>
        <w:ind w:firstLine="675"/>
        <w:jc w:val="both"/>
        <w:textAlignment w:val="baseline"/>
      </w:pPr>
      <w:r>
        <w:rPr>
          <w:spacing w:val="8"/>
        </w:rPr>
        <w:t>四川省井研县研城中学坚持全面贯彻国家教</w:t>
      </w:r>
      <w:r>
        <w:rPr>
          <w:spacing w:val="7"/>
        </w:rPr>
        <w:t>育方针，承担义</w:t>
      </w:r>
      <w:r>
        <w:rPr>
          <w:spacing w:val="9"/>
        </w:rPr>
        <w:t>务教育初中阶段的教育教学，全面实施素质教育，严格执行教育法规，规范办学行为。坚持把教育教学质量放在首位，办人民满</w:t>
      </w:r>
      <w:r>
        <w:rPr>
          <w:spacing w:val="7"/>
        </w:rPr>
        <w:t>意的教育。认真坚持党建引领，</w:t>
      </w:r>
      <w:r>
        <w:rPr>
          <w:spacing w:val="-90"/>
        </w:rPr>
        <w:t xml:space="preserve"> </w:t>
      </w:r>
      <w:r>
        <w:rPr>
          <w:spacing w:val="7"/>
        </w:rPr>
        <w:t>强化师资队伍建设，全</w:t>
      </w:r>
      <w:r>
        <w:rPr>
          <w:spacing w:val="6"/>
        </w:rPr>
        <w:t>面开展学</w:t>
      </w:r>
      <w:r>
        <w:rPr>
          <w:spacing w:val="9"/>
        </w:rPr>
        <w:t>校各项工作，严格按规定开齐课程，促进学生全面发展，上足课</w:t>
      </w:r>
      <w:r>
        <w:rPr>
          <w:spacing w:val="1"/>
        </w:rPr>
        <w:t>时，本学年教育教学质量综合评估名列全县一等奖、全市一等奖。</w:t>
      </w:r>
      <w:r>
        <w:rPr>
          <w:spacing w:val="6"/>
        </w:rPr>
        <w:t>坚持管好用好预算内资金，</w:t>
      </w:r>
      <w:r>
        <w:rPr>
          <w:spacing w:val="-58"/>
        </w:rPr>
        <w:t xml:space="preserve"> </w:t>
      </w:r>
      <w:r>
        <w:rPr>
          <w:spacing w:val="6"/>
        </w:rPr>
        <w:t>改善和优化学校办</w:t>
      </w:r>
      <w:r>
        <w:rPr>
          <w:spacing w:val="5"/>
        </w:rPr>
        <w:t>学条件；坚持按上</w:t>
      </w:r>
      <w:r>
        <w:rPr>
          <w:spacing w:val="8"/>
        </w:rPr>
        <w:t>级要求认真做好控辍保学工作</w:t>
      </w:r>
      <w:r>
        <w:rPr>
          <w:rFonts w:hint="eastAsia"/>
          <w:spacing w:val="8"/>
          <w:lang w:eastAsia="zh-CN"/>
        </w:rPr>
        <w:t>，</w:t>
      </w:r>
      <w:r>
        <w:rPr>
          <w:spacing w:val="8"/>
        </w:rPr>
        <w:t>入学率达100%，完学率达</w:t>
      </w:r>
      <w:r>
        <w:rPr>
          <w:spacing w:val="4"/>
        </w:rPr>
        <w:t>100%，辍学率</w:t>
      </w:r>
      <w:r>
        <w:rPr>
          <w:rFonts w:hint="eastAsia"/>
          <w:spacing w:val="4"/>
          <w:lang w:val="en-US" w:eastAsia="zh-CN"/>
        </w:rPr>
        <w:t>控制</w:t>
      </w:r>
      <w:r>
        <w:rPr>
          <w:spacing w:val="4"/>
        </w:rPr>
        <w:t>在0%。</w:t>
      </w:r>
    </w:p>
    <w:p w14:paraId="2868FADF">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632"/>
        <w:textAlignment w:val="baseline"/>
        <w:outlineLvl w:val="1"/>
      </w:pPr>
      <w:r>
        <w:rPr>
          <w:b/>
          <w:bCs/>
          <w:spacing w:val="3"/>
        </w:rPr>
        <w:t>（二）主要工作</w:t>
      </w:r>
    </w:p>
    <w:p w14:paraId="4EC2BAB7">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658"/>
        <w:textAlignment w:val="baseline"/>
      </w:pPr>
      <w:r>
        <w:rPr>
          <w:spacing w:val="6"/>
        </w:rPr>
        <w:t>1.坚持党建引领，强化队伍建设</w:t>
      </w:r>
    </w:p>
    <w:p w14:paraId="1EA49B38">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656" w:firstLineChars="200"/>
        <w:textAlignment w:val="baseline"/>
        <w:sectPr>
          <w:footerReference r:id="rId5" w:type="default"/>
          <w:pgSz w:w="11907" w:h="16839"/>
          <w:pgMar w:top="1431" w:right="1388" w:bottom="1456" w:left="1489" w:header="0" w:footer="1089" w:gutter="0"/>
          <w:cols w:space="720" w:num="1"/>
        </w:sectPr>
      </w:pPr>
      <w:r>
        <w:rPr>
          <w:spacing w:val="9"/>
        </w:rPr>
        <w:t>坚持把党的政治建设摆在首位，以习近平新</w:t>
      </w:r>
      <w:r>
        <w:rPr>
          <w:spacing w:val="8"/>
        </w:rPr>
        <w:t>时代中国特色社</w:t>
      </w:r>
      <w:r>
        <w:rPr>
          <w:spacing w:val="21"/>
        </w:rPr>
        <w:t>会主义思想武装头脑，进一步增强全校党员干部</w:t>
      </w:r>
      <w:r>
        <w:rPr>
          <w:spacing w:val="20"/>
        </w:rPr>
        <w:t>树立“四个意</w:t>
      </w:r>
    </w:p>
    <w:p w14:paraId="218F7A7B">
      <w:pPr>
        <w:pStyle w:val="2"/>
        <w:keepNext w:val="0"/>
        <w:keepLines w:val="0"/>
        <w:pageBreakBefore w:val="0"/>
        <w:widowControl/>
        <w:kinsoku w:val="0"/>
        <w:wordWrap/>
        <w:overflowPunct/>
        <w:topLinePunct w:val="0"/>
        <w:autoSpaceDE w:val="0"/>
        <w:autoSpaceDN w:val="0"/>
        <w:bidi w:val="0"/>
        <w:adjustRightInd w:val="0"/>
        <w:snapToGrid w:val="0"/>
        <w:spacing w:line="360" w:lineRule="auto"/>
        <w:ind w:right="0"/>
        <w:jc w:val="both"/>
        <w:textAlignment w:val="baseline"/>
      </w:pPr>
      <w:r>
        <w:rPr>
          <w:spacing w:val="-2"/>
        </w:rPr>
        <w:t>识”，坚定“四个自信”，切实做到了“两个</w:t>
      </w:r>
      <w:r>
        <w:rPr>
          <w:spacing w:val="-3"/>
        </w:rPr>
        <w:t>维护”。严格落实中</w:t>
      </w:r>
      <w:r>
        <w:rPr>
          <w:spacing w:val="9"/>
        </w:rPr>
        <w:t>心组理论学习制度。坚持“立德树人”要求，组织德育工作专题研讨，进一步明确德育工作目标、内容、途径和方法。认真贯彻落实教育工委“做深改革、做细管理、做优发展、做强队伍”总体要求，健全党内各项规章制度，进一步完善党建工作责任制实</w:t>
      </w:r>
      <w:r>
        <w:rPr>
          <w:spacing w:val="7"/>
        </w:rPr>
        <w:t>施办法，签订党建工作责任书，</w:t>
      </w:r>
      <w:r>
        <w:rPr>
          <w:spacing w:val="-80"/>
        </w:rPr>
        <w:t xml:space="preserve"> </w:t>
      </w:r>
      <w:r>
        <w:rPr>
          <w:spacing w:val="7"/>
        </w:rPr>
        <w:t>明确班子成员党建工作职</w:t>
      </w:r>
      <w:r>
        <w:rPr>
          <w:spacing w:val="6"/>
        </w:rPr>
        <w:t>责，推进学校党建工作规范化、制度化、科学化建设。</w:t>
      </w:r>
    </w:p>
    <w:p w14:paraId="4056258C">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661"/>
        <w:textAlignment w:val="baseline"/>
      </w:pPr>
      <w:r>
        <w:rPr>
          <w:spacing w:val="7"/>
        </w:rPr>
        <w:t>2.坚持德育为先，推动五育并举</w:t>
      </w:r>
    </w:p>
    <w:p w14:paraId="07FA057A">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7" w:firstLine="641"/>
        <w:textAlignment w:val="baseline"/>
      </w:pPr>
      <w:r>
        <w:rPr>
          <w:spacing w:val="9"/>
        </w:rPr>
        <w:t>加强德育队伍建设，全力打造专业化的班主任、</w:t>
      </w:r>
      <w:r>
        <w:rPr>
          <w:spacing w:val="8"/>
        </w:rPr>
        <w:t>教师队伍。</w:t>
      </w:r>
      <w:r>
        <w:rPr>
          <w:spacing w:val="9"/>
        </w:rPr>
        <w:t>坚持以评选优秀班主任、优秀教师等活动为抓手，努力造就一支</w:t>
      </w:r>
      <w:r>
        <w:rPr>
          <w:spacing w:val="2"/>
        </w:rPr>
        <w:t>胸怀育人理想、掌握现代德育理论、富有德育实</w:t>
      </w:r>
      <w:r>
        <w:rPr>
          <w:spacing w:val="1"/>
        </w:rPr>
        <w:t>践经验的班主任、</w:t>
      </w:r>
      <w:r>
        <w:rPr>
          <w:spacing w:val="7"/>
        </w:rPr>
        <w:t>教师队伍。抓好学生常规教育和养成教育，</w:t>
      </w:r>
      <w:r>
        <w:rPr>
          <w:spacing w:val="-88"/>
        </w:rPr>
        <w:t xml:space="preserve"> </w:t>
      </w:r>
      <w:r>
        <w:rPr>
          <w:spacing w:val="7"/>
        </w:rPr>
        <w:t>特别是抓好学生</w:t>
      </w:r>
      <w:r>
        <w:rPr>
          <w:spacing w:val="6"/>
        </w:rPr>
        <w:t>的集</w:t>
      </w:r>
      <w:r>
        <w:rPr>
          <w:spacing w:val="9"/>
        </w:rPr>
        <w:t>队、两操和课间行为规范等。政教处全方位地抓好学生的常规管理，促进学生良好品质的形成。开展以“珍爱生命”为主题的教育活动，加强学生饮食、交通、防火、防溺水、反诈、用电等安全教育，大力推进心理健康教育、艾滋病防控教育、禁毒教育，防性侵教育、防校园欺凌等教育。积极将德育教育与生活教育、</w:t>
      </w:r>
      <w:r>
        <w:rPr>
          <w:spacing w:val="2"/>
        </w:rPr>
        <w:t>劳动教育、实践教育等结合起来，努力引导学生</w:t>
      </w:r>
      <w:r>
        <w:rPr>
          <w:spacing w:val="1"/>
        </w:rPr>
        <w:t>做一个心灵纯洁、</w:t>
      </w:r>
      <w:r>
        <w:rPr>
          <w:spacing w:val="9"/>
        </w:rPr>
        <w:t>人格健全、品德高尚的人，做一个有文化修养、有人文关怀、有责任担当的人。加强教师业务培训，提高专业水平。学校组织各</w:t>
      </w:r>
      <w:r>
        <w:rPr>
          <w:spacing w:val="13"/>
        </w:rPr>
        <w:t>学科教师外出学习、培训（研修培训、普通话培训等</w:t>
      </w:r>
      <w:r>
        <w:rPr>
          <w:spacing w:val="-42"/>
        </w:rPr>
        <w:t>），</w:t>
      </w:r>
      <w:r>
        <w:rPr>
          <w:spacing w:val="13"/>
        </w:rPr>
        <w:t>开展丰</w:t>
      </w:r>
    </w:p>
    <w:p w14:paraId="11498B84">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sectPr>
          <w:footerReference r:id="rId6" w:type="default"/>
          <w:pgSz w:w="11907" w:h="16839"/>
          <w:pgMar w:top="1431" w:right="1379" w:bottom="1456" w:left="1477" w:header="0" w:footer="1089" w:gutter="0"/>
          <w:cols w:space="720" w:num="1"/>
        </w:sectPr>
      </w:pPr>
    </w:p>
    <w:p w14:paraId="1B82A852">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ascii="Arial"/>
          <w:sz w:val="21"/>
        </w:rPr>
      </w:pPr>
    </w:p>
    <w:p w14:paraId="1B781555">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ascii="Arial"/>
          <w:sz w:val="21"/>
        </w:rPr>
      </w:pPr>
    </w:p>
    <w:p w14:paraId="3B7032D5">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11" w:right="89" w:firstLine="31"/>
        <w:textAlignment w:val="baseline"/>
      </w:pPr>
      <w:r>
        <w:rPr>
          <w:spacing w:val="8"/>
        </w:rPr>
        <w:t>富多彩的教研活动，使教师开阔了视野，拓宽了知识面，提高了</w:t>
      </w:r>
      <w:r>
        <w:rPr>
          <w:spacing w:val="6"/>
        </w:rPr>
        <w:t>个人的专业水平。</w:t>
      </w:r>
    </w:p>
    <w:p w14:paraId="72ADD88A">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674"/>
        <w:textAlignment w:val="baseline"/>
      </w:pPr>
      <w:r>
        <w:rPr>
          <w:spacing w:val="6"/>
        </w:rPr>
        <w:t>3.坚持财政绩效，抓好后勤保障</w:t>
      </w:r>
    </w:p>
    <w:p w14:paraId="76589CE8">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18" w:right="86" w:firstLine="640"/>
        <w:textAlignment w:val="baseline"/>
      </w:pPr>
      <w:r>
        <w:rPr>
          <w:spacing w:val="9"/>
        </w:rPr>
        <w:t>继续加强教学设备设施的投入和管理工作，确保好钢</w:t>
      </w:r>
      <w:r>
        <w:rPr>
          <w:spacing w:val="8"/>
        </w:rPr>
        <w:t>用在刀</w:t>
      </w:r>
      <w:r>
        <w:rPr>
          <w:spacing w:val="6"/>
        </w:rPr>
        <w:t>刃上。本年度危旧用房改造投入资金</w:t>
      </w:r>
      <w:r>
        <w:rPr>
          <w:spacing w:val="-26"/>
        </w:rPr>
        <w:t xml:space="preserve"> </w:t>
      </w:r>
      <w:r>
        <w:rPr>
          <w:spacing w:val="6"/>
        </w:rPr>
        <w:t>180</w:t>
      </w:r>
      <w:r>
        <w:rPr>
          <w:spacing w:val="-51"/>
        </w:rPr>
        <w:t xml:space="preserve"> </w:t>
      </w:r>
      <w:r>
        <w:rPr>
          <w:spacing w:val="6"/>
        </w:rPr>
        <w:t>万元，进一步改善了办</w:t>
      </w:r>
      <w:r>
        <w:rPr>
          <w:spacing w:val="9"/>
        </w:rPr>
        <w:t>学条件和校园美化绿化建设。继续开展教育扶贫工作，帮</w:t>
      </w:r>
      <w:r>
        <w:rPr>
          <w:spacing w:val="8"/>
        </w:rPr>
        <w:t>助贫困</w:t>
      </w:r>
      <w:r>
        <w:rPr>
          <w:spacing w:val="9"/>
        </w:rPr>
        <w:t>家庭子女入学。继续做好义务教育阶段免教科书、免作业</w:t>
      </w:r>
      <w:r>
        <w:rPr>
          <w:spacing w:val="8"/>
        </w:rPr>
        <w:t>本和免</w:t>
      </w:r>
      <w:r>
        <w:rPr>
          <w:spacing w:val="9"/>
        </w:rPr>
        <w:t>学杂费工作，完善家庭生活困难寄宿生和非寄宿生生活补</w:t>
      </w:r>
      <w:r>
        <w:rPr>
          <w:spacing w:val="8"/>
        </w:rPr>
        <w:t>助的发</w:t>
      </w:r>
      <w:r>
        <w:rPr>
          <w:spacing w:val="-13"/>
        </w:rPr>
        <w:t>放。</w:t>
      </w:r>
    </w:p>
    <w:p w14:paraId="098F416B">
      <w:pPr>
        <w:keepNext w:val="0"/>
        <w:keepLines w:val="0"/>
        <w:pageBreakBefore w:val="0"/>
        <w:widowControl/>
        <w:kinsoku w:val="0"/>
        <w:wordWrap/>
        <w:overflowPunct/>
        <w:topLinePunct w:val="0"/>
        <w:autoSpaceDE w:val="0"/>
        <w:autoSpaceDN w:val="0"/>
        <w:bidi w:val="0"/>
        <w:adjustRightInd w:val="0"/>
        <w:snapToGrid w:val="0"/>
        <w:spacing w:line="360" w:lineRule="auto"/>
        <w:ind w:left="649"/>
        <w:textAlignment w:val="baseline"/>
        <w:outlineLvl w:val="2"/>
        <w:rPr>
          <w:rFonts w:ascii="黑体" w:hAnsi="黑体" w:eastAsia="黑体" w:cs="黑体"/>
          <w:sz w:val="31"/>
          <w:szCs w:val="31"/>
        </w:rPr>
      </w:pPr>
      <w:r>
        <w:rPr>
          <w:rFonts w:ascii="黑体" w:hAnsi="黑体" w:eastAsia="黑体" w:cs="黑体"/>
          <w:spacing w:val="5"/>
          <w:sz w:val="31"/>
          <w:szCs w:val="31"/>
        </w:rPr>
        <w:t>二.部门概况</w:t>
      </w:r>
    </w:p>
    <w:p w14:paraId="72A649C6">
      <w:pPr>
        <w:pStyle w:val="2"/>
        <w:keepNext w:val="0"/>
        <w:keepLines w:val="0"/>
        <w:pageBreakBefore w:val="0"/>
        <w:widowControl/>
        <w:kinsoku w:val="0"/>
        <w:wordWrap/>
        <w:overflowPunct/>
        <w:topLinePunct w:val="0"/>
        <w:autoSpaceDE w:val="0"/>
        <w:autoSpaceDN w:val="0"/>
        <w:bidi w:val="0"/>
        <w:adjustRightInd w:val="0"/>
        <w:snapToGrid w:val="0"/>
        <w:spacing w:line="360" w:lineRule="auto"/>
        <w:ind w:firstLine="686"/>
        <w:textAlignment w:val="baseline"/>
      </w:pPr>
      <w:r>
        <w:rPr>
          <w:spacing w:val="8"/>
        </w:rPr>
        <w:t>四川省井研县研城中学是一所全日制初级中学，位</w:t>
      </w:r>
      <w:r>
        <w:rPr>
          <w:spacing w:val="7"/>
        </w:rPr>
        <w:t>于井研县研城街道东门新村23号。学校内设办公室、教导处</w:t>
      </w:r>
      <w:r>
        <w:rPr>
          <w:spacing w:val="6"/>
        </w:rPr>
        <w:t>、总务处、</w:t>
      </w:r>
      <w:r>
        <w:rPr>
          <w:spacing w:val="1"/>
        </w:rPr>
        <w:t>教科室、政教处、工会及团委办公室，学校总编制265</w:t>
      </w:r>
      <w:r>
        <w:t>个，其中：专业技术编制261个、工勤编制4个；在编在职人员总数</w:t>
      </w:r>
      <w:r>
        <w:rPr>
          <w:rFonts w:hint="eastAsia"/>
          <w:lang w:val="en-US" w:eastAsia="zh-CN"/>
        </w:rPr>
        <w:t>221</w:t>
      </w:r>
      <w:r>
        <w:t>人，退休</w:t>
      </w:r>
      <w:r>
        <w:rPr>
          <w:rFonts w:hint="eastAsia"/>
          <w:lang w:val="en-US" w:eastAsia="zh-CN"/>
        </w:rPr>
        <w:t>94</w:t>
      </w:r>
      <w:r>
        <w:t>人，遗属人员</w:t>
      </w:r>
      <w:r>
        <w:rPr>
          <w:rFonts w:hint="eastAsia"/>
          <w:lang w:val="en-US" w:eastAsia="zh-CN"/>
        </w:rPr>
        <w:t>4</w:t>
      </w:r>
      <w:r>
        <w:t>人，学生</w:t>
      </w:r>
      <w:r>
        <w:rPr>
          <w:rFonts w:hint="eastAsia"/>
          <w:lang w:val="en-US" w:eastAsia="zh-CN"/>
        </w:rPr>
        <w:t>2996</w:t>
      </w:r>
      <w:r>
        <w:t>人。</w:t>
      </w:r>
    </w:p>
    <w:p w14:paraId="674886D6">
      <w:pPr>
        <w:keepNext w:val="0"/>
        <w:keepLines w:val="0"/>
        <w:pageBreakBefore w:val="0"/>
        <w:widowControl/>
        <w:kinsoku w:val="0"/>
        <w:wordWrap/>
        <w:overflowPunct/>
        <w:topLinePunct w:val="0"/>
        <w:autoSpaceDE w:val="0"/>
        <w:autoSpaceDN w:val="0"/>
        <w:bidi w:val="0"/>
        <w:adjustRightInd w:val="0"/>
        <w:snapToGrid w:val="0"/>
        <w:spacing w:line="360" w:lineRule="auto"/>
        <w:ind w:left="650"/>
        <w:textAlignment w:val="baseline"/>
        <w:outlineLvl w:val="2"/>
        <w:rPr>
          <w:rFonts w:ascii="黑体" w:hAnsi="黑体" w:eastAsia="黑体" w:cs="黑体"/>
          <w:sz w:val="31"/>
          <w:szCs w:val="31"/>
        </w:rPr>
      </w:pPr>
      <w:r>
        <w:rPr>
          <w:rFonts w:ascii="黑体" w:hAnsi="黑体" w:eastAsia="黑体" w:cs="黑体"/>
          <w:spacing w:val="7"/>
          <w:sz w:val="31"/>
          <w:szCs w:val="31"/>
        </w:rPr>
        <w:t>三.收支预算总体情况</w:t>
      </w:r>
    </w:p>
    <w:p w14:paraId="3CDB14D1">
      <w:pPr>
        <w:pStyle w:val="2"/>
        <w:keepNext w:val="0"/>
        <w:keepLines w:val="0"/>
        <w:pageBreakBefore w:val="0"/>
        <w:widowControl/>
        <w:kinsoku w:val="0"/>
        <w:wordWrap/>
        <w:overflowPunct/>
        <w:topLinePunct w:val="0"/>
        <w:autoSpaceDE w:val="0"/>
        <w:autoSpaceDN w:val="0"/>
        <w:bidi w:val="0"/>
        <w:adjustRightInd w:val="0"/>
        <w:snapToGrid w:val="0"/>
        <w:spacing w:line="360" w:lineRule="auto"/>
        <w:ind w:firstLine="656" w:firstLineChars="200"/>
        <w:textAlignment w:val="baseline"/>
      </w:pPr>
      <w:r>
        <w:rPr>
          <w:spacing w:val="9"/>
        </w:rPr>
        <w:t>按照综合预算的原则，四川省井研县研城中学所有收入和支</w:t>
      </w:r>
      <w:r>
        <w:rPr>
          <w:spacing w:val="2"/>
        </w:rPr>
        <w:t>出均纳入部门预算管理。</w:t>
      </w:r>
      <w:r>
        <w:rPr>
          <w:spacing w:val="-90"/>
        </w:rPr>
        <w:t xml:space="preserve"> </w:t>
      </w:r>
      <w:r>
        <w:rPr>
          <w:spacing w:val="2"/>
        </w:rPr>
        <w:t>202</w:t>
      </w:r>
      <w:r>
        <w:rPr>
          <w:rFonts w:hint="eastAsia"/>
          <w:spacing w:val="2"/>
          <w:lang w:val="en-US" w:eastAsia="zh-CN"/>
        </w:rPr>
        <w:t>6</w:t>
      </w:r>
      <w:r>
        <w:rPr>
          <w:spacing w:val="2"/>
        </w:rPr>
        <w:t>年收入预算总额为</w:t>
      </w:r>
      <w:r>
        <w:rPr>
          <w:rFonts w:hint="eastAsia"/>
          <w:spacing w:val="2"/>
          <w:lang w:val="en-US" w:eastAsia="zh-CN"/>
        </w:rPr>
        <w:t>3695.01</w:t>
      </w:r>
      <w:r>
        <w:rPr>
          <w:spacing w:val="1"/>
        </w:rPr>
        <w:t>万元，</w:t>
      </w:r>
      <w:r>
        <w:rPr>
          <w:spacing w:val="7"/>
        </w:rPr>
        <w:t>预算数较</w:t>
      </w:r>
      <w:r>
        <w:rPr>
          <w:rFonts w:hint="eastAsia"/>
          <w:spacing w:val="7"/>
          <w:lang w:val="en-US" w:eastAsia="zh-CN"/>
        </w:rPr>
        <w:t>上</w:t>
      </w:r>
      <w:r>
        <w:rPr>
          <w:spacing w:val="7"/>
        </w:rPr>
        <w:t>年</w:t>
      </w:r>
      <w:r>
        <w:rPr>
          <w:rFonts w:hint="eastAsia"/>
          <w:spacing w:val="7"/>
          <w:lang w:val="en-US" w:eastAsia="zh-CN"/>
        </w:rPr>
        <w:t>增加418.71</w:t>
      </w:r>
      <w:r>
        <w:rPr>
          <w:spacing w:val="7"/>
        </w:rPr>
        <w:t>万元。其中：当年财政拨款收入</w:t>
      </w:r>
      <w:r>
        <w:rPr>
          <w:rFonts w:hint="eastAsia"/>
          <w:lang w:val="en-US" w:eastAsia="zh-CN"/>
        </w:rPr>
        <w:t>3233.57</w:t>
      </w:r>
      <w:r>
        <w:rPr>
          <w:spacing w:val="-44"/>
        </w:rPr>
        <w:t xml:space="preserve"> </w:t>
      </w:r>
      <w:r>
        <w:t>万元，事业收入0万元，事业单位经营收入0</w:t>
      </w:r>
      <w:r>
        <w:rPr>
          <w:spacing w:val="-1"/>
        </w:rPr>
        <w:t>万元，其他收入370万元，上年结转</w:t>
      </w:r>
      <w:r>
        <w:rPr>
          <w:rFonts w:hint="eastAsia"/>
          <w:spacing w:val="-1"/>
          <w:lang w:val="en-US" w:eastAsia="zh-CN"/>
        </w:rPr>
        <w:t>91.44</w:t>
      </w:r>
      <w:r>
        <w:rPr>
          <w:spacing w:val="-1"/>
        </w:rPr>
        <w:t>万元。相应安排支出预算</w:t>
      </w:r>
      <w:r>
        <w:rPr>
          <w:rFonts w:hint="eastAsia"/>
          <w:spacing w:val="-1"/>
          <w:lang w:val="en-US" w:eastAsia="zh-CN"/>
        </w:rPr>
        <w:t>3695.01万</w:t>
      </w:r>
      <w:r>
        <w:rPr>
          <w:spacing w:val="2"/>
        </w:rPr>
        <w:t>元，其中：基本支出</w:t>
      </w:r>
      <w:r>
        <w:rPr>
          <w:rFonts w:hint="eastAsia"/>
          <w:spacing w:val="2"/>
          <w:lang w:val="en-US" w:eastAsia="zh-CN"/>
        </w:rPr>
        <w:t>3088.25</w:t>
      </w:r>
      <w:r>
        <w:rPr>
          <w:spacing w:val="2"/>
        </w:rPr>
        <w:t>万元，项目支出</w:t>
      </w:r>
      <w:r>
        <w:rPr>
          <w:rFonts w:hint="eastAsia"/>
          <w:spacing w:val="2"/>
          <w:lang w:val="en-US" w:eastAsia="zh-CN"/>
        </w:rPr>
        <w:t>606.76</w:t>
      </w:r>
      <w:r>
        <w:rPr>
          <w:spacing w:val="2"/>
        </w:rPr>
        <w:t>万元。</w:t>
      </w:r>
    </w:p>
    <w:p w14:paraId="4EA7C78D">
      <w:pPr>
        <w:keepNext w:val="0"/>
        <w:keepLines w:val="0"/>
        <w:pageBreakBefore w:val="0"/>
        <w:widowControl/>
        <w:kinsoku w:val="0"/>
        <w:wordWrap/>
        <w:overflowPunct/>
        <w:topLinePunct w:val="0"/>
        <w:autoSpaceDE w:val="0"/>
        <w:autoSpaceDN w:val="0"/>
        <w:bidi w:val="0"/>
        <w:adjustRightInd w:val="0"/>
        <w:snapToGrid w:val="0"/>
        <w:spacing w:line="360" w:lineRule="auto"/>
        <w:ind w:left="658"/>
        <w:textAlignment w:val="baseline"/>
        <w:outlineLvl w:val="2"/>
        <w:rPr>
          <w:rFonts w:ascii="黑体" w:hAnsi="黑体" w:eastAsia="黑体" w:cs="黑体"/>
          <w:sz w:val="31"/>
          <w:szCs w:val="31"/>
        </w:rPr>
      </w:pPr>
      <w:r>
        <w:rPr>
          <w:rFonts w:ascii="黑体" w:hAnsi="黑体" w:eastAsia="黑体" w:cs="黑体"/>
          <w:spacing w:val="7"/>
          <w:sz w:val="31"/>
          <w:szCs w:val="31"/>
        </w:rPr>
        <w:t>四.财政拨款支出预算安排情况</w:t>
      </w:r>
    </w:p>
    <w:p w14:paraId="514441DF">
      <w:pPr>
        <w:pStyle w:val="2"/>
        <w:keepNext w:val="0"/>
        <w:keepLines w:val="0"/>
        <w:pageBreakBefore w:val="0"/>
        <w:widowControl/>
        <w:kinsoku w:val="0"/>
        <w:wordWrap/>
        <w:overflowPunct/>
        <w:topLinePunct w:val="0"/>
        <w:autoSpaceDE w:val="0"/>
        <w:autoSpaceDN w:val="0"/>
        <w:bidi w:val="0"/>
        <w:adjustRightInd w:val="0"/>
        <w:snapToGrid w:val="0"/>
        <w:spacing w:line="360" w:lineRule="auto"/>
        <w:ind w:right="71" w:firstLine="681"/>
        <w:jc w:val="both"/>
        <w:textAlignment w:val="baseline"/>
      </w:pPr>
      <w:r>
        <w:rPr>
          <w:spacing w:val="3"/>
        </w:rPr>
        <w:t>四川省井研县研城中学202</w:t>
      </w:r>
      <w:r>
        <w:rPr>
          <w:rFonts w:hint="eastAsia"/>
          <w:spacing w:val="3"/>
          <w:lang w:val="en-US" w:eastAsia="zh-CN"/>
        </w:rPr>
        <w:t>6</w:t>
      </w:r>
      <w:r>
        <w:rPr>
          <w:spacing w:val="3"/>
        </w:rPr>
        <w:t>年财政拨款收支总</w:t>
      </w:r>
      <w:r>
        <w:rPr>
          <w:spacing w:val="2"/>
        </w:rPr>
        <w:t>预算</w:t>
      </w:r>
      <w:r>
        <w:rPr>
          <w:rFonts w:hint="eastAsia"/>
          <w:spacing w:val="2"/>
          <w:lang w:val="en-US" w:eastAsia="zh-CN"/>
        </w:rPr>
        <w:t>3325.01</w:t>
      </w:r>
      <w:r>
        <w:rPr>
          <w:spacing w:val="9"/>
        </w:rPr>
        <w:t>万元，主要用于保障该部门机构正常运转、完成日常工作任务以</w:t>
      </w:r>
      <w:r>
        <w:rPr>
          <w:spacing w:val="3"/>
        </w:rPr>
        <w:t>及承担教育事业发展相关工作。其中：</w:t>
      </w:r>
    </w:p>
    <w:p w14:paraId="164A4332">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3" w:right="80" w:firstLine="635"/>
        <w:jc w:val="both"/>
        <w:textAlignment w:val="baseline"/>
      </w:pPr>
      <w:r>
        <w:rPr>
          <w:spacing w:val="9"/>
        </w:rPr>
        <w:t>基本支出，是用于保障学校正常运转的日常</w:t>
      </w:r>
      <w:r>
        <w:rPr>
          <w:spacing w:val="8"/>
        </w:rPr>
        <w:t>支出，包括基本</w:t>
      </w:r>
      <w:r>
        <w:rPr>
          <w:spacing w:val="9"/>
        </w:rPr>
        <w:t>工资、津贴补贴等人员经费以及办公费、印刷费、水电费、办公</w:t>
      </w:r>
      <w:r>
        <w:rPr>
          <w:spacing w:val="7"/>
        </w:rPr>
        <w:t>设备购置等日常公用经费。</w:t>
      </w:r>
    </w:p>
    <w:p w14:paraId="6B802D26">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17" w:right="78" w:firstLine="630"/>
        <w:textAlignment w:val="baseline"/>
      </w:pPr>
      <w:r>
        <w:rPr>
          <w:spacing w:val="9"/>
        </w:rPr>
        <w:t>项目支出，是用于保障学校为完成特定的行政工作任务或事</w:t>
      </w:r>
      <w:r>
        <w:rPr>
          <w:spacing w:val="6"/>
        </w:rPr>
        <w:t>业发展目标，用于专项业务工作的经费支出。</w:t>
      </w:r>
    </w:p>
    <w:p w14:paraId="03A098EB">
      <w:pPr>
        <w:keepNext w:val="0"/>
        <w:keepLines w:val="0"/>
        <w:pageBreakBefore w:val="0"/>
        <w:widowControl/>
        <w:kinsoku w:val="0"/>
        <w:wordWrap/>
        <w:overflowPunct/>
        <w:topLinePunct w:val="0"/>
        <w:autoSpaceDE w:val="0"/>
        <w:autoSpaceDN w:val="0"/>
        <w:bidi w:val="0"/>
        <w:adjustRightInd w:val="0"/>
        <w:snapToGrid w:val="0"/>
        <w:spacing w:line="360" w:lineRule="auto"/>
        <w:ind w:left="648"/>
        <w:textAlignment w:val="baseline"/>
        <w:outlineLvl w:val="2"/>
        <w:rPr>
          <w:rFonts w:ascii="黑体" w:hAnsi="黑体" w:eastAsia="黑体" w:cs="黑体"/>
          <w:sz w:val="31"/>
          <w:szCs w:val="31"/>
        </w:rPr>
      </w:pPr>
      <w:r>
        <w:rPr>
          <w:rFonts w:ascii="黑体" w:hAnsi="黑体" w:eastAsia="黑体" w:cs="黑体"/>
          <w:spacing w:val="8"/>
          <w:sz w:val="31"/>
          <w:szCs w:val="31"/>
        </w:rPr>
        <w:t>五.一般公共预算当年拨款情况说明</w:t>
      </w:r>
    </w:p>
    <w:p w14:paraId="7328970B">
      <w:pPr>
        <w:keepNext w:val="0"/>
        <w:keepLines w:val="0"/>
        <w:pageBreakBefore w:val="0"/>
        <w:widowControl/>
        <w:kinsoku w:val="0"/>
        <w:wordWrap/>
        <w:overflowPunct/>
        <w:topLinePunct w:val="0"/>
        <w:autoSpaceDE w:val="0"/>
        <w:autoSpaceDN w:val="0"/>
        <w:bidi w:val="0"/>
        <w:adjustRightInd w:val="0"/>
        <w:snapToGrid w:val="0"/>
        <w:spacing w:line="360" w:lineRule="auto"/>
        <w:ind w:left="631"/>
        <w:textAlignment w:val="baseline"/>
        <w:rPr>
          <w:rFonts w:ascii="KaiTi_GB2312" w:hAnsi="KaiTi_GB2312" w:eastAsia="KaiTi_GB2312" w:cs="KaiTi_GB2312"/>
          <w:sz w:val="31"/>
          <w:szCs w:val="31"/>
        </w:rPr>
      </w:pPr>
      <w:r>
        <w:rPr>
          <w:rFonts w:ascii="KaiTi_GB2312" w:hAnsi="KaiTi_GB2312" w:eastAsia="KaiTi_GB2312" w:cs="KaiTi_GB2312"/>
          <w:spacing w:val="6"/>
          <w:sz w:val="31"/>
          <w:szCs w:val="31"/>
        </w:rPr>
        <w:t>（一）一般公共预算当年拨款规模及变化情况。</w:t>
      </w:r>
    </w:p>
    <w:p w14:paraId="0E2D3B88">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16" w:right="73" w:firstLine="665"/>
        <w:textAlignment w:val="baseline"/>
      </w:pPr>
      <w:r>
        <w:rPr>
          <w:spacing w:val="29"/>
        </w:rPr>
        <w:t>四川省井研县研城中学</w:t>
      </w:r>
      <w:r>
        <w:rPr>
          <w:rFonts w:hint="eastAsia"/>
          <w:spacing w:val="74"/>
          <w:lang w:val="en-US" w:eastAsia="zh-CN"/>
        </w:rPr>
        <w:t>2026</w:t>
      </w:r>
      <w:r>
        <w:rPr>
          <w:spacing w:val="29"/>
        </w:rPr>
        <w:t>年一般公共预算当年拨款</w:t>
      </w:r>
      <w:r>
        <w:rPr>
          <w:rFonts w:hint="eastAsia"/>
          <w:spacing w:val="3"/>
          <w:lang w:val="en-US" w:eastAsia="zh-CN"/>
        </w:rPr>
        <w:t>3323.01</w:t>
      </w:r>
      <w:r>
        <w:rPr>
          <w:spacing w:val="3"/>
        </w:rPr>
        <w:t>万元，较上年预算数增加</w:t>
      </w:r>
      <w:r>
        <w:rPr>
          <w:rFonts w:hint="eastAsia"/>
          <w:spacing w:val="3"/>
          <w:lang w:val="en-US" w:eastAsia="zh-CN"/>
        </w:rPr>
        <w:t>418.71</w:t>
      </w:r>
      <w:r>
        <w:rPr>
          <w:spacing w:val="3"/>
        </w:rPr>
        <w:t>万元</w:t>
      </w:r>
      <w:r>
        <w:rPr>
          <w:spacing w:val="2"/>
        </w:rPr>
        <w:t>。主要是因为教育支</w:t>
      </w:r>
      <w:r>
        <w:rPr>
          <w:spacing w:val="-11"/>
        </w:rPr>
        <w:t>出增加。</w:t>
      </w:r>
    </w:p>
    <w:p w14:paraId="06EB5AE7">
      <w:pPr>
        <w:keepNext w:val="0"/>
        <w:keepLines w:val="0"/>
        <w:pageBreakBefore w:val="0"/>
        <w:widowControl/>
        <w:kinsoku w:val="0"/>
        <w:wordWrap/>
        <w:overflowPunct/>
        <w:topLinePunct w:val="0"/>
        <w:autoSpaceDE w:val="0"/>
        <w:autoSpaceDN w:val="0"/>
        <w:bidi w:val="0"/>
        <w:adjustRightInd w:val="0"/>
        <w:snapToGrid w:val="0"/>
        <w:spacing w:line="360" w:lineRule="auto"/>
        <w:ind w:left="631"/>
        <w:textAlignment w:val="baseline"/>
        <w:rPr>
          <w:rFonts w:ascii="KaiTi_GB2312" w:hAnsi="KaiTi_GB2312" w:eastAsia="KaiTi_GB2312" w:cs="KaiTi_GB2312"/>
          <w:sz w:val="31"/>
          <w:szCs w:val="31"/>
        </w:rPr>
      </w:pPr>
      <w:r>
        <w:rPr>
          <w:rFonts w:ascii="KaiTi_GB2312" w:hAnsi="KaiTi_GB2312" w:eastAsia="KaiTi_GB2312" w:cs="KaiTi_GB2312"/>
          <w:spacing w:val="8"/>
          <w:sz w:val="31"/>
          <w:szCs w:val="31"/>
        </w:rPr>
        <w:t>（二）一般公共预算当年拨款结构情况。</w:t>
      </w:r>
    </w:p>
    <w:p w14:paraId="77983736">
      <w:pPr>
        <w:pStyle w:val="2"/>
        <w:keepNext w:val="0"/>
        <w:keepLines w:val="0"/>
        <w:pageBreakBefore w:val="0"/>
        <w:widowControl/>
        <w:kinsoku w:val="0"/>
        <w:wordWrap/>
        <w:overflowPunct/>
        <w:topLinePunct w:val="0"/>
        <w:autoSpaceDE w:val="0"/>
        <w:autoSpaceDN w:val="0"/>
        <w:bidi w:val="0"/>
        <w:adjustRightInd w:val="0"/>
        <w:snapToGrid w:val="0"/>
        <w:spacing w:line="360" w:lineRule="auto"/>
        <w:ind w:firstLine="600" w:firstLineChars="200"/>
        <w:jc w:val="both"/>
        <w:textAlignment w:val="baseline"/>
        <w:rPr>
          <w:rFonts w:hint="default" w:eastAsia="FangSong_GB2312"/>
          <w:lang w:val="en-US" w:eastAsia="zh-CN"/>
        </w:rPr>
      </w:pPr>
      <w:r>
        <w:rPr>
          <w:spacing w:val="-5"/>
        </w:rPr>
        <w:t>一般公共服务支出0万元，占0%；外交支出0万元，占</w:t>
      </w:r>
      <w:r>
        <w:rPr>
          <w:spacing w:val="-6"/>
        </w:rPr>
        <w:t>0%；</w:t>
      </w:r>
      <w:r>
        <w:rPr>
          <w:spacing w:val="-5"/>
        </w:rPr>
        <w:t>国防支出0万元，占0%；公共安全支出0万元，占0%；教育支</w:t>
      </w:r>
      <w:r>
        <w:rPr>
          <w:spacing w:val="-2"/>
        </w:rPr>
        <w:t>出</w:t>
      </w:r>
      <w:r>
        <w:rPr>
          <w:rFonts w:hint="eastAsia"/>
          <w:spacing w:val="-2"/>
          <w:lang w:val="en-US" w:eastAsia="zh-CN"/>
        </w:rPr>
        <w:t>2398.36</w:t>
      </w:r>
      <w:r>
        <w:rPr>
          <w:spacing w:val="-2"/>
        </w:rPr>
        <w:t>万元，占7</w:t>
      </w:r>
      <w:r>
        <w:rPr>
          <w:rFonts w:hint="eastAsia"/>
          <w:spacing w:val="-2"/>
          <w:lang w:val="en-US" w:eastAsia="zh-CN"/>
        </w:rPr>
        <w:t>2.17</w:t>
      </w:r>
      <w:r>
        <w:rPr>
          <w:spacing w:val="-2"/>
        </w:rPr>
        <w:t>%；科学技术支出0万元，占0%；文</w:t>
      </w:r>
      <w:r>
        <w:rPr>
          <w:spacing w:val="3"/>
        </w:rPr>
        <w:t>化</w:t>
      </w:r>
      <w:r>
        <w:rPr>
          <w:rFonts w:hint="eastAsia"/>
          <w:spacing w:val="3"/>
          <w:lang w:val="en-US" w:eastAsia="zh-CN"/>
        </w:rPr>
        <w:t>旅游</w:t>
      </w:r>
      <w:r>
        <w:rPr>
          <w:spacing w:val="3"/>
        </w:rPr>
        <w:t>体育与传媒支出0万元，占0%；社会保障和就业支出</w:t>
      </w:r>
      <w:r>
        <w:rPr>
          <w:rFonts w:hint="eastAsia"/>
          <w:spacing w:val="3"/>
          <w:lang w:val="en-US" w:eastAsia="zh-CN"/>
        </w:rPr>
        <w:t>487.91</w:t>
      </w:r>
      <w:r>
        <w:rPr>
          <w:spacing w:val="-11"/>
        </w:rPr>
        <w:t>万元，占</w:t>
      </w:r>
      <w:r>
        <w:rPr>
          <w:rFonts w:hint="eastAsia"/>
          <w:spacing w:val="-11"/>
          <w:lang w:val="en-US" w:eastAsia="zh-CN"/>
        </w:rPr>
        <w:t>14.68</w:t>
      </w:r>
      <w:r>
        <w:rPr>
          <w:spacing w:val="-11"/>
        </w:rPr>
        <w:t>%；</w:t>
      </w:r>
      <w:r>
        <w:rPr>
          <w:rFonts w:hint="eastAsia"/>
          <w:spacing w:val="-11"/>
          <w:lang w:val="en-US" w:eastAsia="zh-CN"/>
        </w:rPr>
        <w:t>社会保险基金支出0万元，占0%；卫生健康</w:t>
      </w:r>
      <w:r>
        <w:rPr>
          <w:spacing w:val="-11"/>
        </w:rPr>
        <w:t>支出</w:t>
      </w:r>
      <w:r>
        <w:rPr>
          <w:rFonts w:hint="eastAsia"/>
          <w:spacing w:val="-43"/>
          <w:lang w:val="en-US" w:eastAsia="zh-CN"/>
        </w:rPr>
        <w:t>153.01</w:t>
      </w:r>
      <w:r>
        <w:rPr>
          <w:spacing w:val="-11"/>
        </w:rPr>
        <w:t>万</w:t>
      </w:r>
      <w:r>
        <w:rPr>
          <w:spacing w:val="-12"/>
        </w:rPr>
        <w:t>元，占4.</w:t>
      </w:r>
      <w:r>
        <w:rPr>
          <w:rFonts w:hint="eastAsia"/>
          <w:spacing w:val="-12"/>
          <w:lang w:val="en-US" w:eastAsia="zh-CN"/>
        </w:rPr>
        <w:t>60</w:t>
      </w:r>
      <w:r>
        <w:rPr>
          <w:spacing w:val="-12"/>
        </w:rPr>
        <w:t>%；</w:t>
      </w:r>
      <w:r>
        <w:rPr>
          <w:spacing w:val="-4"/>
        </w:rPr>
        <w:t>节能环保支出0万元，占0%；城乡社区支出0万元，占0%；</w:t>
      </w:r>
      <w:r>
        <w:rPr>
          <w:rFonts w:hint="eastAsia"/>
          <w:spacing w:val="-4"/>
          <w:lang w:val="en-US" w:eastAsia="zh-CN"/>
        </w:rPr>
        <w:t>农</w:t>
      </w:r>
      <w:r>
        <w:rPr>
          <w:spacing w:val="-4"/>
        </w:rPr>
        <w:t>林水支出0万元，占0%；交通运输支出</w:t>
      </w:r>
      <w:r>
        <w:rPr>
          <w:spacing w:val="-5"/>
        </w:rPr>
        <w:t>0万元，占0%；资源勘</w:t>
      </w:r>
      <w:r>
        <w:rPr>
          <w:spacing w:val="-1"/>
        </w:rPr>
        <w:t>探</w:t>
      </w:r>
      <w:r>
        <w:rPr>
          <w:rFonts w:hint="eastAsia"/>
          <w:spacing w:val="-1"/>
          <w:lang w:val="en-US" w:eastAsia="zh-CN"/>
        </w:rPr>
        <w:t>工业</w:t>
      </w:r>
      <w:r>
        <w:rPr>
          <w:spacing w:val="-1"/>
        </w:rPr>
        <w:t>信息等支出0万元，占0%；商业服务业等支</w:t>
      </w:r>
      <w:r>
        <w:rPr>
          <w:spacing w:val="-2"/>
        </w:rPr>
        <w:t>出</w:t>
      </w:r>
      <w:r>
        <w:rPr>
          <w:spacing w:val="-37"/>
        </w:rPr>
        <w:t xml:space="preserve"> </w:t>
      </w:r>
      <w:r>
        <w:rPr>
          <w:spacing w:val="-2"/>
        </w:rPr>
        <w:t>0</w:t>
      </w:r>
      <w:r>
        <w:rPr>
          <w:spacing w:val="-44"/>
        </w:rPr>
        <w:t xml:space="preserve"> </w:t>
      </w:r>
      <w:r>
        <w:rPr>
          <w:spacing w:val="-2"/>
        </w:rPr>
        <w:t>万元，占</w:t>
      </w:r>
      <w:r>
        <w:rPr>
          <w:spacing w:val="-41"/>
        </w:rPr>
        <w:t xml:space="preserve"> </w:t>
      </w:r>
      <w:r>
        <w:rPr>
          <w:spacing w:val="-2"/>
        </w:rPr>
        <w:t>0%；</w:t>
      </w:r>
      <w:r>
        <w:rPr>
          <w:spacing w:val="-3"/>
        </w:rPr>
        <w:t>金融支出0万元，占0%；援助其他地区支出 0 万元，占 0%；</w:t>
      </w:r>
      <w:r>
        <w:rPr>
          <w:rFonts w:hint="eastAsia"/>
          <w:spacing w:val="-3"/>
          <w:lang w:val="en-US" w:eastAsia="zh-CN"/>
        </w:rPr>
        <w:t>自然资源</w:t>
      </w:r>
      <w:r>
        <w:rPr>
          <w:spacing w:val="1"/>
        </w:rPr>
        <w:t>海洋气象等支出 0</w:t>
      </w:r>
      <w:r>
        <w:rPr>
          <w:spacing w:val="-18"/>
        </w:rPr>
        <w:t xml:space="preserve"> </w:t>
      </w:r>
      <w:r>
        <w:rPr>
          <w:spacing w:val="1"/>
        </w:rPr>
        <w:t>万元，占 0%；住房保障支出</w:t>
      </w:r>
      <w:r>
        <w:rPr>
          <w:rFonts w:hint="eastAsia"/>
          <w:spacing w:val="-31"/>
          <w:lang w:val="en-US" w:eastAsia="zh-CN"/>
        </w:rPr>
        <w:t>283.73</w:t>
      </w:r>
      <w:r>
        <w:rPr>
          <w:spacing w:val="1"/>
        </w:rPr>
        <w:t>万元，</w:t>
      </w:r>
      <w:r>
        <w:rPr>
          <w:spacing w:val="-2"/>
        </w:rPr>
        <w:t>占</w:t>
      </w:r>
      <w:r>
        <w:rPr>
          <w:spacing w:val="-44"/>
        </w:rPr>
        <w:t xml:space="preserve"> </w:t>
      </w:r>
      <w:r>
        <w:rPr>
          <w:spacing w:val="-2"/>
        </w:rPr>
        <w:t>8.</w:t>
      </w:r>
      <w:r>
        <w:rPr>
          <w:rFonts w:hint="eastAsia"/>
          <w:spacing w:val="-2"/>
          <w:lang w:val="en-US" w:eastAsia="zh-CN"/>
        </w:rPr>
        <w:t>54</w:t>
      </w:r>
      <w:r>
        <w:rPr>
          <w:spacing w:val="-2"/>
        </w:rPr>
        <w:t>%；粮油物资储备支出0万元，占0%；</w:t>
      </w:r>
      <w:r>
        <w:rPr>
          <w:rFonts w:hint="eastAsia"/>
          <w:spacing w:val="-2"/>
          <w:lang w:val="en-US" w:eastAsia="zh-CN"/>
        </w:rPr>
        <w:t>国有资本经营预算支出0万元，占0%</w:t>
      </w:r>
      <w:r>
        <w:rPr>
          <w:spacing w:val="-5"/>
        </w:rPr>
        <w:t>；</w:t>
      </w:r>
      <w:r>
        <w:rPr>
          <w:rFonts w:hint="eastAsia"/>
          <w:spacing w:val="-5"/>
          <w:lang w:val="en-US" w:eastAsia="zh-CN"/>
        </w:rPr>
        <w:t>灾害防治及应急管理支出0万元，占0%；</w:t>
      </w:r>
      <w:r>
        <w:rPr>
          <w:spacing w:val="-5"/>
        </w:rPr>
        <w:t>其他支出</w:t>
      </w:r>
      <w:r>
        <w:rPr>
          <w:rFonts w:hint="eastAsia"/>
          <w:spacing w:val="-5"/>
          <w:lang w:val="en-US" w:eastAsia="zh-CN"/>
        </w:rPr>
        <w:t>0</w:t>
      </w:r>
      <w:r>
        <w:rPr>
          <w:spacing w:val="-5"/>
        </w:rPr>
        <w:t>万元，占</w:t>
      </w:r>
      <w:r>
        <w:rPr>
          <w:rFonts w:hint="eastAsia"/>
          <w:spacing w:val="-40"/>
          <w:lang w:val="en-US" w:eastAsia="zh-CN"/>
        </w:rPr>
        <w:t>0</w:t>
      </w:r>
      <w:r>
        <w:rPr>
          <w:spacing w:val="-5"/>
        </w:rPr>
        <w:t>%；</w:t>
      </w:r>
      <w:r>
        <w:rPr>
          <w:spacing w:val="-6"/>
        </w:rPr>
        <w:t>债</w:t>
      </w:r>
      <w:r>
        <w:rPr>
          <w:spacing w:val="-5"/>
        </w:rPr>
        <w:t>务还本支出0 万元,</w:t>
      </w:r>
      <w:r>
        <w:rPr>
          <w:spacing w:val="-90"/>
        </w:rPr>
        <w:t xml:space="preserve"> </w:t>
      </w:r>
      <w:r>
        <w:rPr>
          <w:spacing w:val="-5"/>
        </w:rPr>
        <w:t>占0%；债务付息支</w:t>
      </w:r>
      <w:r>
        <w:rPr>
          <w:spacing w:val="-6"/>
        </w:rPr>
        <w:t>出0万元,</w:t>
      </w:r>
      <w:r>
        <w:rPr>
          <w:spacing w:val="-88"/>
        </w:rPr>
        <w:t xml:space="preserve"> </w:t>
      </w:r>
      <w:r>
        <w:rPr>
          <w:spacing w:val="-6"/>
        </w:rPr>
        <w:t>占0%；债务发</w:t>
      </w:r>
      <w:r>
        <w:rPr>
          <w:spacing w:val="-8"/>
        </w:rPr>
        <w:t>行费</w:t>
      </w:r>
      <w:r>
        <w:rPr>
          <w:rFonts w:hint="eastAsia"/>
          <w:spacing w:val="-8"/>
          <w:lang w:val="en-US" w:eastAsia="zh-CN"/>
        </w:rPr>
        <w:t>用</w:t>
      </w:r>
      <w:r>
        <w:rPr>
          <w:spacing w:val="-8"/>
        </w:rPr>
        <w:t>支出0万元,</w:t>
      </w:r>
      <w:r>
        <w:rPr>
          <w:spacing w:val="-88"/>
        </w:rPr>
        <w:t xml:space="preserve"> </w:t>
      </w:r>
      <w:r>
        <w:rPr>
          <w:spacing w:val="-8"/>
        </w:rPr>
        <w:t>占</w:t>
      </w:r>
      <w:r>
        <w:rPr>
          <w:spacing w:val="-41"/>
        </w:rPr>
        <w:t xml:space="preserve"> </w:t>
      </w:r>
      <w:r>
        <w:rPr>
          <w:spacing w:val="-8"/>
        </w:rPr>
        <w:t>0%</w:t>
      </w:r>
      <w:r>
        <w:rPr>
          <w:rFonts w:hint="eastAsia"/>
          <w:spacing w:val="-8"/>
          <w:lang w:eastAsia="zh-CN"/>
        </w:rPr>
        <w:t>；</w:t>
      </w:r>
      <w:r>
        <w:rPr>
          <w:rFonts w:hint="eastAsia"/>
          <w:spacing w:val="-8"/>
          <w:lang w:val="en-US" w:eastAsia="zh-CN"/>
        </w:rPr>
        <w:t>抗疫特别国债安排的支出0万元，占0%。</w:t>
      </w:r>
    </w:p>
    <w:p w14:paraId="2DAD35EB">
      <w:pPr>
        <w:keepNext w:val="0"/>
        <w:keepLines w:val="0"/>
        <w:pageBreakBefore w:val="0"/>
        <w:widowControl/>
        <w:kinsoku w:val="0"/>
        <w:wordWrap/>
        <w:overflowPunct/>
        <w:topLinePunct w:val="0"/>
        <w:autoSpaceDE w:val="0"/>
        <w:autoSpaceDN w:val="0"/>
        <w:bidi w:val="0"/>
        <w:adjustRightInd w:val="0"/>
        <w:snapToGrid w:val="0"/>
        <w:spacing w:line="360" w:lineRule="auto"/>
        <w:ind w:left="796"/>
        <w:textAlignment w:val="baseline"/>
        <w:rPr>
          <w:rFonts w:ascii="KaiTi_GB2312" w:hAnsi="KaiTi_GB2312" w:eastAsia="KaiTi_GB2312" w:cs="KaiTi_GB2312"/>
          <w:sz w:val="31"/>
          <w:szCs w:val="31"/>
        </w:rPr>
      </w:pPr>
      <w:r>
        <w:rPr>
          <w:rFonts w:ascii="KaiTi_GB2312" w:hAnsi="KaiTi_GB2312" w:eastAsia="KaiTi_GB2312" w:cs="KaiTi_GB2312"/>
          <w:spacing w:val="6"/>
          <w:sz w:val="31"/>
          <w:szCs w:val="31"/>
        </w:rPr>
        <w:t>（三）一般公共预算当年拨款具体使用情况。</w:t>
      </w:r>
    </w:p>
    <w:p w14:paraId="1663CB8E">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172" w:right="66" w:firstLine="656"/>
        <w:textAlignment w:val="baseline"/>
      </w:pPr>
      <w:r>
        <w:rPr>
          <w:spacing w:val="2"/>
        </w:rPr>
        <w:t>1.一般公共服务（类）财政事务（款）行政运行（项）:202</w:t>
      </w:r>
      <w:r>
        <w:rPr>
          <w:rFonts w:hint="eastAsia"/>
          <w:spacing w:val="2"/>
          <w:lang w:val="en-US" w:eastAsia="zh-CN"/>
        </w:rPr>
        <w:t>6</w:t>
      </w:r>
      <w:r>
        <w:rPr>
          <w:spacing w:val="6"/>
        </w:rPr>
        <w:t>年预算数为</w:t>
      </w:r>
      <w:r>
        <w:rPr>
          <w:rFonts w:hint="eastAsia"/>
          <w:spacing w:val="-38"/>
          <w:lang w:val="en-US" w:eastAsia="zh-CN"/>
        </w:rPr>
        <w:t>0</w:t>
      </w:r>
      <w:r>
        <w:rPr>
          <w:spacing w:val="6"/>
        </w:rPr>
        <w:t>万元，主要用于：机关及参公管理事业单位</w:t>
      </w:r>
      <w:r>
        <w:rPr>
          <w:spacing w:val="9"/>
        </w:rPr>
        <w:t>正常运转的基本支出，包括基本工资、津贴补贴等人员经费以及</w:t>
      </w:r>
      <w:r>
        <w:rPr>
          <w:spacing w:val="8"/>
        </w:rPr>
        <w:t>办公费、印刷费、水电费等日常公用经费。</w:t>
      </w:r>
    </w:p>
    <w:p w14:paraId="0353CF66">
      <w:pPr>
        <w:pStyle w:val="2"/>
        <w:keepNext w:val="0"/>
        <w:keepLines w:val="0"/>
        <w:pageBreakBefore w:val="0"/>
        <w:widowControl/>
        <w:kinsoku w:val="0"/>
        <w:wordWrap/>
        <w:overflowPunct/>
        <w:topLinePunct w:val="0"/>
        <w:autoSpaceDE w:val="0"/>
        <w:autoSpaceDN w:val="0"/>
        <w:bidi w:val="0"/>
        <w:adjustRightInd w:val="0"/>
        <w:snapToGrid w:val="0"/>
        <w:spacing w:line="360" w:lineRule="auto"/>
        <w:ind w:right="74" w:firstLine="821"/>
        <w:textAlignment w:val="baseline"/>
      </w:pPr>
      <w:r>
        <w:rPr>
          <w:spacing w:val="18"/>
        </w:rPr>
        <w:t>2.一般公共服务（类）财政事务（款）一般行政管</w:t>
      </w:r>
      <w:r>
        <w:rPr>
          <w:spacing w:val="17"/>
        </w:rPr>
        <w:t>理事务</w:t>
      </w:r>
      <w:r>
        <w:rPr>
          <w:spacing w:val="3"/>
        </w:rPr>
        <w:t>（项）:202</w:t>
      </w:r>
      <w:r>
        <w:rPr>
          <w:rFonts w:hint="eastAsia"/>
          <w:spacing w:val="3"/>
          <w:lang w:val="en-US" w:eastAsia="zh-CN"/>
        </w:rPr>
        <w:t>6</w:t>
      </w:r>
      <w:r>
        <w:rPr>
          <w:spacing w:val="3"/>
        </w:rPr>
        <w:t>年预算数为0万元，主要用于：机关及参公管理事业</w:t>
      </w:r>
      <w:r>
        <w:rPr>
          <w:spacing w:val="15"/>
        </w:rPr>
        <w:t>单位开展财政综合业务、预决算编审等未单独设置项级科目的专</w:t>
      </w:r>
      <w:r>
        <w:rPr>
          <w:spacing w:val="16"/>
        </w:rPr>
        <w:t>门性财政管理工作的项目支出。</w:t>
      </w:r>
    </w:p>
    <w:p w14:paraId="1FCF5CE9">
      <w:pPr>
        <w:pStyle w:val="2"/>
        <w:keepNext w:val="0"/>
        <w:keepLines w:val="0"/>
        <w:pageBreakBefore w:val="0"/>
        <w:widowControl/>
        <w:kinsoku w:val="0"/>
        <w:wordWrap/>
        <w:overflowPunct/>
        <w:topLinePunct w:val="0"/>
        <w:autoSpaceDE w:val="0"/>
        <w:autoSpaceDN w:val="0"/>
        <w:bidi w:val="0"/>
        <w:adjustRightInd w:val="0"/>
        <w:snapToGrid w:val="0"/>
        <w:spacing w:line="360" w:lineRule="auto"/>
        <w:ind w:right="74" w:firstLine="834"/>
        <w:textAlignment w:val="baseline"/>
      </w:pPr>
      <w:r>
        <w:rPr>
          <w:spacing w:val="20"/>
        </w:rPr>
        <w:t>3.一般公共服务（类）财政事务（款）其他财政事务支出</w:t>
      </w:r>
      <w:r>
        <w:rPr>
          <w:spacing w:val="3"/>
        </w:rPr>
        <w:t>（项）:202</w:t>
      </w:r>
      <w:r>
        <w:rPr>
          <w:rFonts w:hint="eastAsia"/>
          <w:spacing w:val="3"/>
          <w:lang w:val="en-US" w:eastAsia="zh-CN"/>
        </w:rPr>
        <w:t>6</w:t>
      </w:r>
      <w:r>
        <w:rPr>
          <w:spacing w:val="3"/>
        </w:rPr>
        <w:t>年预算数为</w:t>
      </w:r>
      <w:r>
        <w:rPr>
          <w:spacing w:val="-40"/>
        </w:rPr>
        <w:t xml:space="preserve"> </w:t>
      </w:r>
      <w:r>
        <w:rPr>
          <w:spacing w:val="3"/>
        </w:rPr>
        <w:t>0</w:t>
      </w:r>
      <w:r>
        <w:rPr>
          <w:spacing w:val="-43"/>
        </w:rPr>
        <w:t xml:space="preserve"> </w:t>
      </w:r>
      <w:r>
        <w:rPr>
          <w:spacing w:val="3"/>
        </w:rPr>
        <w:t>万元，主要用于：开展其他财政事务方</w:t>
      </w:r>
      <w:r>
        <w:rPr>
          <w:spacing w:val="16"/>
        </w:rPr>
        <w:t>面专门性工作任务的项目支出。</w:t>
      </w:r>
    </w:p>
    <w:p w14:paraId="6E027C1E">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169" w:right="73" w:firstLine="650"/>
        <w:textAlignment w:val="baseline"/>
      </w:pPr>
      <w:r>
        <w:rPr>
          <w:spacing w:val="8"/>
        </w:rPr>
        <w:t>4.社会保障和就业（类）行政事业单位离退休（款）未归口</w:t>
      </w:r>
      <w:r>
        <w:t>管理的行政单位离退休（项）</w:t>
      </w:r>
      <w:r>
        <w:rPr>
          <w:spacing w:val="-18"/>
        </w:rPr>
        <w:t xml:space="preserve"> </w:t>
      </w:r>
      <w:r>
        <w:t>:202</w:t>
      </w:r>
      <w:r>
        <w:rPr>
          <w:rFonts w:hint="eastAsia"/>
          <w:lang w:val="en-US" w:eastAsia="zh-CN"/>
        </w:rPr>
        <w:t>6</w:t>
      </w:r>
      <w:r>
        <w:t>年预算数为 0 万元，主要用</w:t>
      </w:r>
    </w:p>
    <w:p w14:paraId="2CD60657">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sectPr>
          <w:footerReference r:id="rId7" w:type="default"/>
          <w:pgSz w:w="11907" w:h="16839"/>
          <w:pgMar w:top="1431" w:right="1403" w:bottom="1456" w:left="1317" w:header="0" w:footer="1091" w:gutter="0"/>
          <w:cols w:space="720" w:num="1"/>
        </w:sectPr>
      </w:pPr>
    </w:p>
    <w:p w14:paraId="6E48DDC3">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ascii="Arial"/>
          <w:sz w:val="21"/>
        </w:rPr>
      </w:pPr>
    </w:p>
    <w:p w14:paraId="35EBF4CB">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ascii="Arial"/>
          <w:sz w:val="21"/>
        </w:rPr>
      </w:pPr>
    </w:p>
    <w:p w14:paraId="210F39C3">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183"/>
        <w:textAlignment w:val="baseline"/>
      </w:pPr>
      <w:r>
        <w:rPr>
          <w:spacing w:val="3"/>
        </w:rPr>
        <w:t>于：保障离退休人员经费支出。</w:t>
      </w:r>
    </w:p>
    <w:p w14:paraId="3E010227">
      <w:pPr>
        <w:pStyle w:val="2"/>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leftChars="0" w:right="0" w:rightChars="0"/>
        <w:textAlignment w:val="baseline"/>
        <w:rPr>
          <w:rFonts w:hint="eastAsia"/>
        </w:rPr>
      </w:pPr>
      <w:r>
        <w:rPr>
          <w:rFonts w:hint="eastAsia"/>
          <w:lang w:val="en-US" w:eastAsia="zh-CN"/>
        </w:rPr>
        <w:t xml:space="preserve">    </w:t>
      </w:r>
      <w:r>
        <w:rPr>
          <w:rFonts w:hint="eastAsia"/>
          <w:spacing w:val="8"/>
          <w:lang w:val="en-US" w:eastAsia="zh-CN"/>
        </w:rPr>
        <w:t>5.</w:t>
      </w:r>
      <w:r>
        <w:rPr>
          <w:rFonts w:hint="eastAsia"/>
          <w:spacing w:val="8"/>
        </w:rPr>
        <w:t>教育支出（类）普通教育（款）初中教育（项）:</w:t>
      </w:r>
      <w:r>
        <w:rPr>
          <w:rFonts w:hint="eastAsia"/>
          <w:spacing w:val="8"/>
          <w:lang w:eastAsia="zh-CN"/>
        </w:rPr>
        <w:t>202</w:t>
      </w:r>
      <w:r>
        <w:rPr>
          <w:rFonts w:hint="eastAsia"/>
          <w:spacing w:val="8"/>
          <w:lang w:val="en-US" w:eastAsia="zh-CN"/>
        </w:rPr>
        <w:t>6</w:t>
      </w:r>
      <w:r>
        <w:rPr>
          <w:rFonts w:hint="eastAsia"/>
          <w:spacing w:val="8"/>
          <w:lang w:eastAsia="zh-CN"/>
        </w:rPr>
        <w:t>年</w:t>
      </w:r>
      <w:r>
        <w:rPr>
          <w:rFonts w:hint="eastAsia"/>
          <w:spacing w:val="8"/>
        </w:rPr>
        <w:t>预算数为</w:t>
      </w:r>
      <w:r>
        <w:rPr>
          <w:rFonts w:hint="eastAsia"/>
          <w:spacing w:val="8"/>
          <w:lang w:val="en-US" w:eastAsia="zh-CN"/>
        </w:rPr>
        <w:t>2667.36</w:t>
      </w:r>
      <w:r>
        <w:rPr>
          <w:rFonts w:hint="eastAsia"/>
          <w:spacing w:val="8"/>
        </w:rPr>
        <w:t>万元，主要用于：事业单位正常运转的基本支出，包括基本工资、津贴补贴等人员经费以及办公费、印刷费、水电费等日常公用经费。</w:t>
      </w:r>
    </w:p>
    <w:p w14:paraId="3EF02D2E">
      <w:pPr>
        <w:pStyle w:val="2"/>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right="4" w:rightChars="0" w:firstLine="652" w:firstLineChars="200"/>
        <w:textAlignment w:val="baseline"/>
        <w:rPr>
          <w:rFonts w:hint="default" w:eastAsia="FangSong_GB2312"/>
          <w:spacing w:val="8"/>
          <w:lang w:val="en-US" w:eastAsia="zh-CN"/>
        </w:rPr>
      </w:pPr>
      <w:r>
        <w:rPr>
          <w:rFonts w:hint="eastAsia"/>
          <w:spacing w:val="8"/>
          <w:lang w:val="en-US" w:eastAsia="zh-CN"/>
        </w:rPr>
        <w:t>6.教育支出（类）教育费附加安排的支出（款）农村中小学教学设施（项）：2026年预算数为101万元，主要用于：农村中小学设备设施购置。</w:t>
      </w:r>
    </w:p>
    <w:p w14:paraId="3AB38AAE">
      <w:pPr>
        <w:pStyle w:val="2"/>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right="4" w:rightChars="0" w:firstLine="652" w:firstLineChars="200"/>
        <w:textAlignment w:val="baseline"/>
      </w:pPr>
      <w:r>
        <w:rPr>
          <w:rFonts w:hint="eastAsia"/>
          <w:spacing w:val="8"/>
          <w:lang w:val="en-US" w:eastAsia="zh-CN"/>
        </w:rPr>
        <w:t>7.</w:t>
      </w:r>
      <w:r>
        <w:rPr>
          <w:spacing w:val="8"/>
        </w:rPr>
        <w:t>社会保障和就业（类）行政事业单位离退休（款）机关事</w:t>
      </w:r>
      <w:r>
        <w:rPr>
          <w:spacing w:val="1"/>
        </w:rPr>
        <w:t>业单位基本养老保险缴费支出（项）</w:t>
      </w:r>
      <w:r>
        <w:rPr>
          <w:spacing w:val="-66"/>
        </w:rPr>
        <w:t xml:space="preserve"> </w:t>
      </w:r>
      <w:r>
        <w:rPr>
          <w:spacing w:val="1"/>
        </w:rPr>
        <w:t>:202</w:t>
      </w:r>
      <w:r>
        <w:rPr>
          <w:rFonts w:hint="eastAsia"/>
          <w:spacing w:val="1"/>
          <w:lang w:val="en-US" w:eastAsia="zh-CN"/>
        </w:rPr>
        <w:t>6</w:t>
      </w:r>
      <w:r>
        <w:rPr>
          <w:spacing w:val="1"/>
        </w:rPr>
        <w:t>年预算</w:t>
      </w:r>
      <w:r>
        <w:t>数为</w:t>
      </w:r>
      <w:r>
        <w:rPr>
          <w:rFonts w:hint="eastAsia"/>
          <w:spacing w:val="1"/>
          <w:lang w:val="en-US" w:eastAsia="zh-CN"/>
        </w:rPr>
        <w:t>325.27</w:t>
      </w:r>
      <w:r>
        <w:rPr>
          <w:spacing w:val="1"/>
        </w:rPr>
        <w:t>万</w:t>
      </w:r>
      <w:r>
        <w:rPr>
          <w:spacing w:val="9"/>
        </w:rPr>
        <w:t>元，主要用于：实施养老保险制度后，部门按规定由单位缴纳的</w:t>
      </w:r>
      <w:r>
        <w:rPr>
          <w:spacing w:val="3"/>
        </w:rPr>
        <w:t>基本养老保险费支出。</w:t>
      </w:r>
    </w:p>
    <w:p w14:paraId="737DB5F4">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172" w:firstLine="651"/>
        <w:textAlignment w:val="baseline"/>
      </w:pPr>
      <w:r>
        <w:rPr>
          <w:rFonts w:hint="eastAsia"/>
          <w:spacing w:val="8"/>
          <w:lang w:val="en-US" w:eastAsia="zh-CN"/>
        </w:rPr>
        <w:t>8</w:t>
      </w:r>
      <w:r>
        <w:rPr>
          <w:spacing w:val="8"/>
        </w:rPr>
        <w:t>.社会保障和就业（类）行政事业单位离退休（款）机关事</w:t>
      </w:r>
      <w:r>
        <w:rPr>
          <w:spacing w:val="3"/>
        </w:rPr>
        <w:t>业单位职业年金缴费支出（项）:202</w:t>
      </w:r>
      <w:r>
        <w:rPr>
          <w:rFonts w:hint="eastAsia"/>
          <w:spacing w:val="3"/>
          <w:lang w:val="en-US" w:eastAsia="zh-CN"/>
        </w:rPr>
        <w:t>6</w:t>
      </w:r>
      <w:r>
        <w:rPr>
          <w:spacing w:val="3"/>
        </w:rPr>
        <w:t>年预算数为</w:t>
      </w:r>
      <w:r>
        <w:rPr>
          <w:rFonts w:hint="eastAsia"/>
          <w:spacing w:val="3"/>
          <w:lang w:val="en-US" w:eastAsia="zh-CN"/>
        </w:rPr>
        <w:t>162.64</w:t>
      </w:r>
      <w:r>
        <w:rPr>
          <w:spacing w:val="3"/>
        </w:rPr>
        <w:t>万</w:t>
      </w:r>
      <w:r>
        <w:rPr>
          <w:spacing w:val="2"/>
        </w:rPr>
        <w:t>元，</w:t>
      </w:r>
      <w:r>
        <w:rPr>
          <w:spacing w:val="9"/>
        </w:rPr>
        <w:t>主要用于：实施养老保险制度后，部门按规定由单位缴纳的职业</w:t>
      </w:r>
      <w:r>
        <w:rPr>
          <w:spacing w:val="4"/>
        </w:rPr>
        <w:t>年金支出。</w:t>
      </w:r>
    </w:p>
    <w:p w14:paraId="6368466F">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167" w:right="5" w:firstLine="656"/>
        <w:textAlignment w:val="baseline"/>
      </w:pPr>
      <w:r>
        <w:rPr>
          <w:rFonts w:hint="eastAsia"/>
          <w:spacing w:val="7"/>
          <w:lang w:val="en-US" w:eastAsia="zh-CN"/>
        </w:rPr>
        <w:t>9</w:t>
      </w:r>
      <w:r>
        <w:rPr>
          <w:spacing w:val="7"/>
        </w:rPr>
        <w:t>.</w:t>
      </w:r>
      <w:r>
        <w:rPr>
          <w:rFonts w:hint="eastAsia"/>
          <w:spacing w:val="7"/>
          <w:lang w:val="en-US" w:eastAsia="zh-CN"/>
        </w:rPr>
        <w:t>卫生健康支出</w:t>
      </w:r>
      <w:r>
        <w:rPr>
          <w:spacing w:val="7"/>
        </w:rPr>
        <w:t>（类）行政事业单位医疗（款）行政</w:t>
      </w:r>
      <w:r>
        <w:rPr>
          <w:spacing w:val="4"/>
        </w:rPr>
        <w:t>单位医疗（项）:202</w:t>
      </w:r>
      <w:r>
        <w:rPr>
          <w:rFonts w:hint="eastAsia"/>
          <w:spacing w:val="4"/>
          <w:lang w:val="en-US" w:eastAsia="zh-CN"/>
        </w:rPr>
        <w:t>6</w:t>
      </w:r>
      <w:r>
        <w:rPr>
          <w:spacing w:val="4"/>
        </w:rPr>
        <w:t>年预算数为0万元，主要用于：机关及参</w:t>
      </w:r>
      <w:r>
        <w:rPr>
          <w:spacing w:val="5"/>
        </w:rPr>
        <w:t>公管理事业单位基本医疗保险缴费支出。</w:t>
      </w:r>
    </w:p>
    <w:p w14:paraId="5BDF34EB">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176" w:right="5" w:firstLine="648"/>
        <w:textAlignment w:val="baseline"/>
      </w:pPr>
      <w:r>
        <w:rPr>
          <w:rFonts w:hint="eastAsia"/>
          <w:spacing w:val="7"/>
          <w:lang w:val="en-US" w:eastAsia="zh-CN"/>
        </w:rPr>
        <w:t>10</w:t>
      </w:r>
      <w:r>
        <w:rPr>
          <w:spacing w:val="7"/>
        </w:rPr>
        <w:t>.</w:t>
      </w:r>
      <w:r>
        <w:rPr>
          <w:rFonts w:hint="eastAsia"/>
          <w:spacing w:val="7"/>
          <w:lang w:val="en-US" w:eastAsia="zh-CN"/>
        </w:rPr>
        <w:t>卫生健康支出</w:t>
      </w:r>
      <w:r>
        <w:rPr>
          <w:spacing w:val="7"/>
        </w:rPr>
        <w:t>（类）行政事业单位医疗（款）事业</w:t>
      </w:r>
      <w:r>
        <w:rPr>
          <w:spacing w:val="-1"/>
        </w:rPr>
        <w:t>单位医疗（项）</w:t>
      </w:r>
      <w:r>
        <w:rPr>
          <w:spacing w:val="-34"/>
        </w:rPr>
        <w:t xml:space="preserve"> </w:t>
      </w:r>
      <w:r>
        <w:rPr>
          <w:spacing w:val="-1"/>
        </w:rPr>
        <w:t>:202</w:t>
      </w:r>
      <w:r>
        <w:rPr>
          <w:rFonts w:hint="eastAsia"/>
          <w:spacing w:val="-1"/>
          <w:lang w:val="en-US" w:eastAsia="zh-CN"/>
        </w:rPr>
        <w:t>6</w:t>
      </w:r>
      <w:r>
        <w:rPr>
          <w:spacing w:val="-1"/>
        </w:rPr>
        <w:t>年预算数为</w:t>
      </w:r>
      <w:r>
        <w:rPr>
          <w:spacing w:val="-40"/>
        </w:rPr>
        <w:t xml:space="preserve"> </w:t>
      </w:r>
      <w:r>
        <w:rPr>
          <w:rFonts w:hint="eastAsia"/>
          <w:spacing w:val="-1"/>
          <w:lang w:val="en-US" w:eastAsia="zh-CN"/>
        </w:rPr>
        <w:t>134.23</w:t>
      </w:r>
      <w:r>
        <w:rPr>
          <w:spacing w:val="-44"/>
        </w:rPr>
        <w:t xml:space="preserve"> </w:t>
      </w:r>
      <w:r>
        <w:rPr>
          <w:spacing w:val="-1"/>
        </w:rPr>
        <w:t>万元，主要用于：部门</w:t>
      </w:r>
      <w:r>
        <w:rPr>
          <w:spacing w:val="5"/>
        </w:rPr>
        <w:t>下属事业单位基本医疗保险缴费支出。</w:t>
      </w:r>
    </w:p>
    <w:p w14:paraId="517A39D4">
      <w:pPr>
        <w:pStyle w:val="6"/>
        <w:keepNext w:val="0"/>
        <w:keepLines w:val="0"/>
        <w:pageBreakBefore w:val="0"/>
        <w:widowControl/>
        <w:kinsoku w:val="0"/>
        <w:wordWrap/>
        <w:overflowPunct/>
        <w:autoSpaceDE w:val="0"/>
        <w:autoSpaceDN w:val="0"/>
        <w:bidi w:val="0"/>
        <w:adjustRightInd w:val="0"/>
        <w:snapToGrid w:val="0"/>
        <w:spacing w:line="360" w:lineRule="auto"/>
        <w:ind w:left="0" w:leftChars="0" w:firstLine="640" w:firstLineChars="200"/>
        <w:textAlignment w:val="baseline"/>
        <w:rPr>
          <w:rFonts w:hint="eastAsia"/>
          <w:lang w:eastAsia="zh-CN"/>
        </w:rPr>
      </w:pPr>
      <w:r>
        <w:rPr>
          <w:rFonts w:hint="eastAsia"/>
          <w:lang w:val="en-US" w:eastAsia="zh-CN"/>
        </w:rPr>
        <w:t>11.卫生健康支出</w:t>
      </w:r>
      <w:r>
        <w:rPr>
          <w:rFonts w:hint="eastAsia" w:ascii="仿宋_GB2312" w:eastAsia="仿宋_GB2312"/>
        </w:rPr>
        <w:t>（类）行政事业单位医疗（款）</w:t>
      </w:r>
      <w:r>
        <w:rPr>
          <w:rFonts w:hint="eastAsia"/>
          <w:lang w:val="en-US" w:eastAsia="zh-CN"/>
        </w:rPr>
        <w:t>其他行政事业单位医疗支出</w:t>
      </w:r>
      <w:r>
        <w:rPr>
          <w:rFonts w:hint="eastAsia" w:ascii="仿宋_GB2312" w:eastAsia="仿宋_GB2312"/>
        </w:rPr>
        <w:t>（项）：</w:t>
      </w:r>
      <w:r>
        <w:rPr>
          <w:rFonts w:hint="eastAsia"/>
          <w:lang w:val="en-US" w:eastAsia="zh-CN"/>
        </w:rPr>
        <w:t>2026年预算数为18.78万元，主要用于：</w:t>
      </w:r>
      <w:r>
        <w:rPr>
          <w:rFonts w:hint="eastAsia" w:ascii="仿宋_GB2312" w:eastAsia="仿宋_GB2312"/>
        </w:rPr>
        <w:t>事业单位用于集中缴纳公务员医疗补助</w:t>
      </w:r>
      <w:r>
        <w:rPr>
          <w:rFonts w:hint="eastAsia"/>
          <w:lang w:eastAsia="zh-CN"/>
        </w:rPr>
        <w:t>、</w:t>
      </w:r>
      <w:r>
        <w:rPr>
          <w:rFonts w:hint="eastAsia"/>
          <w:lang w:val="en-US" w:eastAsia="zh-CN"/>
        </w:rPr>
        <w:t>补充医疗保险</w:t>
      </w:r>
      <w:r>
        <w:rPr>
          <w:rFonts w:hint="eastAsia" w:ascii="仿宋_GB2312" w:eastAsia="仿宋_GB2312"/>
        </w:rPr>
        <w:t>支出</w:t>
      </w:r>
      <w:r>
        <w:rPr>
          <w:rFonts w:hint="eastAsia"/>
          <w:lang w:eastAsia="zh-CN"/>
        </w:rPr>
        <w:t>。</w:t>
      </w:r>
    </w:p>
    <w:p w14:paraId="65B02ACD">
      <w:pPr>
        <w:pStyle w:val="2"/>
        <w:keepNext w:val="0"/>
        <w:keepLines w:val="0"/>
        <w:pageBreakBefore w:val="0"/>
        <w:widowControl/>
        <w:kinsoku w:val="0"/>
        <w:wordWrap/>
        <w:overflowPunct/>
        <w:topLinePunct w:val="0"/>
        <w:autoSpaceDE w:val="0"/>
        <w:autoSpaceDN w:val="0"/>
        <w:bidi w:val="0"/>
        <w:adjustRightInd w:val="0"/>
        <w:snapToGrid w:val="0"/>
        <w:spacing w:line="360" w:lineRule="auto"/>
        <w:ind w:firstLine="588" w:firstLineChars="200"/>
        <w:textAlignment w:val="baseline"/>
      </w:pPr>
      <w:r>
        <w:rPr>
          <w:rFonts w:hint="eastAsia"/>
          <w:spacing w:val="-8"/>
          <w:lang w:val="en-US" w:eastAsia="zh-CN"/>
        </w:rPr>
        <w:t>12</w:t>
      </w:r>
      <w:r>
        <w:rPr>
          <w:spacing w:val="-8"/>
        </w:rPr>
        <w:t>.住房保障（类）住房改革支出（款）住房公积金（项）:202</w:t>
      </w:r>
      <w:r>
        <w:rPr>
          <w:rFonts w:hint="eastAsia"/>
          <w:spacing w:val="-8"/>
          <w:lang w:val="en-US" w:eastAsia="zh-CN"/>
        </w:rPr>
        <w:t>6</w:t>
      </w:r>
      <w:r>
        <w:rPr>
          <w:spacing w:val="8"/>
        </w:rPr>
        <w:t>年预算数为</w:t>
      </w:r>
      <w:r>
        <w:rPr>
          <w:rFonts w:hint="eastAsia"/>
          <w:spacing w:val="8"/>
          <w:lang w:val="en-US" w:eastAsia="zh-CN"/>
        </w:rPr>
        <w:t>283.73</w:t>
      </w:r>
      <w:r>
        <w:rPr>
          <w:spacing w:val="8"/>
        </w:rPr>
        <w:t>万元，主要用于：部门按人力资源和社会保</w:t>
      </w:r>
      <w:r>
        <w:rPr>
          <w:spacing w:val="9"/>
        </w:rPr>
        <w:t>障部、财政部规定的基本工资和津贴补贴以及规定比例为职工缴</w:t>
      </w:r>
      <w:r>
        <w:rPr>
          <w:spacing w:val="2"/>
        </w:rPr>
        <w:t>纳的住房公积金支出。</w:t>
      </w:r>
    </w:p>
    <w:p w14:paraId="73D9B157">
      <w:pPr>
        <w:pStyle w:val="2"/>
        <w:keepNext w:val="0"/>
        <w:keepLines w:val="0"/>
        <w:pageBreakBefore w:val="0"/>
        <w:widowControl/>
        <w:kinsoku w:val="0"/>
        <w:wordWrap/>
        <w:overflowPunct/>
        <w:topLinePunct w:val="0"/>
        <w:autoSpaceDE w:val="0"/>
        <w:autoSpaceDN w:val="0"/>
        <w:bidi w:val="0"/>
        <w:adjustRightInd w:val="0"/>
        <w:snapToGrid w:val="0"/>
        <w:spacing w:line="360" w:lineRule="auto"/>
        <w:ind w:firstLine="652" w:firstLineChars="200"/>
        <w:textAlignment w:val="baseline"/>
        <w:rPr>
          <w:rFonts w:ascii="黑体" w:hAnsi="黑体" w:eastAsia="黑体" w:cs="黑体"/>
          <w:sz w:val="31"/>
          <w:szCs w:val="31"/>
        </w:rPr>
      </w:pPr>
      <w:r>
        <w:rPr>
          <w:rFonts w:ascii="黑体" w:hAnsi="黑体" w:eastAsia="黑体" w:cs="黑体"/>
          <w:spacing w:val="8"/>
          <w:sz w:val="31"/>
          <w:szCs w:val="31"/>
        </w:rPr>
        <w:t>六.一般公共预算基本支出情况说明</w:t>
      </w:r>
    </w:p>
    <w:p w14:paraId="366BBD8D">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15" w:right="93" w:firstLine="665"/>
        <w:textAlignment w:val="baseline"/>
      </w:pPr>
      <w:r>
        <w:rPr>
          <w:spacing w:val="29"/>
        </w:rPr>
        <w:t>四川省井研县研城中学</w:t>
      </w:r>
      <w:r>
        <w:rPr>
          <w:rFonts w:hint="eastAsia"/>
          <w:spacing w:val="74"/>
          <w:lang w:val="en-US" w:eastAsia="zh-CN"/>
        </w:rPr>
        <w:t>2026</w:t>
      </w:r>
      <w:r>
        <w:rPr>
          <w:spacing w:val="29"/>
        </w:rPr>
        <w:t>年一般公共预算基本支出</w:t>
      </w:r>
      <w:r>
        <w:rPr>
          <w:rFonts w:hint="eastAsia"/>
          <w:spacing w:val="-4"/>
          <w:lang w:val="en-US" w:eastAsia="zh-CN"/>
        </w:rPr>
        <w:t>3088.25</w:t>
      </w:r>
      <w:r>
        <w:rPr>
          <w:spacing w:val="-4"/>
        </w:rPr>
        <w:t>万元，其中：</w:t>
      </w:r>
    </w:p>
    <w:p w14:paraId="2BB7EE0D">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2" w:right="100" w:firstLine="643"/>
        <w:textAlignment w:val="baseline"/>
      </w:pPr>
      <w:r>
        <w:rPr>
          <w:spacing w:val="6"/>
        </w:rPr>
        <w:t>人员经费</w:t>
      </w:r>
      <w:r>
        <w:rPr>
          <w:spacing w:val="-50"/>
        </w:rPr>
        <w:t xml:space="preserve"> </w:t>
      </w:r>
      <w:r>
        <w:rPr>
          <w:rFonts w:hint="eastAsia"/>
          <w:spacing w:val="6"/>
          <w:lang w:val="en-US" w:eastAsia="zh-CN"/>
        </w:rPr>
        <w:t>3030.96</w:t>
      </w:r>
      <w:r>
        <w:rPr>
          <w:spacing w:val="6"/>
        </w:rPr>
        <w:t>万元，主要包括：基本工资、</w:t>
      </w:r>
      <w:r>
        <w:rPr>
          <w:spacing w:val="5"/>
        </w:rPr>
        <w:t>津贴补贴、</w:t>
      </w:r>
      <w:r>
        <w:rPr>
          <w:spacing w:val="9"/>
        </w:rPr>
        <w:t>绩效工资、</w:t>
      </w:r>
      <w:r>
        <w:rPr>
          <w:rFonts w:hint="eastAsia"/>
          <w:spacing w:val="9"/>
          <w:lang w:val="en-US" w:eastAsia="zh-CN"/>
        </w:rPr>
        <w:t>伙食补助费、</w:t>
      </w:r>
      <w:r>
        <w:rPr>
          <w:spacing w:val="9"/>
        </w:rPr>
        <w:t>机关事业单位基本养老保险缴费、职业年金缴费、</w:t>
      </w:r>
      <w:r>
        <w:rPr>
          <w:rFonts w:hint="eastAsia"/>
          <w:spacing w:val="9"/>
          <w:lang w:val="en-US" w:eastAsia="zh-CN"/>
        </w:rPr>
        <w:t>职工基本医疗保险缴费、其他社会保障缴费</w:t>
      </w:r>
      <w:r>
        <w:rPr>
          <w:spacing w:val="9"/>
        </w:rPr>
        <w:t>、住房公积</w:t>
      </w:r>
      <w:r>
        <w:rPr>
          <w:spacing w:val="8"/>
        </w:rPr>
        <w:t>金、</w:t>
      </w:r>
      <w:r>
        <w:rPr>
          <w:spacing w:val="4"/>
        </w:rPr>
        <w:t>对个人和家庭的补助支出。</w:t>
      </w:r>
    </w:p>
    <w:p w14:paraId="64CF7D8F">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1" w:firstLine="640"/>
        <w:jc w:val="both"/>
        <w:textAlignment w:val="baseline"/>
      </w:pPr>
      <w:r>
        <w:rPr>
          <w:spacing w:val="-1"/>
        </w:rPr>
        <w:t>公用经费</w:t>
      </w:r>
      <w:r>
        <w:rPr>
          <w:spacing w:val="-46"/>
        </w:rPr>
        <w:t xml:space="preserve"> </w:t>
      </w:r>
      <w:r>
        <w:rPr>
          <w:spacing w:val="-1"/>
        </w:rPr>
        <w:t>5</w:t>
      </w:r>
      <w:r>
        <w:rPr>
          <w:rFonts w:hint="eastAsia"/>
          <w:spacing w:val="-1"/>
          <w:lang w:val="en-US" w:eastAsia="zh-CN"/>
        </w:rPr>
        <w:t>7</w:t>
      </w:r>
      <w:r>
        <w:rPr>
          <w:spacing w:val="-1"/>
        </w:rPr>
        <w:t>.</w:t>
      </w:r>
      <w:r>
        <w:rPr>
          <w:rFonts w:hint="eastAsia"/>
          <w:spacing w:val="-1"/>
          <w:lang w:val="en-US" w:eastAsia="zh-CN"/>
        </w:rPr>
        <w:t>29</w:t>
      </w:r>
      <w:r>
        <w:rPr>
          <w:spacing w:val="-47"/>
        </w:rPr>
        <w:t xml:space="preserve"> </w:t>
      </w:r>
      <w:r>
        <w:rPr>
          <w:spacing w:val="-1"/>
        </w:rPr>
        <w:t>万元，主要包括：</w:t>
      </w:r>
      <w:r>
        <w:rPr>
          <w:spacing w:val="1"/>
        </w:rPr>
        <w:t>工会经费、</w:t>
      </w:r>
      <w:r>
        <w:rPr>
          <w:rFonts w:hint="eastAsia"/>
          <w:spacing w:val="1"/>
          <w:lang w:val="en-US" w:eastAsia="zh-CN"/>
        </w:rPr>
        <w:t>残疾人就业保障金</w:t>
      </w:r>
      <w:r>
        <w:rPr>
          <w:spacing w:val="1"/>
        </w:rPr>
        <w:t>。</w:t>
      </w:r>
    </w:p>
    <w:p w14:paraId="112490F7">
      <w:pPr>
        <w:keepNext w:val="0"/>
        <w:keepLines w:val="0"/>
        <w:pageBreakBefore w:val="0"/>
        <w:widowControl/>
        <w:kinsoku w:val="0"/>
        <w:wordWrap/>
        <w:overflowPunct/>
        <w:topLinePunct w:val="0"/>
        <w:autoSpaceDE w:val="0"/>
        <w:autoSpaceDN w:val="0"/>
        <w:bidi w:val="0"/>
        <w:adjustRightInd w:val="0"/>
        <w:snapToGrid w:val="0"/>
        <w:spacing w:line="360" w:lineRule="auto"/>
        <w:ind w:left="637"/>
        <w:textAlignment w:val="baseline"/>
        <w:outlineLvl w:val="2"/>
        <w:rPr>
          <w:rFonts w:ascii="黑体" w:hAnsi="黑体" w:eastAsia="黑体" w:cs="黑体"/>
          <w:sz w:val="31"/>
          <w:szCs w:val="31"/>
        </w:rPr>
      </w:pPr>
      <w:r>
        <w:rPr>
          <w:rFonts w:ascii="黑体" w:hAnsi="黑体" w:eastAsia="黑体" w:cs="黑体"/>
          <w:spacing w:val="9"/>
          <w:sz w:val="31"/>
          <w:szCs w:val="31"/>
        </w:rPr>
        <w:t>七.政府性基金预算支出规模及变化情况说明</w:t>
      </w:r>
    </w:p>
    <w:p w14:paraId="30C3BEF7">
      <w:pPr>
        <w:pStyle w:val="2"/>
        <w:keepNext w:val="0"/>
        <w:keepLines w:val="0"/>
        <w:pageBreakBefore w:val="0"/>
        <w:widowControl/>
        <w:kinsoku w:val="0"/>
        <w:wordWrap/>
        <w:overflowPunct/>
        <w:topLinePunct w:val="0"/>
        <w:autoSpaceDE w:val="0"/>
        <w:autoSpaceDN w:val="0"/>
        <w:bidi w:val="0"/>
        <w:adjustRightInd w:val="0"/>
        <w:snapToGrid w:val="0"/>
        <w:spacing w:line="360" w:lineRule="auto"/>
        <w:ind w:right="27" w:firstLine="648" w:firstLineChars="200"/>
        <w:jc w:val="both"/>
        <w:textAlignment w:val="baseline"/>
      </w:pPr>
      <w:r>
        <w:rPr>
          <w:spacing w:val="7"/>
        </w:rPr>
        <w:t>202</w:t>
      </w:r>
      <w:r>
        <w:rPr>
          <w:rFonts w:hint="eastAsia"/>
          <w:spacing w:val="7"/>
          <w:lang w:val="en-US" w:eastAsia="zh-CN"/>
        </w:rPr>
        <w:t>6</w:t>
      </w:r>
      <w:r>
        <w:rPr>
          <w:spacing w:val="7"/>
        </w:rPr>
        <w:t>年，四川省井研县研城中学政府性基金预算</w:t>
      </w:r>
      <w:r>
        <w:rPr>
          <w:rFonts w:hint="eastAsia"/>
          <w:spacing w:val="7"/>
          <w:lang w:val="en-US" w:eastAsia="zh-CN"/>
        </w:rPr>
        <w:t>2万元</w:t>
      </w:r>
      <w:r>
        <w:rPr>
          <w:spacing w:val="7"/>
        </w:rPr>
        <w:t>。</w:t>
      </w:r>
    </w:p>
    <w:p w14:paraId="26F4FDE2">
      <w:pPr>
        <w:keepNext w:val="0"/>
        <w:keepLines w:val="0"/>
        <w:pageBreakBefore w:val="0"/>
        <w:widowControl/>
        <w:kinsoku w:val="0"/>
        <w:wordWrap/>
        <w:overflowPunct/>
        <w:topLinePunct w:val="0"/>
        <w:autoSpaceDE w:val="0"/>
        <w:autoSpaceDN w:val="0"/>
        <w:bidi w:val="0"/>
        <w:adjustRightInd w:val="0"/>
        <w:snapToGrid w:val="0"/>
        <w:spacing w:line="360" w:lineRule="auto"/>
        <w:ind w:left="638"/>
        <w:textAlignment w:val="baseline"/>
        <w:outlineLvl w:val="2"/>
        <w:rPr>
          <w:rFonts w:ascii="黑体" w:hAnsi="黑体" w:eastAsia="黑体" w:cs="黑体"/>
          <w:sz w:val="31"/>
          <w:szCs w:val="31"/>
        </w:rPr>
      </w:pPr>
      <w:r>
        <w:rPr>
          <w:rFonts w:ascii="黑体" w:hAnsi="黑体" w:eastAsia="黑体" w:cs="黑体"/>
          <w:spacing w:val="8"/>
          <w:sz w:val="31"/>
          <w:szCs w:val="31"/>
        </w:rPr>
        <w:t>八.国有资本经营预算支出情况说明</w:t>
      </w:r>
    </w:p>
    <w:p w14:paraId="67F7DE2E">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698"/>
        <w:textAlignment w:val="baseline"/>
      </w:pPr>
      <w:r>
        <w:rPr>
          <w:rFonts w:hint="eastAsia"/>
          <w:spacing w:val="-19"/>
          <w:lang w:val="en-US" w:eastAsia="zh-CN"/>
        </w:rPr>
        <w:t>2026年，四川省井研县研城中学无国有资本经营预算支出</w:t>
      </w:r>
      <w:r>
        <w:rPr>
          <w:spacing w:val="-19"/>
        </w:rPr>
        <w:t>。</w:t>
      </w:r>
    </w:p>
    <w:p w14:paraId="1921C192">
      <w:pPr>
        <w:keepNext w:val="0"/>
        <w:keepLines w:val="0"/>
        <w:pageBreakBefore w:val="0"/>
        <w:widowControl/>
        <w:kinsoku w:val="0"/>
        <w:wordWrap/>
        <w:overflowPunct/>
        <w:topLinePunct w:val="0"/>
        <w:autoSpaceDE w:val="0"/>
        <w:autoSpaceDN w:val="0"/>
        <w:bidi w:val="0"/>
        <w:adjustRightInd w:val="0"/>
        <w:snapToGrid w:val="0"/>
        <w:spacing w:line="360" w:lineRule="auto"/>
        <w:ind w:left="646"/>
        <w:textAlignment w:val="baseline"/>
        <w:outlineLvl w:val="2"/>
        <w:rPr>
          <w:rFonts w:ascii="黑体" w:hAnsi="黑体" w:eastAsia="黑体" w:cs="黑体"/>
          <w:sz w:val="31"/>
          <w:szCs w:val="31"/>
        </w:rPr>
      </w:pPr>
      <w:r>
        <w:rPr>
          <w:rFonts w:ascii="黑体" w:hAnsi="黑体" w:eastAsia="黑体" w:cs="黑体"/>
          <w:spacing w:val="5"/>
          <w:sz w:val="31"/>
          <w:szCs w:val="31"/>
        </w:rPr>
        <w:t>九.</w:t>
      </w:r>
      <w:r>
        <w:rPr>
          <w:rFonts w:ascii="黑体" w:hAnsi="黑体" w:eastAsia="黑体" w:cs="黑体"/>
          <w:spacing w:val="-104"/>
          <w:sz w:val="31"/>
          <w:szCs w:val="31"/>
        </w:rPr>
        <w:t xml:space="preserve"> </w:t>
      </w:r>
      <w:r>
        <w:rPr>
          <w:rFonts w:ascii="黑体" w:hAnsi="黑体" w:eastAsia="黑体" w:cs="黑体"/>
          <w:spacing w:val="5"/>
          <w:sz w:val="31"/>
          <w:szCs w:val="31"/>
        </w:rPr>
        <w:t>“三公”经费预算安排情况说明</w:t>
      </w:r>
    </w:p>
    <w:p w14:paraId="2EA96260">
      <w:pPr>
        <w:pStyle w:val="2"/>
        <w:keepNext w:val="0"/>
        <w:keepLines w:val="0"/>
        <w:pageBreakBefore w:val="0"/>
        <w:widowControl/>
        <w:kinsoku w:val="0"/>
        <w:wordWrap/>
        <w:overflowPunct/>
        <w:topLinePunct w:val="0"/>
        <w:autoSpaceDE w:val="0"/>
        <w:autoSpaceDN w:val="0"/>
        <w:bidi w:val="0"/>
        <w:adjustRightInd w:val="0"/>
        <w:snapToGrid w:val="0"/>
        <w:spacing w:line="360" w:lineRule="auto"/>
        <w:ind w:right="11" w:firstLine="680"/>
        <w:jc w:val="both"/>
        <w:textAlignment w:val="baseline"/>
      </w:pPr>
      <w:r>
        <w:t>四川省井研县研城中学</w:t>
      </w:r>
      <w:r>
        <w:rPr>
          <w:spacing w:val="-32"/>
        </w:rPr>
        <w:t xml:space="preserve"> </w:t>
      </w:r>
      <w:r>
        <w:t>202</w:t>
      </w:r>
      <w:r>
        <w:rPr>
          <w:rFonts w:hint="eastAsia"/>
          <w:lang w:val="en-US" w:eastAsia="zh-CN"/>
        </w:rPr>
        <w:t>6</w:t>
      </w:r>
      <w:r>
        <w:rPr>
          <w:spacing w:val="-59"/>
        </w:rPr>
        <w:t xml:space="preserve"> </w:t>
      </w:r>
      <w:r>
        <w:t>年“三公”经费预算数</w:t>
      </w:r>
      <w:r>
        <w:rPr>
          <w:spacing w:val="-40"/>
        </w:rPr>
        <w:t xml:space="preserve"> </w:t>
      </w:r>
      <w:r>
        <w:t>0</w:t>
      </w:r>
      <w:r>
        <w:rPr>
          <w:spacing w:val="-44"/>
        </w:rPr>
        <w:t xml:space="preserve"> </w:t>
      </w:r>
      <w:r>
        <w:t>万元，</w:t>
      </w:r>
      <w:r>
        <w:rPr>
          <w:rFonts w:hint="eastAsia"/>
          <w:spacing w:val="6"/>
          <w:lang w:val="en-US" w:eastAsia="zh-CN"/>
        </w:rPr>
        <w:t>与</w:t>
      </w:r>
      <w:r>
        <w:rPr>
          <w:spacing w:val="6"/>
        </w:rPr>
        <w:t>上年“三公”经费预算数</w:t>
      </w:r>
      <w:r>
        <w:rPr>
          <w:rFonts w:hint="eastAsia"/>
          <w:spacing w:val="6"/>
          <w:lang w:val="en-US" w:eastAsia="zh-CN"/>
        </w:rPr>
        <w:t>持平</w:t>
      </w:r>
      <w:r>
        <w:rPr>
          <w:spacing w:val="6"/>
        </w:rPr>
        <w:t>。其中财政拨款</w:t>
      </w:r>
      <w:r>
        <w:rPr>
          <w:spacing w:val="1"/>
        </w:rPr>
        <w:t>安排“三公”经费</w:t>
      </w:r>
      <w:r>
        <w:rPr>
          <w:spacing w:val="-28"/>
        </w:rPr>
        <w:t xml:space="preserve"> </w:t>
      </w:r>
      <w:r>
        <w:rPr>
          <w:spacing w:val="1"/>
        </w:rPr>
        <w:t>0</w:t>
      </w:r>
      <w:r>
        <w:rPr>
          <w:spacing w:val="-44"/>
        </w:rPr>
        <w:t xml:space="preserve"> </w:t>
      </w:r>
      <w:r>
        <w:rPr>
          <w:spacing w:val="1"/>
        </w:rPr>
        <w:t>万元。因公出国（境）</w:t>
      </w:r>
      <w:r>
        <w:rPr>
          <w:spacing w:val="-75"/>
        </w:rPr>
        <w:t xml:space="preserve"> </w:t>
      </w:r>
      <w:r>
        <w:rPr>
          <w:spacing w:val="1"/>
        </w:rPr>
        <w:t>经费</w:t>
      </w:r>
      <w:r>
        <w:rPr>
          <w:spacing w:val="-37"/>
        </w:rPr>
        <w:t xml:space="preserve"> </w:t>
      </w:r>
      <w:r>
        <w:rPr>
          <w:spacing w:val="1"/>
        </w:rPr>
        <w:t>0</w:t>
      </w:r>
      <w:r>
        <w:rPr>
          <w:spacing w:val="-45"/>
        </w:rPr>
        <w:t xml:space="preserve"> </w:t>
      </w:r>
      <w:r>
        <w:rPr>
          <w:spacing w:val="1"/>
        </w:rPr>
        <w:t>万元，公务接</w:t>
      </w:r>
      <w:r>
        <w:rPr>
          <w:spacing w:val="2"/>
        </w:rPr>
        <w:t>待费</w:t>
      </w:r>
      <w:r>
        <w:rPr>
          <w:spacing w:val="-31"/>
        </w:rPr>
        <w:t xml:space="preserve"> </w:t>
      </w:r>
      <w:r>
        <w:rPr>
          <w:spacing w:val="2"/>
        </w:rPr>
        <w:t>0</w:t>
      </w:r>
      <w:r>
        <w:rPr>
          <w:spacing w:val="-45"/>
        </w:rPr>
        <w:t xml:space="preserve"> </w:t>
      </w:r>
      <w:r>
        <w:rPr>
          <w:spacing w:val="2"/>
        </w:rPr>
        <w:t>万元，公务用车购置及运行维护费</w:t>
      </w:r>
      <w:r>
        <w:rPr>
          <w:spacing w:val="-39"/>
        </w:rPr>
        <w:t xml:space="preserve"> </w:t>
      </w:r>
      <w:r>
        <w:rPr>
          <w:spacing w:val="2"/>
        </w:rPr>
        <w:t>0</w:t>
      </w:r>
      <w:r>
        <w:rPr>
          <w:spacing w:val="-44"/>
        </w:rPr>
        <w:t xml:space="preserve"> </w:t>
      </w:r>
      <w:r>
        <w:rPr>
          <w:spacing w:val="2"/>
        </w:rPr>
        <w:t>万元。</w:t>
      </w:r>
    </w:p>
    <w:p w14:paraId="7018A89E">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176" w:right="91" w:firstLine="644" w:firstLineChars="200"/>
        <w:textAlignment w:val="baseline"/>
      </w:pPr>
      <w:r>
        <w:rPr>
          <w:spacing w:val="6"/>
        </w:rPr>
        <w:t>1.因公出国（境）经费</w:t>
      </w:r>
      <w:r>
        <w:rPr>
          <w:rFonts w:hint="eastAsia"/>
          <w:spacing w:val="6"/>
          <w:lang w:val="en-US" w:eastAsia="zh-CN"/>
        </w:rPr>
        <w:t>预算0万元，与</w:t>
      </w:r>
      <w:r>
        <w:rPr>
          <w:spacing w:val="6"/>
        </w:rPr>
        <w:t>上年预算持平</w:t>
      </w:r>
      <w:r>
        <w:rPr>
          <w:spacing w:val="5"/>
        </w:rPr>
        <w:t>。根据批准的202</w:t>
      </w:r>
      <w:r>
        <w:rPr>
          <w:rFonts w:hint="eastAsia"/>
          <w:spacing w:val="5"/>
          <w:lang w:val="en-US" w:eastAsia="zh-CN"/>
        </w:rPr>
        <w:t>6</w:t>
      </w:r>
      <w:r>
        <w:rPr>
          <w:spacing w:val="5"/>
        </w:rPr>
        <w:t>年因公临时出国（境）</w:t>
      </w:r>
      <w:r>
        <w:rPr>
          <w:spacing w:val="1"/>
        </w:rPr>
        <w:t>安排</w:t>
      </w:r>
      <w:r>
        <w:rPr>
          <w:rFonts w:hint="eastAsia"/>
          <w:spacing w:val="1"/>
          <w:lang w:val="en-US" w:eastAsia="zh-CN"/>
        </w:rPr>
        <w:t>预算数0万元</w:t>
      </w:r>
      <w:r>
        <w:rPr>
          <w:spacing w:val="1"/>
        </w:rPr>
        <w:t>，拟安排出国（境）</w:t>
      </w:r>
      <w:r>
        <w:rPr>
          <w:spacing w:val="-77"/>
        </w:rPr>
        <w:t xml:space="preserve"> </w:t>
      </w:r>
      <w:r>
        <w:rPr>
          <w:spacing w:val="1"/>
        </w:rPr>
        <w:t>0</w:t>
      </w:r>
      <w:r>
        <w:rPr>
          <w:spacing w:val="-57"/>
        </w:rPr>
        <w:t xml:space="preserve"> </w:t>
      </w:r>
      <w:r>
        <w:rPr>
          <w:spacing w:val="1"/>
        </w:rPr>
        <w:t>人次。</w:t>
      </w:r>
    </w:p>
    <w:p w14:paraId="3CB0B343">
      <w:pPr>
        <w:pStyle w:val="2"/>
        <w:keepNext w:val="0"/>
        <w:keepLines w:val="0"/>
        <w:pageBreakBefore w:val="0"/>
        <w:widowControl/>
        <w:kinsoku w:val="0"/>
        <w:wordWrap/>
        <w:overflowPunct/>
        <w:topLinePunct w:val="0"/>
        <w:autoSpaceDE w:val="0"/>
        <w:autoSpaceDN w:val="0"/>
        <w:bidi w:val="0"/>
        <w:adjustRightInd w:val="0"/>
        <w:snapToGrid w:val="0"/>
        <w:spacing w:line="360" w:lineRule="auto"/>
        <w:ind w:right="83" w:firstLine="821"/>
        <w:textAlignment w:val="baseline"/>
      </w:pPr>
      <w:r>
        <w:rPr>
          <w:spacing w:val="8"/>
        </w:rPr>
        <w:t>2.公务接待费</w:t>
      </w:r>
      <w:r>
        <w:rPr>
          <w:rFonts w:hint="eastAsia"/>
          <w:spacing w:val="8"/>
          <w:lang w:val="en-US" w:eastAsia="zh-CN"/>
        </w:rPr>
        <w:t>预算0万元，与</w:t>
      </w:r>
      <w:r>
        <w:rPr>
          <w:spacing w:val="8"/>
        </w:rPr>
        <w:t>上年预算持平</w:t>
      </w:r>
      <w:r>
        <w:rPr>
          <w:spacing w:val="-4"/>
        </w:rPr>
        <w:t>。</w:t>
      </w:r>
    </w:p>
    <w:p w14:paraId="0E662C5D">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173" w:right="90" w:firstLine="660"/>
        <w:textAlignment w:val="baseline"/>
      </w:pPr>
      <w:r>
        <w:rPr>
          <w:spacing w:val="20"/>
        </w:rPr>
        <w:t>3.公务用车购置及运行维护费</w:t>
      </w:r>
      <w:r>
        <w:rPr>
          <w:rFonts w:hint="eastAsia"/>
          <w:spacing w:val="20"/>
          <w:lang w:val="en-US" w:eastAsia="zh-CN"/>
        </w:rPr>
        <w:t>预算0万元，与</w:t>
      </w:r>
      <w:r>
        <w:rPr>
          <w:spacing w:val="20"/>
        </w:rPr>
        <w:t>上年预算持</w:t>
      </w:r>
      <w:r>
        <w:rPr>
          <w:spacing w:val="5"/>
        </w:rPr>
        <w:t>平。</w:t>
      </w:r>
    </w:p>
    <w:p w14:paraId="0B72CCB9">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176" w:right="83" w:firstLine="640"/>
        <w:textAlignment w:val="baseline"/>
      </w:pPr>
      <w:r>
        <w:rPr>
          <w:spacing w:val="3"/>
        </w:rPr>
        <w:t>单位现有公务用车</w:t>
      </w:r>
      <w:r>
        <w:rPr>
          <w:spacing w:val="-40"/>
        </w:rPr>
        <w:t xml:space="preserve"> </w:t>
      </w:r>
      <w:r>
        <w:rPr>
          <w:spacing w:val="3"/>
        </w:rPr>
        <w:t>0</w:t>
      </w:r>
      <w:r>
        <w:rPr>
          <w:spacing w:val="-63"/>
        </w:rPr>
        <w:t xml:space="preserve"> </w:t>
      </w:r>
      <w:r>
        <w:rPr>
          <w:spacing w:val="3"/>
        </w:rPr>
        <w:t>辆，其中：轿车</w:t>
      </w:r>
      <w:r>
        <w:rPr>
          <w:spacing w:val="-40"/>
        </w:rPr>
        <w:t xml:space="preserve"> </w:t>
      </w:r>
      <w:r>
        <w:rPr>
          <w:spacing w:val="3"/>
        </w:rPr>
        <w:t>0</w:t>
      </w:r>
      <w:r>
        <w:rPr>
          <w:spacing w:val="-62"/>
        </w:rPr>
        <w:t xml:space="preserve"> </w:t>
      </w:r>
      <w:r>
        <w:rPr>
          <w:spacing w:val="3"/>
        </w:rPr>
        <w:t>辆，越野车</w:t>
      </w:r>
      <w:r>
        <w:rPr>
          <w:spacing w:val="-40"/>
        </w:rPr>
        <w:t xml:space="preserve"> </w:t>
      </w:r>
      <w:r>
        <w:rPr>
          <w:spacing w:val="3"/>
        </w:rPr>
        <w:t>0</w:t>
      </w:r>
      <w:r>
        <w:rPr>
          <w:spacing w:val="-62"/>
        </w:rPr>
        <w:t xml:space="preserve"> </w:t>
      </w:r>
      <w:r>
        <w:rPr>
          <w:spacing w:val="3"/>
        </w:rPr>
        <w:t>辆，多</w:t>
      </w:r>
      <w:r>
        <w:rPr>
          <w:spacing w:val="-5"/>
        </w:rPr>
        <w:t>功能乘用车</w:t>
      </w:r>
      <w:r>
        <w:rPr>
          <w:spacing w:val="-35"/>
        </w:rPr>
        <w:t xml:space="preserve"> </w:t>
      </w:r>
      <w:r>
        <w:rPr>
          <w:spacing w:val="-5"/>
        </w:rPr>
        <w:t>0</w:t>
      </w:r>
      <w:r>
        <w:rPr>
          <w:spacing w:val="-62"/>
        </w:rPr>
        <w:t xml:space="preserve"> </w:t>
      </w:r>
      <w:r>
        <w:rPr>
          <w:spacing w:val="-5"/>
        </w:rPr>
        <w:t>辆。</w:t>
      </w:r>
    </w:p>
    <w:p w14:paraId="4CF7D489">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821"/>
        <w:textAlignment w:val="baseline"/>
      </w:pPr>
      <w:r>
        <w:t>202</w:t>
      </w:r>
      <w:r>
        <w:rPr>
          <w:rFonts w:hint="eastAsia"/>
          <w:lang w:val="en-US" w:eastAsia="zh-CN"/>
        </w:rPr>
        <w:t>6</w:t>
      </w:r>
      <w:r>
        <w:t>年安排公务用车购置费</w:t>
      </w:r>
      <w:r>
        <w:rPr>
          <w:spacing w:val="-40"/>
        </w:rPr>
        <w:t xml:space="preserve"> </w:t>
      </w:r>
      <w:r>
        <w:t>0</w:t>
      </w:r>
      <w:r>
        <w:rPr>
          <w:spacing w:val="-44"/>
        </w:rPr>
        <w:t xml:space="preserve"> </w:t>
      </w:r>
      <w:r>
        <w:t>万元。</w:t>
      </w:r>
    </w:p>
    <w:p w14:paraId="358BA59F">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821"/>
        <w:textAlignment w:val="baseline"/>
      </w:pPr>
      <w:r>
        <w:t>202</w:t>
      </w:r>
      <w:r>
        <w:rPr>
          <w:rFonts w:hint="eastAsia"/>
          <w:lang w:val="en-US" w:eastAsia="zh-CN"/>
        </w:rPr>
        <w:t>6</w:t>
      </w:r>
      <w:r>
        <w:t>年安排公务用车运行维护费</w:t>
      </w:r>
      <w:r>
        <w:rPr>
          <w:spacing w:val="-37"/>
        </w:rPr>
        <w:t xml:space="preserve"> </w:t>
      </w:r>
      <w:r>
        <w:t>0</w:t>
      </w:r>
      <w:r>
        <w:rPr>
          <w:spacing w:val="-45"/>
        </w:rPr>
        <w:t xml:space="preserve"> </w:t>
      </w:r>
      <w:r>
        <w:t>万元。</w:t>
      </w:r>
    </w:p>
    <w:p w14:paraId="03834E55">
      <w:pPr>
        <w:keepNext w:val="0"/>
        <w:keepLines w:val="0"/>
        <w:pageBreakBefore w:val="0"/>
        <w:widowControl/>
        <w:kinsoku w:val="0"/>
        <w:wordWrap/>
        <w:overflowPunct/>
        <w:topLinePunct w:val="0"/>
        <w:autoSpaceDE w:val="0"/>
        <w:autoSpaceDN w:val="0"/>
        <w:bidi w:val="0"/>
        <w:adjustRightInd w:val="0"/>
        <w:snapToGrid w:val="0"/>
        <w:spacing w:line="360" w:lineRule="auto"/>
        <w:ind w:left="808"/>
        <w:textAlignment w:val="baseline"/>
        <w:outlineLvl w:val="2"/>
        <w:rPr>
          <w:rFonts w:ascii="黑体" w:hAnsi="黑体" w:eastAsia="黑体" w:cs="黑体"/>
          <w:sz w:val="31"/>
          <w:szCs w:val="31"/>
        </w:rPr>
      </w:pPr>
      <w:r>
        <w:rPr>
          <w:rFonts w:ascii="黑体" w:hAnsi="黑体" w:eastAsia="黑体" w:cs="黑体"/>
          <w:spacing w:val="8"/>
          <w:sz w:val="31"/>
          <w:szCs w:val="31"/>
        </w:rPr>
        <w:t>十.其他重要事项的情况说明</w:t>
      </w:r>
    </w:p>
    <w:p w14:paraId="10F0C8B2">
      <w:pPr>
        <w:keepNext w:val="0"/>
        <w:keepLines w:val="0"/>
        <w:pageBreakBefore w:val="0"/>
        <w:widowControl/>
        <w:kinsoku w:val="0"/>
        <w:wordWrap/>
        <w:overflowPunct/>
        <w:topLinePunct w:val="0"/>
        <w:autoSpaceDE w:val="0"/>
        <w:autoSpaceDN w:val="0"/>
        <w:bidi w:val="0"/>
        <w:adjustRightInd w:val="0"/>
        <w:snapToGrid w:val="0"/>
        <w:spacing w:line="360" w:lineRule="auto"/>
        <w:ind w:left="796"/>
        <w:textAlignment w:val="baseline"/>
        <w:rPr>
          <w:rFonts w:ascii="KaiTi_GB2312" w:hAnsi="KaiTi_GB2312" w:eastAsia="KaiTi_GB2312" w:cs="KaiTi_GB2312"/>
          <w:sz w:val="31"/>
          <w:szCs w:val="31"/>
        </w:rPr>
      </w:pPr>
      <w:r>
        <w:rPr>
          <w:rFonts w:ascii="KaiTi_GB2312" w:hAnsi="KaiTi_GB2312" w:eastAsia="KaiTi_GB2312" w:cs="KaiTi_GB2312"/>
          <w:spacing w:val="3"/>
          <w:sz w:val="31"/>
          <w:szCs w:val="31"/>
        </w:rPr>
        <w:t>（一）机关运行经费。</w:t>
      </w:r>
    </w:p>
    <w:p w14:paraId="0B15B9F5">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172" w:right="86" w:firstLine="649"/>
        <w:jc w:val="both"/>
        <w:textAlignment w:val="baseline"/>
      </w:pPr>
      <w:r>
        <w:rPr>
          <w:spacing w:val="5"/>
        </w:rPr>
        <w:t>202</w:t>
      </w:r>
      <w:r>
        <w:rPr>
          <w:rFonts w:hint="eastAsia"/>
          <w:spacing w:val="5"/>
          <w:lang w:val="en-US" w:eastAsia="zh-CN"/>
        </w:rPr>
        <w:t>6</w:t>
      </w:r>
      <w:r>
        <w:rPr>
          <w:spacing w:val="5"/>
        </w:rPr>
        <w:t>年，四川省井研县研城中学为保障单</w:t>
      </w:r>
      <w:r>
        <w:rPr>
          <w:spacing w:val="4"/>
        </w:rPr>
        <w:t>位运行，安排的包</w:t>
      </w:r>
      <w:r>
        <w:rPr>
          <w:spacing w:val="9"/>
        </w:rPr>
        <w:t>括办公及印刷费、邮电费、差旅费、会议费、福利费、日常维修费、专用材料及一般设备购置费、办公用房水电费、办公用房取暖费、办公用房物业管理费、公务用车运行维护费以及其他费用</w:t>
      </w:r>
      <w:r>
        <w:t>等机关运行经费预算为</w:t>
      </w:r>
      <w:r>
        <w:rPr>
          <w:spacing w:val="-40"/>
        </w:rPr>
        <w:t xml:space="preserve"> </w:t>
      </w:r>
      <w:r>
        <w:t>0</w:t>
      </w:r>
      <w:r>
        <w:rPr>
          <w:spacing w:val="-42"/>
        </w:rPr>
        <w:t xml:space="preserve"> </w:t>
      </w:r>
      <w:r>
        <w:t>万元。</w:t>
      </w:r>
    </w:p>
    <w:p w14:paraId="7DB87A7C">
      <w:pPr>
        <w:keepNext w:val="0"/>
        <w:keepLines w:val="0"/>
        <w:pageBreakBefore w:val="0"/>
        <w:widowControl/>
        <w:kinsoku w:val="0"/>
        <w:wordWrap/>
        <w:overflowPunct/>
        <w:topLinePunct w:val="0"/>
        <w:autoSpaceDE w:val="0"/>
        <w:autoSpaceDN w:val="0"/>
        <w:bidi w:val="0"/>
        <w:adjustRightInd w:val="0"/>
        <w:snapToGrid w:val="0"/>
        <w:spacing w:line="360" w:lineRule="auto"/>
        <w:ind w:left="796"/>
        <w:textAlignment w:val="baseline"/>
        <w:rPr>
          <w:rFonts w:ascii="KaiTi_GB2312" w:hAnsi="KaiTi_GB2312" w:eastAsia="KaiTi_GB2312" w:cs="KaiTi_GB2312"/>
          <w:sz w:val="31"/>
          <w:szCs w:val="31"/>
        </w:rPr>
      </w:pPr>
      <w:r>
        <w:rPr>
          <w:rFonts w:ascii="KaiTi_GB2312" w:hAnsi="KaiTi_GB2312" w:eastAsia="KaiTi_GB2312" w:cs="KaiTi_GB2312"/>
          <w:spacing w:val="3"/>
          <w:sz w:val="31"/>
          <w:szCs w:val="31"/>
        </w:rPr>
        <w:t>（二）政府采购情况。</w:t>
      </w:r>
    </w:p>
    <w:p w14:paraId="617DB687">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171" w:firstLine="650"/>
        <w:jc w:val="both"/>
        <w:textAlignment w:val="baseline"/>
      </w:pPr>
      <w:r>
        <w:t>202</w:t>
      </w:r>
      <w:r>
        <w:rPr>
          <w:rFonts w:hint="eastAsia"/>
          <w:lang w:val="en-US" w:eastAsia="zh-CN"/>
        </w:rPr>
        <w:t>6</w:t>
      </w:r>
      <w:r>
        <w:t>年四川省井研县研城中学安排政府采购预算</w:t>
      </w:r>
      <w:r>
        <w:rPr>
          <w:spacing w:val="-1"/>
        </w:rPr>
        <w:t>1</w:t>
      </w:r>
      <w:r>
        <w:rPr>
          <w:rFonts w:hint="eastAsia"/>
          <w:spacing w:val="-1"/>
          <w:lang w:val="en-US" w:eastAsia="zh-CN"/>
        </w:rPr>
        <w:t>0</w:t>
      </w:r>
      <w:r>
        <w:rPr>
          <w:spacing w:val="-1"/>
        </w:rPr>
        <w:t>1万元，</w:t>
      </w:r>
      <w:r>
        <w:rPr>
          <w:spacing w:val="-2"/>
        </w:rPr>
        <w:t>拟采购</w:t>
      </w:r>
      <w:r>
        <w:rPr>
          <w:rFonts w:hint="eastAsia"/>
          <w:spacing w:val="-2"/>
          <w:lang w:val="en-US" w:eastAsia="zh-CN"/>
        </w:rPr>
        <w:t>触控一体机19台，金额57</w:t>
      </w:r>
      <w:r>
        <w:rPr>
          <w:spacing w:val="-2"/>
        </w:rPr>
        <w:t>万元；空调</w:t>
      </w:r>
      <w:r>
        <w:rPr>
          <w:rFonts w:hint="eastAsia"/>
          <w:spacing w:val="-2"/>
          <w:lang w:val="en-US" w:eastAsia="zh-CN"/>
        </w:rPr>
        <w:t>机110</w:t>
      </w:r>
      <w:r>
        <w:rPr>
          <w:spacing w:val="-2"/>
        </w:rPr>
        <w:t>台，</w:t>
      </w:r>
      <w:r>
        <w:rPr>
          <w:spacing w:val="-5"/>
        </w:rPr>
        <w:t>金额4</w:t>
      </w:r>
      <w:r>
        <w:rPr>
          <w:rFonts w:hint="eastAsia"/>
          <w:spacing w:val="-5"/>
          <w:lang w:val="en-US" w:eastAsia="zh-CN"/>
        </w:rPr>
        <w:t>4</w:t>
      </w:r>
      <w:r>
        <w:rPr>
          <w:spacing w:val="-5"/>
        </w:rPr>
        <w:t>万元。</w:t>
      </w:r>
    </w:p>
    <w:p w14:paraId="18739D96">
      <w:pPr>
        <w:keepNext w:val="0"/>
        <w:keepLines w:val="0"/>
        <w:pageBreakBefore w:val="0"/>
        <w:widowControl/>
        <w:kinsoku w:val="0"/>
        <w:wordWrap/>
        <w:overflowPunct/>
        <w:topLinePunct w:val="0"/>
        <w:autoSpaceDE w:val="0"/>
        <w:autoSpaceDN w:val="0"/>
        <w:bidi w:val="0"/>
        <w:adjustRightInd w:val="0"/>
        <w:snapToGrid w:val="0"/>
        <w:spacing w:line="360" w:lineRule="auto"/>
        <w:ind w:left="796"/>
        <w:textAlignment w:val="baseline"/>
        <w:rPr>
          <w:rFonts w:ascii="KaiTi_GB2312" w:hAnsi="KaiTi_GB2312" w:eastAsia="KaiTi_GB2312" w:cs="KaiTi_GB2312"/>
          <w:sz w:val="31"/>
          <w:szCs w:val="31"/>
        </w:rPr>
      </w:pPr>
      <w:r>
        <w:rPr>
          <w:rFonts w:ascii="KaiTi_GB2312" w:hAnsi="KaiTi_GB2312" w:eastAsia="KaiTi_GB2312" w:cs="KaiTi_GB2312"/>
          <w:sz w:val="31"/>
          <w:szCs w:val="31"/>
        </w:rPr>
        <w:t>（三）</w:t>
      </w:r>
      <w:r>
        <w:rPr>
          <w:rFonts w:ascii="KaiTi_GB2312" w:hAnsi="KaiTi_GB2312" w:eastAsia="KaiTi_GB2312" w:cs="KaiTi_GB2312"/>
          <w:spacing w:val="-87"/>
          <w:sz w:val="31"/>
          <w:szCs w:val="31"/>
        </w:rPr>
        <w:t xml:space="preserve"> </w:t>
      </w:r>
      <w:r>
        <w:rPr>
          <w:rFonts w:ascii="KaiTi_GB2312" w:hAnsi="KaiTi_GB2312" w:eastAsia="KaiTi_GB2312" w:cs="KaiTi_GB2312"/>
          <w:sz w:val="31"/>
          <w:szCs w:val="31"/>
        </w:rPr>
        <w:t>国有资产占有使用情况。</w:t>
      </w:r>
    </w:p>
    <w:p w14:paraId="68A0795F">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ascii="KaiTi_GB2312" w:hAnsi="KaiTi_GB2312" w:eastAsia="KaiTi_GB2312" w:cs="KaiTi_GB2312"/>
          <w:sz w:val="31"/>
          <w:szCs w:val="31"/>
        </w:rPr>
        <w:sectPr>
          <w:footerReference r:id="rId8" w:type="default"/>
          <w:pgSz w:w="11907" w:h="16839"/>
          <w:pgMar w:top="1431" w:right="1390" w:bottom="1456" w:left="1317" w:header="0" w:footer="1091" w:gutter="0"/>
          <w:cols w:space="720" w:num="1"/>
        </w:sectPr>
      </w:pPr>
    </w:p>
    <w:p w14:paraId="227F140F">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ascii="Arial"/>
          <w:sz w:val="21"/>
        </w:rPr>
      </w:pPr>
    </w:p>
    <w:p w14:paraId="5CA367E2">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ascii="Arial"/>
          <w:sz w:val="21"/>
        </w:rPr>
      </w:pPr>
    </w:p>
    <w:p w14:paraId="6B52B0B9">
      <w:pPr>
        <w:pStyle w:val="2"/>
        <w:keepNext w:val="0"/>
        <w:keepLines w:val="0"/>
        <w:pageBreakBefore w:val="0"/>
        <w:widowControl/>
        <w:kinsoku w:val="0"/>
        <w:wordWrap/>
        <w:overflowPunct/>
        <w:topLinePunct w:val="0"/>
        <w:autoSpaceDE w:val="0"/>
        <w:autoSpaceDN w:val="0"/>
        <w:bidi w:val="0"/>
        <w:adjustRightInd w:val="0"/>
        <w:snapToGrid w:val="0"/>
        <w:spacing w:line="360" w:lineRule="auto"/>
        <w:ind w:right="98" w:firstLine="645"/>
        <w:textAlignment w:val="baseline"/>
      </w:pPr>
      <w:r>
        <w:rPr>
          <w:spacing w:val="7"/>
        </w:rPr>
        <w:t>截至去年底，四川省井研县研城中学共有车辆</w:t>
      </w:r>
      <w:r>
        <w:rPr>
          <w:spacing w:val="-38"/>
        </w:rPr>
        <w:t xml:space="preserve"> </w:t>
      </w:r>
      <w:r>
        <w:rPr>
          <w:spacing w:val="7"/>
        </w:rPr>
        <w:t>0</w:t>
      </w:r>
      <w:r>
        <w:rPr>
          <w:spacing w:val="-60"/>
        </w:rPr>
        <w:t xml:space="preserve"> </w:t>
      </w:r>
      <w:r>
        <w:rPr>
          <w:spacing w:val="7"/>
        </w:rPr>
        <w:t>辆。</w:t>
      </w:r>
      <w:r>
        <w:rPr>
          <w:spacing w:val="6"/>
        </w:rPr>
        <w:t>单位价</w:t>
      </w:r>
      <w:r>
        <w:rPr>
          <w:spacing w:val="-10"/>
        </w:rPr>
        <w:t>值</w:t>
      </w:r>
      <w:r>
        <w:rPr>
          <w:spacing w:val="-51"/>
        </w:rPr>
        <w:t xml:space="preserve"> </w:t>
      </w:r>
      <w:r>
        <w:rPr>
          <w:spacing w:val="-10"/>
        </w:rPr>
        <w:t>200</w:t>
      </w:r>
      <w:r>
        <w:rPr>
          <w:spacing w:val="-45"/>
        </w:rPr>
        <w:t xml:space="preserve"> </w:t>
      </w:r>
      <w:r>
        <w:rPr>
          <w:spacing w:val="-10"/>
        </w:rPr>
        <w:t>万元以上大型设备</w:t>
      </w:r>
      <w:r>
        <w:rPr>
          <w:spacing w:val="-40"/>
        </w:rPr>
        <w:t xml:space="preserve"> </w:t>
      </w:r>
      <w:r>
        <w:rPr>
          <w:spacing w:val="-10"/>
        </w:rPr>
        <w:t>0 台（套）。</w:t>
      </w:r>
    </w:p>
    <w:p w14:paraId="66D41063">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13" w:right="96" w:firstLine="639"/>
        <w:textAlignment w:val="baseline"/>
      </w:pPr>
      <w:r>
        <w:rPr>
          <w:spacing w:val="5"/>
        </w:rPr>
        <w:t>202</w:t>
      </w:r>
      <w:r>
        <w:rPr>
          <w:rFonts w:hint="eastAsia"/>
          <w:spacing w:val="5"/>
          <w:lang w:val="en-US" w:eastAsia="zh-CN"/>
        </w:rPr>
        <w:t>6</w:t>
      </w:r>
      <w:r>
        <w:rPr>
          <w:spacing w:val="5"/>
        </w:rPr>
        <w:t>年部门预算未安排购置车辆及单位价值</w:t>
      </w:r>
      <w:r>
        <w:rPr>
          <w:spacing w:val="-75"/>
        </w:rPr>
        <w:t xml:space="preserve"> </w:t>
      </w:r>
      <w:r>
        <w:rPr>
          <w:spacing w:val="5"/>
        </w:rPr>
        <w:t>200</w:t>
      </w:r>
      <w:r>
        <w:rPr>
          <w:spacing w:val="-71"/>
        </w:rPr>
        <w:t xml:space="preserve"> </w:t>
      </w:r>
      <w:r>
        <w:rPr>
          <w:spacing w:val="5"/>
        </w:rPr>
        <w:t>万元以上大</w:t>
      </w:r>
      <w:r>
        <w:rPr>
          <w:spacing w:val="-12"/>
        </w:rPr>
        <w:t>型设备。</w:t>
      </w:r>
    </w:p>
    <w:p w14:paraId="0E7E01D9">
      <w:pPr>
        <w:keepNext w:val="0"/>
        <w:keepLines w:val="0"/>
        <w:pageBreakBefore w:val="0"/>
        <w:widowControl/>
        <w:kinsoku w:val="0"/>
        <w:wordWrap/>
        <w:overflowPunct/>
        <w:topLinePunct w:val="0"/>
        <w:autoSpaceDE w:val="0"/>
        <w:autoSpaceDN w:val="0"/>
        <w:bidi w:val="0"/>
        <w:adjustRightInd w:val="0"/>
        <w:snapToGrid w:val="0"/>
        <w:spacing w:line="360" w:lineRule="auto"/>
        <w:ind w:left="628"/>
        <w:textAlignment w:val="baseline"/>
        <w:rPr>
          <w:rFonts w:ascii="KaiTi_GB2312" w:hAnsi="KaiTi_GB2312" w:eastAsia="KaiTi_GB2312" w:cs="KaiTi_GB2312"/>
          <w:sz w:val="31"/>
          <w:szCs w:val="31"/>
        </w:rPr>
      </w:pPr>
      <w:r>
        <w:rPr>
          <w:rFonts w:ascii="KaiTi_GB2312" w:hAnsi="KaiTi_GB2312" w:eastAsia="KaiTi_GB2312" w:cs="KaiTi_GB2312"/>
          <w:spacing w:val="5"/>
          <w:sz w:val="31"/>
          <w:szCs w:val="31"/>
        </w:rPr>
        <w:t>（四）绩效目标设置情况。</w:t>
      </w:r>
    </w:p>
    <w:p w14:paraId="72A81BBC">
      <w:pPr>
        <w:pStyle w:val="2"/>
        <w:keepNext w:val="0"/>
        <w:keepLines w:val="0"/>
        <w:pageBreakBefore w:val="0"/>
        <w:widowControl/>
        <w:kinsoku w:val="0"/>
        <w:wordWrap/>
        <w:overflowPunct/>
        <w:topLinePunct w:val="0"/>
        <w:autoSpaceDE w:val="0"/>
        <w:autoSpaceDN w:val="0"/>
        <w:bidi w:val="0"/>
        <w:adjustRightInd w:val="0"/>
        <w:snapToGrid w:val="0"/>
        <w:spacing w:line="360" w:lineRule="auto"/>
        <w:ind w:right="93" w:firstLine="653"/>
        <w:jc w:val="both"/>
        <w:textAlignment w:val="baseline"/>
      </w:pPr>
      <w:r>
        <w:rPr>
          <w:spacing w:val="5"/>
        </w:rPr>
        <w:t>202</w:t>
      </w:r>
      <w:r>
        <w:rPr>
          <w:rFonts w:hint="eastAsia"/>
          <w:spacing w:val="5"/>
          <w:lang w:val="en-US" w:eastAsia="zh-CN"/>
        </w:rPr>
        <w:t>6</w:t>
      </w:r>
      <w:r>
        <w:rPr>
          <w:spacing w:val="5"/>
        </w:rPr>
        <w:t>年，四川省井研县研城中学按要求实行绩效目</w:t>
      </w:r>
      <w:r>
        <w:rPr>
          <w:spacing w:val="4"/>
        </w:rPr>
        <w:t>标管理，</w:t>
      </w:r>
      <w:r>
        <w:rPr>
          <w:spacing w:val="6"/>
        </w:rPr>
        <w:t>部门整体绩效目标涉及预算安排</w:t>
      </w:r>
      <w:r>
        <w:rPr>
          <w:rFonts w:hint="eastAsia"/>
          <w:spacing w:val="6"/>
          <w:lang w:val="en-US" w:eastAsia="zh-CN"/>
        </w:rPr>
        <w:t>3695.01</w:t>
      </w:r>
      <w:r>
        <w:rPr>
          <w:spacing w:val="6"/>
        </w:rPr>
        <w:t>万元,开展绩效目标管理</w:t>
      </w:r>
      <w:r>
        <w:t>的项目</w:t>
      </w:r>
      <w:r>
        <w:rPr>
          <w:rFonts w:hint="eastAsia"/>
          <w:lang w:val="en-US" w:eastAsia="zh-CN"/>
        </w:rPr>
        <w:t>5</w:t>
      </w:r>
      <w:r>
        <w:t>个，涉及预算</w:t>
      </w:r>
      <w:r>
        <w:rPr>
          <w:rFonts w:hint="eastAsia"/>
          <w:lang w:val="en-US" w:eastAsia="zh-CN"/>
        </w:rPr>
        <w:t>572.61</w:t>
      </w:r>
      <w:r>
        <w:t>万元。</w:t>
      </w:r>
    </w:p>
    <w:p w14:paraId="5E974ED4">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ascii="Arial"/>
          <w:sz w:val="21"/>
        </w:rPr>
      </w:pPr>
    </w:p>
    <w:p w14:paraId="4EAEE83F">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ascii="Arial"/>
          <w:sz w:val="21"/>
        </w:rPr>
      </w:pPr>
    </w:p>
    <w:p w14:paraId="7DC2E6B9">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638"/>
        <w:textAlignment w:val="baseline"/>
        <w:rPr>
          <w:b/>
          <w:bCs/>
          <w:spacing w:val="5"/>
        </w:rPr>
      </w:pPr>
    </w:p>
    <w:p w14:paraId="710AFEDF">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638"/>
        <w:textAlignment w:val="baseline"/>
        <w:rPr>
          <w:b/>
          <w:bCs/>
          <w:spacing w:val="5"/>
        </w:rPr>
      </w:pPr>
    </w:p>
    <w:p w14:paraId="1FCD8561">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638"/>
        <w:textAlignment w:val="baseline"/>
        <w:rPr>
          <w:b/>
          <w:bCs/>
          <w:spacing w:val="5"/>
        </w:rPr>
      </w:pPr>
    </w:p>
    <w:p w14:paraId="16E8924A">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638"/>
        <w:textAlignment w:val="baseline"/>
        <w:rPr>
          <w:b/>
          <w:bCs/>
          <w:spacing w:val="5"/>
        </w:rPr>
      </w:pPr>
    </w:p>
    <w:p w14:paraId="3D0FA31D">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638"/>
        <w:textAlignment w:val="baseline"/>
        <w:rPr>
          <w:b/>
          <w:bCs/>
          <w:spacing w:val="5"/>
        </w:rPr>
      </w:pPr>
    </w:p>
    <w:p w14:paraId="74C861C6">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638"/>
        <w:textAlignment w:val="baseline"/>
        <w:rPr>
          <w:b/>
          <w:bCs/>
          <w:spacing w:val="5"/>
        </w:rPr>
      </w:pPr>
    </w:p>
    <w:p w14:paraId="33F56AE6">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638"/>
        <w:textAlignment w:val="baseline"/>
        <w:rPr>
          <w:b/>
          <w:bCs/>
          <w:spacing w:val="5"/>
        </w:rPr>
      </w:pPr>
    </w:p>
    <w:p w14:paraId="0108CD32">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638"/>
        <w:textAlignment w:val="baseline"/>
        <w:rPr>
          <w:b/>
          <w:bCs/>
          <w:spacing w:val="5"/>
        </w:rPr>
      </w:pPr>
    </w:p>
    <w:p w14:paraId="41BBA86D">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638"/>
        <w:textAlignment w:val="baseline"/>
        <w:rPr>
          <w:b/>
          <w:bCs/>
          <w:spacing w:val="5"/>
        </w:rPr>
      </w:pPr>
    </w:p>
    <w:p w14:paraId="54CBED02">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638"/>
        <w:textAlignment w:val="baseline"/>
        <w:rPr>
          <w:b/>
          <w:bCs/>
          <w:spacing w:val="5"/>
        </w:rPr>
      </w:pPr>
    </w:p>
    <w:p w14:paraId="2E7F61EA">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638"/>
        <w:textAlignment w:val="baseline"/>
        <w:rPr>
          <w:b/>
          <w:bCs/>
          <w:spacing w:val="5"/>
        </w:rPr>
      </w:pPr>
    </w:p>
    <w:p w14:paraId="1CE309E9">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638"/>
        <w:textAlignment w:val="baseline"/>
        <w:rPr>
          <w:b/>
          <w:bCs/>
          <w:spacing w:val="5"/>
        </w:rPr>
      </w:pPr>
    </w:p>
    <w:p w14:paraId="09E00FC0">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638"/>
        <w:textAlignment w:val="baseline"/>
        <w:rPr>
          <w:b/>
          <w:bCs/>
          <w:spacing w:val="5"/>
        </w:rPr>
      </w:pPr>
    </w:p>
    <w:p w14:paraId="7A8E2F53">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638"/>
        <w:textAlignment w:val="baseline"/>
        <w:rPr>
          <w:b/>
          <w:bCs/>
          <w:spacing w:val="5"/>
        </w:rPr>
      </w:pPr>
    </w:p>
    <w:p w14:paraId="0A3B00FF">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638"/>
        <w:textAlignment w:val="baseline"/>
      </w:pPr>
      <w:r>
        <w:rPr>
          <w:b/>
          <w:bCs/>
          <w:spacing w:val="5"/>
        </w:rPr>
        <w:t>名词解释</w:t>
      </w:r>
    </w:p>
    <w:p w14:paraId="127B2E37">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27" w:firstLine="628"/>
        <w:textAlignment w:val="baseline"/>
      </w:pPr>
      <w:r>
        <w:t>1.财政拨款收支情况：是指一般公共预算、政府性基金预算、</w:t>
      </w:r>
      <w:r>
        <w:rPr>
          <w:spacing w:val="6"/>
        </w:rPr>
        <w:t>国有资本经营预算拨款收支情况。</w:t>
      </w:r>
    </w:p>
    <w:p w14:paraId="6F48ADCD">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648"/>
        <w:textAlignment w:val="baseline"/>
      </w:pPr>
      <w:r>
        <w:rPr>
          <w:spacing w:val="6"/>
        </w:rPr>
        <w:t>2.一般公共预算拨款收入：指县级财政当年拨付的资金。</w:t>
      </w:r>
    </w:p>
    <w:p w14:paraId="4E3A9033">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1" w:right="99" w:firstLine="659"/>
        <w:textAlignment w:val="baseline"/>
      </w:pPr>
      <w:r>
        <w:rPr>
          <w:spacing w:val="2"/>
        </w:rPr>
        <w:t>3.政府性基金预算:指通过向社会征收以及出让土地、发行彩</w:t>
      </w:r>
      <w:r>
        <w:rPr>
          <w:spacing w:val="9"/>
        </w:rPr>
        <w:t>票等方式取得收入，并专项用于特定基础设施建设和社会事业发</w:t>
      </w:r>
      <w:r>
        <w:rPr>
          <w:spacing w:val="3"/>
        </w:rPr>
        <w:t>展的财政收支预算。</w:t>
      </w:r>
    </w:p>
    <w:p w14:paraId="39293CED">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5" w:right="99" w:firstLine="641"/>
        <w:textAlignment w:val="baseline"/>
      </w:pPr>
      <w:r>
        <w:rPr>
          <w:spacing w:val="8"/>
        </w:rPr>
        <w:t>4.事业收入：指事业单位开展专业业务活动及辅助活动所取</w:t>
      </w:r>
      <w:r>
        <w:rPr>
          <w:spacing w:val="3"/>
        </w:rPr>
        <w:t>得的收入。</w:t>
      </w:r>
    </w:p>
    <w:p w14:paraId="07623C86">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17" w:right="99" w:firstLine="634"/>
        <w:textAlignment w:val="baseline"/>
      </w:pPr>
      <w:r>
        <w:rPr>
          <w:spacing w:val="8"/>
        </w:rPr>
        <w:t>5.事业单位经营收入：指事业单位在专业业务活动及其辅助</w:t>
      </w:r>
      <w:r>
        <w:rPr>
          <w:spacing w:val="5"/>
        </w:rPr>
        <w:t>活动之外开展非独立核算经营活动取得的收入。</w:t>
      </w:r>
    </w:p>
    <w:p w14:paraId="0D59B240">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12" w:firstLine="608" w:firstLineChars="200"/>
        <w:textAlignment w:val="baseline"/>
      </w:pPr>
      <w:r>
        <w:rPr>
          <w:spacing w:val="-3"/>
        </w:rPr>
        <w:t>6.其他收入：指除上述“一般公共预算拨款收入”、“事业收</w:t>
      </w:r>
      <w:r>
        <w:rPr>
          <w:spacing w:val="-2"/>
        </w:rPr>
        <w:t>入”、“事业单位经营收入”等以外的收入。主要是利息收入、国</w:t>
      </w:r>
      <w:r>
        <w:rPr>
          <w:spacing w:val="2"/>
        </w:rPr>
        <w:t>有资产出租收入等。</w:t>
      </w:r>
    </w:p>
    <w:p w14:paraId="1A43EE2D">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12" w:firstLine="643"/>
        <w:textAlignment w:val="baseline"/>
      </w:pPr>
      <w:r>
        <w:rPr>
          <w:spacing w:val="8"/>
        </w:rPr>
        <w:t>7.用事业基金弥补收支差额：指事业单位在当年的收入不足</w:t>
      </w:r>
      <w:r>
        <w:rPr>
          <w:spacing w:val="9"/>
        </w:rPr>
        <w:t>以安排当年会出的情况下，使用以前年度积累的事业基金（事业单位当年收支相抵后按国家规定提取、用于弥补以后年度收支差</w:t>
      </w:r>
      <w:r>
        <w:rPr>
          <w:spacing w:val="5"/>
        </w:rPr>
        <w:t>额的基金）弥补本年度收支缺口的资金。</w:t>
      </w:r>
    </w:p>
    <w:p w14:paraId="169ECA5E">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5" w:firstLine="650"/>
        <w:textAlignment w:val="baseline"/>
      </w:pPr>
      <w:r>
        <w:rPr>
          <w:spacing w:val="8"/>
        </w:rPr>
        <w:t>8.上年结转：指以前年度尚未完成，结转到本年仍按原规定</w:t>
      </w:r>
      <w:r>
        <w:rPr>
          <w:spacing w:val="2"/>
        </w:rPr>
        <w:t>用途继续使用的资金。</w:t>
      </w:r>
    </w:p>
    <w:p w14:paraId="2A5B3BDE">
      <w:pPr>
        <w:pStyle w:val="2"/>
        <w:keepNext w:val="0"/>
        <w:keepLines w:val="0"/>
        <w:pageBreakBefore w:val="0"/>
        <w:widowControl/>
        <w:kinsoku w:val="0"/>
        <w:wordWrap/>
        <w:overflowPunct/>
        <w:topLinePunct w:val="0"/>
        <w:autoSpaceDE w:val="0"/>
        <w:autoSpaceDN w:val="0"/>
        <w:bidi w:val="0"/>
        <w:adjustRightInd w:val="0"/>
        <w:snapToGrid w:val="0"/>
        <w:spacing w:line="360" w:lineRule="auto"/>
        <w:ind w:right="25" w:firstLine="656"/>
        <w:textAlignment w:val="baseline"/>
      </w:pPr>
      <w:r>
        <w:rPr>
          <w:spacing w:val="7"/>
        </w:rPr>
        <w:t>9.社会保障和就业（类）行政事业单位离退休（款）事业单</w:t>
      </w:r>
      <w:r>
        <w:rPr>
          <w:spacing w:val="2"/>
        </w:rPr>
        <w:t>位离退休（项</w:t>
      </w:r>
      <w:r>
        <w:rPr>
          <w:spacing w:val="-41"/>
        </w:rPr>
        <w:t>）：</w:t>
      </w:r>
      <w:r>
        <w:rPr>
          <w:spacing w:val="2"/>
        </w:rPr>
        <w:t>指离退休人员的支出。</w:t>
      </w:r>
    </w:p>
    <w:p w14:paraId="05366719">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6" w:firstLine="654"/>
        <w:textAlignment w:val="baseline"/>
      </w:pPr>
      <w:r>
        <w:rPr>
          <w:spacing w:val="2"/>
        </w:rPr>
        <w:t>10.社会保障和就业（类）行政事业单位离退休（款）未归口管理的行政单位离退休（项</w:t>
      </w:r>
      <w:r>
        <w:rPr>
          <w:spacing w:val="-14"/>
        </w:rPr>
        <w:t>）：</w:t>
      </w:r>
      <w:r>
        <w:rPr>
          <w:spacing w:val="2"/>
        </w:rPr>
        <w:t>指离退休人员的支出。</w:t>
      </w:r>
    </w:p>
    <w:p w14:paraId="103B71D5">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18" w:firstLine="642"/>
        <w:textAlignment w:val="baseline"/>
      </w:pPr>
      <w:r>
        <w:rPr>
          <w:spacing w:val="2"/>
        </w:rPr>
        <w:t>11.社会保障和就业（类）行政事业单位离退休（款）机关事</w:t>
      </w:r>
      <w:r>
        <w:rPr>
          <w:spacing w:val="13"/>
        </w:rPr>
        <w:t>业单位基本养老保险缴费支出（项</w:t>
      </w:r>
      <w:r>
        <w:rPr>
          <w:spacing w:val="-49"/>
        </w:rPr>
        <w:t>）：</w:t>
      </w:r>
      <w:r>
        <w:rPr>
          <w:spacing w:val="13"/>
        </w:rPr>
        <w:t>指部门实施养老保险制度</w:t>
      </w:r>
      <w:r>
        <w:rPr>
          <w:spacing w:val="7"/>
        </w:rPr>
        <w:t>由单位缴纳的养老保险费的支出。</w:t>
      </w:r>
    </w:p>
    <w:p w14:paraId="161963EF">
      <w:pPr>
        <w:pStyle w:val="2"/>
        <w:keepNext w:val="0"/>
        <w:keepLines w:val="0"/>
        <w:pageBreakBefore w:val="0"/>
        <w:widowControl/>
        <w:kinsoku w:val="0"/>
        <w:wordWrap/>
        <w:overflowPunct/>
        <w:topLinePunct w:val="0"/>
        <w:autoSpaceDE w:val="0"/>
        <w:autoSpaceDN w:val="0"/>
        <w:bidi w:val="0"/>
        <w:adjustRightInd w:val="0"/>
        <w:snapToGrid w:val="0"/>
        <w:spacing w:line="360" w:lineRule="auto"/>
        <w:ind w:firstLine="661"/>
        <w:textAlignment w:val="baseline"/>
      </w:pPr>
      <w:r>
        <w:rPr>
          <w:spacing w:val="2"/>
        </w:rPr>
        <w:t>12.社会保障和就业（类）行政事业单位离退休（款）机关事</w:t>
      </w:r>
      <w:r>
        <w:rPr>
          <w:spacing w:val="14"/>
        </w:rPr>
        <w:t>业单位职业年金缴费支出（项</w:t>
      </w:r>
      <w:r>
        <w:rPr>
          <w:spacing w:val="-52"/>
        </w:rPr>
        <w:t>）：</w:t>
      </w:r>
      <w:r>
        <w:rPr>
          <w:spacing w:val="14"/>
        </w:rPr>
        <w:t>指部门实施养老保险制度由单</w:t>
      </w:r>
      <w:r>
        <w:rPr>
          <w:spacing w:val="8"/>
        </w:rPr>
        <w:t>位缴纳的职业年金的支出。</w:t>
      </w:r>
    </w:p>
    <w:p w14:paraId="75023DB5">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10" w:firstLine="650"/>
        <w:textAlignment w:val="baseline"/>
      </w:pPr>
      <w:r>
        <w:rPr>
          <w:spacing w:val="2"/>
        </w:rPr>
        <w:t>13.社会保障和就业（类）其他社会保障和就业（款）其他社</w:t>
      </w:r>
      <w:r>
        <w:rPr>
          <w:spacing w:val="13"/>
        </w:rPr>
        <w:t>会保障和就业支出（项</w:t>
      </w:r>
      <w:r>
        <w:rPr>
          <w:spacing w:val="-45"/>
        </w:rPr>
        <w:t>）：</w:t>
      </w:r>
      <w:r>
        <w:rPr>
          <w:spacing w:val="13"/>
        </w:rPr>
        <w:t>指除上述项目外，其他用于行政事业</w:t>
      </w:r>
      <w:r>
        <w:rPr>
          <w:spacing w:val="2"/>
        </w:rPr>
        <w:t>单位离退休方面的支出。</w:t>
      </w:r>
    </w:p>
    <w:p w14:paraId="12E57538">
      <w:pPr>
        <w:pStyle w:val="2"/>
        <w:keepNext w:val="0"/>
        <w:keepLines w:val="0"/>
        <w:pageBreakBefore w:val="0"/>
        <w:widowControl/>
        <w:kinsoku w:val="0"/>
        <w:wordWrap/>
        <w:overflowPunct/>
        <w:topLinePunct w:val="0"/>
        <w:autoSpaceDE w:val="0"/>
        <w:autoSpaceDN w:val="0"/>
        <w:bidi w:val="0"/>
        <w:adjustRightInd w:val="0"/>
        <w:snapToGrid w:val="0"/>
        <w:spacing w:line="360" w:lineRule="auto"/>
        <w:ind w:firstLine="628" w:firstLineChars="200"/>
        <w:textAlignment w:val="baseline"/>
      </w:pPr>
      <w:r>
        <w:rPr>
          <w:spacing w:val="2"/>
        </w:rPr>
        <w:t>14.</w:t>
      </w:r>
      <w:r>
        <w:rPr>
          <w:rFonts w:hint="eastAsia"/>
          <w:spacing w:val="2"/>
          <w:lang w:eastAsia="zh-CN"/>
        </w:rPr>
        <w:t>卫生健康支出</w:t>
      </w:r>
      <w:r>
        <w:rPr>
          <w:spacing w:val="2"/>
        </w:rPr>
        <w:t>（类）行政事业单位医疗（款）行政</w:t>
      </w:r>
      <w:r>
        <w:rPr>
          <w:spacing w:val="13"/>
        </w:rPr>
        <w:t>单位医疗（项</w:t>
      </w:r>
      <w:r>
        <w:rPr>
          <w:spacing w:val="-46"/>
        </w:rPr>
        <w:t>）：</w:t>
      </w:r>
      <w:r>
        <w:rPr>
          <w:spacing w:val="13"/>
        </w:rPr>
        <w:t>指行政单位及参公管理事业单位用于缴纳单位</w:t>
      </w:r>
      <w:r>
        <w:rPr>
          <w:spacing w:val="3"/>
        </w:rPr>
        <w:t>基本医疗保险支出。</w:t>
      </w:r>
    </w:p>
    <w:p w14:paraId="65AB4EB6">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12" w:right="5" w:firstLine="648"/>
        <w:textAlignment w:val="baseline"/>
      </w:pPr>
      <w:r>
        <w:rPr>
          <w:spacing w:val="2"/>
        </w:rPr>
        <w:t>15.</w:t>
      </w:r>
      <w:r>
        <w:rPr>
          <w:rFonts w:hint="eastAsia"/>
          <w:spacing w:val="2"/>
          <w:lang w:eastAsia="zh-CN"/>
        </w:rPr>
        <w:t>卫生健康支出</w:t>
      </w:r>
      <w:r>
        <w:rPr>
          <w:spacing w:val="2"/>
        </w:rPr>
        <w:t>（类）行政事业单位医疗（款）事业</w:t>
      </w:r>
      <w:r>
        <w:rPr>
          <w:spacing w:val="5"/>
        </w:rPr>
        <w:t>单位医疗（项</w:t>
      </w:r>
      <w:r>
        <w:rPr>
          <w:spacing w:val="-41"/>
        </w:rPr>
        <w:t>）：</w:t>
      </w:r>
      <w:r>
        <w:rPr>
          <w:spacing w:val="5"/>
        </w:rPr>
        <w:t>指事业单位用于缴纳单位基本医疗保险支出。</w:t>
      </w:r>
    </w:p>
    <w:p w14:paraId="38623581">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13" w:right="5" w:firstLine="647"/>
        <w:textAlignment w:val="baseline"/>
      </w:pPr>
      <w:r>
        <w:rPr>
          <w:spacing w:val="2"/>
        </w:rPr>
        <w:t>16.</w:t>
      </w:r>
      <w:r>
        <w:rPr>
          <w:rFonts w:hint="eastAsia"/>
          <w:spacing w:val="2"/>
          <w:lang w:eastAsia="zh-CN"/>
        </w:rPr>
        <w:t>卫生健康支出</w:t>
      </w:r>
      <w:r>
        <w:rPr>
          <w:spacing w:val="2"/>
        </w:rPr>
        <w:t>（类）行政事业单位医疗（款）公务</w:t>
      </w:r>
      <w:r>
        <w:rPr>
          <w:spacing w:val="13"/>
        </w:rPr>
        <w:t>员医疗补助（项</w:t>
      </w:r>
      <w:r>
        <w:rPr>
          <w:spacing w:val="-46"/>
        </w:rPr>
        <w:t>）：</w:t>
      </w:r>
      <w:r>
        <w:rPr>
          <w:spacing w:val="13"/>
        </w:rPr>
        <w:t>指行政单位及参公管理事业单位用于集中缴</w:t>
      </w:r>
      <w:r>
        <w:rPr>
          <w:spacing w:val="2"/>
        </w:rPr>
        <w:t>纳公务员医疗补助支出。</w:t>
      </w:r>
    </w:p>
    <w:p w14:paraId="203D892F">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8" w:right="95" w:firstLine="652"/>
        <w:textAlignment w:val="baseline"/>
      </w:pPr>
      <w:r>
        <w:rPr>
          <w:spacing w:val="7"/>
        </w:rPr>
        <w:t>17.住房保障（类）住房改革支出（款）住房公积</w:t>
      </w:r>
      <w:r>
        <w:rPr>
          <w:spacing w:val="6"/>
        </w:rPr>
        <w:t>金（项</w:t>
      </w:r>
      <w:r>
        <w:rPr>
          <w:spacing w:val="-99"/>
        </w:rPr>
        <w:t>）：</w:t>
      </w:r>
      <w:r>
        <w:rPr>
          <w:spacing w:val="6"/>
        </w:rPr>
        <w:t>指由单位及其在职职工按规定缴存的住房公积金支出。</w:t>
      </w:r>
    </w:p>
    <w:p w14:paraId="5322CAFB">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5" w:right="5" w:firstLine="656"/>
        <w:textAlignment w:val="baseline"/>
      </w:pPr>
      <w:r>
        <w:rPr>
          <w:spacing w:val="2"/>
        </w:rPr>
        <w:t>18.基本支出：指为保证机构正常运转，完成日常工作任务而</w:t>
      </w:r>
      <w:r>
        <w:rPr>
          <w:spacing w:val="5"/>
        </w:rPr>
        <w:t>发生的人员支出和公用支出。</w:t>
      </w:r>
    </w:p>
    <w:p w14:paraId="5E8607BB">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5" w:right="7" w:firstLine="656"/>
        <w:textAlignment w:val="baseline"/>
      </w:pPr>
      <w:r>
        <w:rPr>
          <w:spacing w:val="2"/>
        </w:rPr>
        <w:t>19.项目支出：指在基本支出之外为完成特定行政任务和事业发展目标所发生的支出。</w:t>
      </w:r>
    </w:p>
    <w:p w14:paraId="0CA0AD6F">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2" w:right="7" w:firstLine="650"/>
        <w:textAlignment w:val="baseline"/>
      </w:pPr>
      <w:r>
        <w:rPr>
          <w:spacing w:val="3"/>
        </w:rPr>
        <w:t>20.纳入预决算管理的“三公”经费，是指</w:t>
      </w:r>
      <w:r>
        <w:rPr>
          <w:spacing w:val="2"/>
        </w:rPr>
        <w:t>部门安排的因公出</w:t>
      </w:r>
      <w:r>
        <w:rPr>
          <w:spacing w:val="6"/>
        </w:rPr>
        <w:t>国（境）费、公务用车购置及运行费和公务接</w:t>
      </w:r>
      <w:r>
        <w:rPr>
          <w:spacing w:val="5"/>
        </w:rPr>
        <w:t>待费。其中，</w:t>
      </w:r>
      <w:r>
        <w:rPr>
          <w:spacing w:val="-53"/>
        </w:rPr>
        <w:t xml:space="preserve"> </w:t>
      </w:r>
      <w:r>
        <w:rPr>
          <w:spacing w:val="5"/>
        </w:rPr>
        <w:t>因公</w:t>
      </w:r>
      <w:r>
        <w:rPr>
          <w:spacing w:val="7"/>
        </w:rPr>
        <w:t>出国（境）</w:t>
      </w:r>
      <w:r>
        <w:rPr>
          <w:spacing w:val="-83"/>
        </w:rPr>
        <w:t xml:space="preserve"> </w:t>
      </w:r>
      <w:r>
        <w:rPr>
          <w:spacing w:val="7"/>
        </w:rPr>
        <w:t>费反映单位公务出国（境）的国际旅费</w:t>
      </w:r>
      <w:r>
        <w:rPr>
          <w:spacing w:val="6"/>
        </w:rPr>
        <w:t>、国外城市间</w:t>
      </w:r>
      <w:r>
        <w:rPr>
          <w:spacing w:val="9"/>
        </w:rPr>
        <w:t>交通费、住宿费、伙食费、培训费、公杂费等支出；公务用车购置及运行费反映单位公务用车车辆购置支出（含车辆购置税）及租用费、燃料费、维修费、过路过桥费、保险费等支出；公务接</w:t>
      </w:r>
      <w:r>
        <w:rPr>
          <w:spacing w:val="6"/>
        </w:rPr>
        <w:t>待费反映单位按规定开支的各类公务接待（含外宾接待</w:t>
      </w:r>
      <w:r>
        <w:rPr>
          <w:spacing w:val="5"/>
        </w:rPr>
        <w:t>）</w:t>
      </w:r>
      <w:r>
        <w:rPr>
          <w:spacing w:val="-66"/>
        </w:rPr>
        <w:t xml:space="preserve"> </w:t>
      </w:r>
      <w:r>
        <w:rPr>
          <w:spacing w:val="5"/>
        </w:rPr>
        <w:t>支出。</w:t>
      </w:r>
    </w:p>
    <w:p w14:paraId="14E4EB3B">
      <w:pPr>
        <w:spacing w:line="242" w:lineRule="auto"/>
        <w:rPr>
          <w:rFonts w:ascii="Arial"/>
          <w:sz w:val="21"/>
        </w:rPr>
      </w:pPr>
      <w:bookmarkStart w:id="0" w:name="_GoBack"/>
      <w:bookmarkEnd w:id="0"/>
    </w:p>
    <w:p w14:paraId="5E691D24">
      <w:pPr>
        <w:spacing w:line="242" w:lineRule="auto"/>
        <w:rPr>
          <w:rFonts w:ascii="Arial"/>
          <w:sz w:val="21"/>
        </w:rPr>
      </w:pPr>
    </w:p>
    <w:p w14:paraId="60DB6BE9">
      <w:pPr>
        <w:spacing w:line="242" w:lineRule="auto"/>
        <w:rPr>
          <w:rFonts w:ascii="Arial"/>
          <w:sz w:val="21"/>
        </w:rPr>
      </w:pPr>
    </w:p>
    <w:p w14:paraId="4D27CA0F">
      <w:pPr>
        <w:pStyle w:val="2"/>
        <w:spacing w:before="101" w:line="220" w:lineRule="auto"/>
        <w:ind w:left="4202" w:firstLine="954" w:firstLineChars="300"/>
      </w:pPr>
      <w:r>
        <w:rPr>
          <w:spacing w:val="4"/>
        </w:rPr>
        <w:t>四川省井研县研城中学</w:t>
      </w:r>
    </w:p>
    <w:p w14:paraId="62F8C4BA">
      <w:pPr>
        <w:pStyle w:val="2"/>
        <w:spacing w:before="231" w:line="221" w:lineRule="auto"/>
        <w:ind w:left="4499" w:firstLine="1764" w:firstLineChars="600"/>
        <w:rPr>
          <w:rFonts w:hint="default"/>
          <w:lang w:val="en-US"/>
        </w:rPr>
      </w:pPr>
      <w:r>
        <w:rPr>
          <w:spacing w:val="-8"/>
        </w:rPr>
        <w:t>202</w:t>
      </w:r>
      <w:r>
        <w:rPr>
          <w:rFonts w:hint="eastAsia"/>
          <w:spacing w:val="-8"/>
          <w:lang w:val="en-US" w:eastAsia="zh-CN"/>
        </w:rPr>
        <w:t>6</w:t>
      </w:r>
      <w:r>
        <w:rPr>
          <w:spacing w:val="-58"/>
        </w:rPr>
        <w:t xml:space="preserve"> </w:t>
      </w:r>
      <w:r>
        <w:rPr>
          <w:spacing w:val="-8"/>
        </w:rPr>
        <w:t>年</w:t>
      </w:r>
      <w:r>
        <w:rPr>
          <w:spacing w:val="-47"/>
        </w:rPr>
        <w:t xml:space="preserve"> </w:t>
      </w:r>
      <w:r>
        <w:rPr>
          <w:rFonts w:hint="eastAsia"/>
          <w:spacing w:val="-8"/>
          <w:lang w:val="en-US" w:eastAsia="zh-CN"/>
        </w:rPr>
        <w:t>2月24日</w:t>
      </w:r>
    </w:p>
    <w:p w14:paraId="6F27412A">
      <w:pPr>
        <w:spacing w:before="163" w:line="242" w:lineRule="auto"/>
        <w:jc w:val="right"/>
        <w:rPr>
          <w:rFonts w:ascii="宋体" w:hAnsi="宋体" w:eastAsia="宋体" w:cs="宋体"/>
          <w:sz w:val="28"/>
          <w:szCs w:val="28"/>
        </w:rPr>
      </w:pPr>
      <w:r>
        <w:rPr>
          <w:rFonts w:ascii="宋体" w:hAnsi="宋体" w:eastAsia="宋体" w:cs="宋体"/>
          <w:spacing w:val="-2"/>
          <w:sz w:val="28"/>
          <w:szCs w:val="28"/>
        </w:rPr>
        <w:t>—11—</w:t>
      </w:r>
    </w:p>
    <w:sectPr>
      <w:footerReference r:id="rId9" w:type="default"/>
      <w:pgSz w:w="11907" w:h="16839"/>
      <w:pgMar w:top="1431" w:right="1471" w:bottom="400" w:left="1481"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FangSong_GB2312">
    <w:altName w:val="仿宋_GB2312"/>
    <w:panose1 w:val="02010609030101010101"/>
    <w:charset w:val="86"/>
    <w:family w:val="auto"/>
    <w:pitch w:val="default"/>
    <w:sig w:usb0="00000000" w:usb1="00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KaiTi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KSOF260F9592">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49CE36">
    <w:pPr>
      <w:spacing w:line="235" w:lineRule="auto"/>
      <w:ind w:left="8251"/>
      <w:rPr>
        <w:rFonts w:ascii="宋体" w:hAnsi="宋体" w:eastAsia="宋体" w:cs="宋体"/>
        <w:sz w:val="28"/>
        <w:szCs w:val="28"/>
      </w:rPr>
    </w:pPr>
    <w:r>
      <w:rPr>
        <w:rFonts w:ascii="宋体" w:hAnsi="宋体" w:eastAsia="宋体" w:cs="宋体"/>
        <w:spacing w:val="-2"/>
        <w:sz w:val="28"/>
        <w:szCs w:val="28"/>
      </w:rPr>
      <w:t>—1—</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0CA58B">
    <w:pPr>
      <w:spacing w:line="235" w:lineRule="auto"/>
      <w:ind w:left="4"/>
      <w:rPr>
        <w:rFonts w:ascii="宋体" w:hAnsi="宋体" w:eastAsia="宋体" w:cs="宋体"/>
        <w:sz w:val="28"/>
        <w:szCs w:val="28"/>
      </w:rPr>
    </w:pPr>
    <w:r>
      <w:rPr>
        <w:rFonts w:ascii="宋体" w:hAnsi="宋体" w:eastAsia="宋体" w:cs="宋体"/>
        <w:spacing w:val="-2"/>
        <w:sz w:val="28"/>
        <w:szCs w:val="28"/>
      </w:rPr>
      <w:t>—2—</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14B409">
    <w:pPr>
      <w:spacing w:line="233" w:lineRule="auto"/>
      <w:ind w:left="8422"/>
      <w:rPr>
        <w:rFonts w:ascii="宋体" w:hAnsi="宋体" w:eastAsia="宋体" w:cs="宋体"/>
        <w:sz w:val="28"/>
        <w:szCs w:val="28"/>
      </w:rPr>
    </w:pPr>
    <w:r>
      <w:rPr>
        <w:rFonts w:ascii="宋体" w:hAnsi="宋体" w:eastAsia="宋体" w:cs="宋体"/>
        <w:spacing w:val="-2"/>
        <w:sz w:val="28"/>
        <w:szCs w:val="28"/>
      </w:rPr>
      <w:t>—5—</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59B20B">
    <w:pPr>
      <w:spacing w:line="233" w:lineRule="auto"/>
      <w:ind w:left="164"/>
      <w:rPr>
        <w:rFonts w:ascii="宋体" w:hAnsi="宋体" w:eastAsia="宋体" w:cs="宋体"/>
        <w:sz w:val="28"/>
        <w:szCs w:val="28"/>
      </w:rPr>
    </w:pPr>
    <w:r>
      <w:rPr>
        <w:rFonts w:ascii="宋体" w:hAnsi="宋体" w:eastAsia="宋体" w:cs="宋体"/>
        <w:spacing w:val="-2"/>
        <w:sz w:val="28"/>
        <w:szCs w:val="28"/>
      </w:rPr>
      <w:t>—8—</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658027">
    <w:pPr>
      <w:spacing w:line="14" w:lineRule="auto"/>
      <w:rPr>
        <w:rFonts w:ascii="Arial"/>
        <w:sz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rsids>
    <w:rsidRoot w:val="00000000"/>
    <w:rsid w:val="131D2D88"/>
    <w:rsid w:val="1E857F22"/>
    <w:rsid w:val="2819197A"/>
    <w:rsid w:val="29160325"/>
    <w:rsid w:val="315A44E9"/>
    <w:rsid w:val="33345EB7"/>
    <w:rsid w:val="40EB068C"/>
    <w:rsid w:val="45A962CD"/>
    <w:rsid w:val="48EB75DE"/>
    <w:rsid w:val="545C21B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semiHidden/>
    <w:qFormat/>
    <w:uiPriority w:val="0"/>
    <w:rPr>
      <w:rFonts w:ascii="FangSong_GB2312" w:hAnsi="FangSong_GB2312" w:eastAsia="FangSong_GB2312" w:cs="FangSong_GB2312"/>
      <w:sz w:val="31"/>
      <w:szCs w:val="31"/>
      <w:lang w:val="en-US" w:eastAsia="en-US" w:bidi="ar-SA"/>
    </w:rPr>
  </w:style>
  <w:style w:type="table" w:customStyle="1" w:styleId="5">
    <w:name w:val="Table Normal"/>
    <w:semiHidden/>
    <w:unhideWhenUsed/>
    <w:qFormat/>
    <w:uiPriority w:val="0"/>
    <w:tblPr>
      <w:tblCellMar>
        <w:top w:w="0" w:type="dxa"/>
        <w:left w:w="0" w:type="dxa"/>
        <w:bottom w:w="0" w:type="dxa"/>
        <w:right w:w="0" w:type="dxa"/>
      </w:tblCellMar>
    </w:tblPr>
  </w:style>
  <w:style w:type="paragraph" w:customStyle="1" w:styleId="6">
    <w:name w:val="〖C01〗正文"/>
    <w:basedOn w:val="1"/>
    <w:qFormat/>
    <w:uiPriority w:val="0"/>
    <w:pPr>
      <w:topLinePunct/>
      <w:spacing w:line="600" w:lineRule="exact"/>
      <w:ind w:firstLine="640" w:firstLineChars="200"/>
    </w:pPr>
    <w:rPr>
      <w:rFonts w:ascii="仿宋_GB2312" w:hAnsi="Calibri" w:eastAsia="仿宋_GB2312"/>
      <w:sz w:val="32"/>
      <w:szCs w:val="32"/>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12</Pages>
  <Words>5239</Words>
  <Characters>5597</Characters>
  <TotalTime>11</TotalTime>
  <ScaleCrop>false</ScaleCrop>
  <LinksUpToDate>false</LinksUpToDate>
  <CharactersWithSpaces>5682</CharactersWithSpaces>
  <Application>WPS Office_12.1.0.25225_F1E327BC-269C-435d-A152-05C5408002CA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2025-05-10T11:04:00Z</dcterms:created>
  <dc:creator>李永斌</dc:creator>
  <cp:lastModifiedBy>一叶轻舟</cp:lastModifiedBy>
  <dcterms:modified xsi:type="dcterms:W3CDTF">2026-02-25T08:29:29Z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wqlLaW5nc29mdCBQREYgdG8gV1BTIDExNQ</vt:lpwstr>
  </property>
  <property fmtid="{D5CDD505-2E9C-101B-9397-08002B2CF9AE}" pid="3" name="Created">
    <vt:filetime>2026-02-24T13:23:46Z</vt:filetime>
  </property>
  <property fmtid="{D5CDD505-2E9C-101B-9397-08002B2CF9AE}" pid="4" name="KSOTemplateDocerSaveRecord">
    <vt:lpwstr>eyJoZGlkIjoiMDgyMGVmZDlmNTVjZTQ2OWYzNDNjNWIyNDExNzIxODYiLCJ1c2VySWQiOiIzNjA0NTMwMDUifQ==</vt:lpwstr>
  </property>
  <property fmtid="{D5CDD505-2E9C-101B-9397-08002B2CF9AE}" pid="5" name="KSOProductBuildVer">
    <vt:lpwstr>2052-12.1.0.25225</vt:lpwstr>
  </property>
  <property fmtid="{D5CDD505-2E9C-101B-9397-08002B2CF9AE}" pid="6" name="ICV">
    <vt:lpwstr>3BDA24B7D5A94A169CD744202D9A7F6A_13</vt:lpwstr>
  </property>
</Properties>
</file>