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F5BBD">
      <w:pPr>
        <w:pStyle w:val="51"/>
        <w:rPr>
          <w:rFonts w:hint="eastAsia"/>
        </w:rPr>
      </w:pPr>
      <w:r>
        <w:rPr>
          <w:rFonts w:hint="eastAsia"/>
        </w:rPr>
        <w:t>附件4</w:t>
      </w:r>
    </w:p>
    <w:p w14:paraId="6B17C5BF">
      <w:pPr>
        <w:pStyle w:val="32"/>
      </w:pPr>
      <w:r>
        <w:rPr>
          <w:rFonts w:hint="eastAsia"/>
        </w:rPr>
        <w:t>关于</w:t>
      </w:r>
      <w:r>
        <w:rPr>
          <w:rFonts w:hint="eastAsia"/>
          <w:lang w:val="en-US" w:eastAsia="zh-CN"/>
        </w:rPr>
        <w:t>井研县电教教仪管理站</w:t>
      </w:r>
      <w:r>
        <w:br w:type="textWrapping"/>
      </w:r>
      <w:r>
        <w:rPr>
          <w:rFonts w:hint="eastAsia"/>
          <w:lang w:eastAsia="zh-CN"/>
        </w:rPr>
        <w:t>2026年</w:t>
      </w:r>
      <w:r>
        <w:rPr>
          <w:rFonts w:hint="eastAsia"/>
          <w:lang w:val="en-US" w:eastAsia="zh-CN"/>
        </w:rPr>
        <w:t>单位</w:t>
      </w:r>
      <w:r>
        <w:rPr>
          <w:rFonts w:hint="eastAsia"/>
        </w:rPr>
        <w:t>预算编制的说明</w:t>
      </w:r>
    </w:p>
    <w:p w14:paraId="7DF97009">
      <w:pPr>
        <w:spacing w:line="600" w:lineRule="exact"/>
        <w:ind w:firstLine="640" w:firstLineChars="200"/>
        <w:rPr>
          <w:rFonts w:ascii="仿宋_GB2312" w:eastAsia="仿宋_GB2312"/>
          <w:sz w:val="32"/>
          <w:szCs w:val="32"/>
        </w:rPr>
      </w:pPr>
    </w:p>
    <w:p w14:paraId="0C7FBD28">
      <w:pPr>
        <w:pStyle w:val="14"/>
      </w:pPr>
      <w:r>
        <w:rPr>
          <w:rFonts w:hint="eastAsia"/>
        </w:rPr>
        <w:t>按照预算管理有关规定，目前部门预算的编制实行综合预算制度，即全部收入和支出都反映在预算中。</w:t>
      </w:r>
    </w:p>
    <w:p w14:paraId="415FC8C6">
      <w:pPr>
        <w:pStyle w:val="47"/>
        <w:numPr>
          <w:ilvl w:val="0"/>
          <w:numId w:val="0"/>
        </w:numPr>
        <w:ind w:left="637" w:leftChars="0"/>
      </w:pPr>
      <w:r>
        <w:rPr>
          <w:rFonts w:hint="eastAsia"/>
          <w:lang w:val="en-US" w:eastAsia="zh-CN"/>
        </w:rPr>
        <w:t>一、</w:t>
      </w:r>
      <w:r>
        <w:rPr>
          <w:rFonts w:hint="eastAsia"/>
        </w:rPr>
        <w:t>基本职能及主要工作</w:t>
      </w:r>
    </w:p>
    <w:p w14:paraId="65A273EC">
      <w:pPr>
        <w:pStyle w:val="14"/>
        <w:ind w:firstLine="643"/>
        <w:rPr>
          <w:rFonts w:hint="eastAsia" w:ascii="楷体_GB2312" w:eastAsia="楷体_GB2312"/>
          <w:b/>
        </w:rPr>
      </w:pPr>
      <w:bookmarkStart w:id="0" w:name="OLE_LINK2"/>
      <w:bookmarkStart w:id="1" w:name="OLE_LINK1"/>
      <w:r>
        <w:rPr>
          <w:rFonts w:hint="eastAsia" w:ascii="楷体_GB2312" w:eastAsia="楷体_GB2312"/>
          <w:b/>
        </w:rPr>
        <w:t>（一）</w:t>
      </w:r>
      <w:bookmarkEnd w:id="0"/>
      <w:bookmarkEnd w:id="1"/>
      <w:r>
        <w:rPr>
          <w:rFonts w:hint="eastAsia" w:ascii="楷体_GB2312" w:eastAsia="楷体_GB2312"/>
          <w:b/>
        </w:rPr>
        <w:t>基本职能</w:t>
      </w:r>
    </w:p>
    <w:p w14:paraId="2E6BD1F9">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1.实验教学（小学科学、初中理化生）检查指导</w:t>
      </w:r>
    </w:p>
    <w:p w14:paraId="706D2795">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2.小学科学、初中理化生教师的培训</w:t>
      </w:r>
    </w:p>
    <w:p w14:paraId="2078BD9B">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3.教玩具制作组织</w:t>
      </w:r>
    </w:p>
    <w:p w14:paraId="434380C7">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4.图书室的管理及使用，管理员的培训指导</w:t>
      </w:r>
    </w:p>
    <w:p w14:paraId="5B999EB7">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5.初中实验考试的组织</w:t>
      </w:r>
    </w:p>
    <w:p w14:paraId="5DD85D95">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6.危险化学品的管理</w:t>
      </w:r>
    </w:p>
    <w:p w14:paraId="705E2F7F">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7.一体机的培训使用</w:t>
      </w:r>
    </w:p>
    <w:p w14:paraId="1D84FA55">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8.信息化培训指导</w:t>
      </w:r>
    </w:p>
    <w:p w14:paraId="140478A8">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9.课堂教学大比武的组织</w:t>
      </w:r>
    </w:p>
    <w:p w14:paraId="7514C9DC">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10.各种竞赛的组织（信息化大赛、校园影视成果展示、新媒体新技术教学应用实践观摩课例征集等）</w:t>
      </w:r>
    </w:p>
    <w:p w14:paraId="154C8084">
      <w:pPr>
        <w:pStyle w:val="14"/>
        <w:ind w:firstLine="643"/>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11.机器人、创客知识培训和比赛</w:t>
      </w:r>
    </w:p>
    <w:p w14:paraId="251DB1CA">
      <w:pPr>
        <w:pStyle w:val="14"/>
        <w:ind w:firstLine="643"/>
        <w:rPr>
          <w:rFonts w:hint="eastAsia" w:ascii="楷体_GB2312" w:eastAsia="楷体_GB2312"/>
          <w:b/>
        </w:rPr>
      </w:pPr>
      <w:r>
        <w:rPr>
          <w:rFonts w:hint="eastAsia" w:ascii="楷体_GB2312" w:eastAsia="楷体_GB2312"/>
          <w:b/>
        </w:rPr>
        <w:t>（二）</w:t>
      </w:r>
      <w:r>
        <w:rPr>
          <w:rFonts w:hint="eastAsia" w:ascii="楷体_GB2312" w:eastAsia="楷体_GB2312"/>
          <w:b/>
          <w:lang w:eastAsia="zh-CN"/>
        </w:rPr>
        <w:t>2026</w:t>
      </w:r>
      <w:r>
        <w:rPr>
          <w:rFonts w:hint="eastAsia" w:ascii="楷体_GB2312" w:eastAsia="楷体_GB2312"/>
          <w:b/>
        </w:rPr>
        <w:t>年主要工作</w:t>
      </w:r>
    </w:p>
    <w:p w14:paraId="06B4E126">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1、做好“义务教育均衡发展监测”工作。对全县所有义务教育学校进行逐校调研工作,完成调研报告。对部分学校的电子白板使用情况进行了深入调查，</w:t>
      </w:r>
    </w:p>
    <w:p w14:paraId="2450AB1C">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做好全县初中学生实验操作考试。制定和下发考试方案，要求学校制定了实考工作方案和安全预案，并与实考组签订安全责任书。在每所有初三毕业生的学校设考点，实施“送考下乡”，做到考生零作弊，统分零差错。</w:t>
      </w:r>
    </w:p>
    <w:p w14:paraId="5849BF92">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3、做好各类竞赛活动的组织工作。精心组织教师参加乐山市初中理、化、生实验操作技能竞赛比赛、四川省校园影视制作比赛、教玩具制作比赛，撰写教育技术论文。</w:t>
      </w:r>
    </w:p>
    <w:p w14:paraId="4100FFCA">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4、积极开展人员培训。做好一体机使用培训和实验操作考试监考人员培训。积极准备小学科学和初中理科教师实验操作技能培训。</w:t>
      </w:r>
    </w:p>
    <w:p w14:paraId="7C90F456">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5、达到学校图书回溯建库学校所数达到100%。按照省、乐山要求积极推动四川省图书信息化管理平台的建设，继续加强对学校图书回溯建库和运用的指导和督促，达到图书回溯建库学校100%。</w:t>
      </w:r>
    </w:p>
    <w:p w14:paraId="4AB696EA">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积极组织“课堂教学大比武”活动。组织学校分管领导及管理人员进行业务培训，充分利用好教育装备的QQ群和微信群对活动中遇到的问题答难解疑。对上传的作品认真审核，严格考评，向市上“推优”严把质量关，对本项活动中参与积极的学校和个人及时表彰。</w:t>
      </w:r>
    </w:p>
    <w:p w14:paraId="0545BE21">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7、协助井研县教育局其他股室搞好相关工作。协助招办搞好中考、高考的监考工作；协助人事股、教育股、计财股和局办公室搞好各种统计工作。</w:t>
      </w:r>
    </w:p>
    <w:p w14:paraId="6CE967C0">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做好业务工作的同时，根据教育局党委的安排做好党建工作。坚持每月都有主题党课，组织向全体党员和全体站内职工进行政治学习。全站坚持每周理论学习，不断提升教职工业务素质，定期开展工会活动、民主生活会等，增强电教站教职工的凝聚力，提升了党员干部的觉悟。</w:t>
      </w:r>
    </w:p>
    <w:p w14:paraId="426F9536">
      <w:pPr>
        <w:pStyle w:val="47"/>
        <w:keepNext w:val="0"/>
        <w:keepLines w:val="0"/>
        <w:pageBreakBefore w:val="0"/>
        <w:widowControl w:val="0"/>
        <w:numPr>
          <w:ilvl w:val="0"/>
          <w:numId w:val="0"/>
        </w:numPr>
        <w:kinsoku/>
        <w:wordWrap/>
        <w:overflowPunct/>
        <w:topLinePunct/>
        <w:autoSpaceDE/>
        <w:autoSpaceDN/>
        <w:bidi w:val="0"/>
        <w:adjustRightInd/>
        <w:snapToGrid/>
        <w:ind w:left="0" w:leftChars="0" w:firstLine="640" w:firstLineChars="200"/>
        <w:textAlignment w:val="auto"/>
      </w:pPr>
      <w:r>
        <w:rPr>
          <w:rFonts w:hint="eastAsia"/>
          <w:lang w:val="en-US" w:eastAsia="zh-CN"/>
        </w:rPr>
        <w:t>二、单位</w:t>
      </w:r>
      <w:r>
        <w:rPr>
          <w:rFonts w:hint="eastAsia"/>
        </w:rPr>
        <w:t>概况</w:t>
      </w:r>
    </w:p>
    <w:p w14:paraId="77C16994">
      <w:pPr>
        <w:bidi w:val="0"/>
        <w:ind w:firstLine="640" w:firstLineChars="200"/>
        <w:rPr>
          <w:rFonts w:hint="eastAsia" w:ascii="仿宋" w:hAnsi="仿宋" w:eastAsia="仿宋" w:cs="仿宋"/>
          <w:sz w:val="32"/>
          <w:szCs w:val="32"/>
        </w:rPr>
      </w:pPr>
      <w:r>
        <w:rPr>
          <w:rFonts w:hint="eastAsia" w:ascii="仿宋" w:hAnsi="仿宋" w:eastAsia="仿宋" w:cs="仿宋"/>
          <w:sz w:val="32"/>
          <w:szCs w:val="32"/>
        </w:rPr>
        <w:t>井研县电教教仪管理站是财政全额拨款预算单位，内设办公室、教导处、总务处等3个机构。单位事业编制数1</w:t>
      </w:r>
      <w:r>
        <w:rPr>
          <w:rFonts w:hint="eastAsia" w:ascii="仿宋" w:hAnsi="仿宋" w:eastAsia="仿宋" w:cs="仿宋"/>
          <w:sz w:val="32"/>
          <w:szCs w:val="32"/>
          <w:lang w:val="en-US" w:eastAsia="zh-CN"/>
        </w:rPr>
        <w:t>5</w:t>
      </w:r>
      <w:r>
        <w:rPr>
          <w:rFonts w:hint="eastAsia" w:ascii="仿宋" w:hAnsi="仿宋" w:eastAsia="仿宋" w:cs="仿宋"/>
          <w:sz w:val="32"/>
          <w:szCs w:val="32"/>
        </w:rPr>
        <w:t>人，在职教职工15人，其中:专任教师15人。退休人员25人，享受遗属补助人员2人。</w:t>
      </w:r>
    </w:p>
    <w:p w14:paraId="22A98872">
      <w:pPr>
        <w:pStyle w:val="47"/>
        <w:numPr>
          <w:ilvl w:val="0"/>
          <w:numId w:val="0"/>
        </w:numPr>
        <w:ind w:left="637" w:leftChars="0"/>
      </w:pPr>
      <w:r>
        <w:rPr>
          <w:rFonts w:hint="eastAsia"/>
          <w:lang w:val="en-US" w:eastAsia="zh-CN"/>
        </w:rPr>
        <w:t>三、</w:t>
      </w:r>
      <w:r>
        <w:rPr>
          <w:rFonts w:hint="eastAsia"/>
        </w:rPr>
        <w:t>收支预算总体情况</w:t>
      </w:r>
    </w:p>
    <w:p w14:paraId="628FAD6D">
      <w:pPr>
        <w:pStyle w:val="47"/>
        <w:numPr>
          <w:ilvl w:val="0"/>
          <w:numId w:val="0"/>
        </w:numPr>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按照综合预算的原则，井研县电教教仪管理站所有收入和支出均纳入单位预算管理。2026井研县电教教仪管理站收入预算总额为279.60万元，预算数增加30.26万元。其中：当年财政拨款收入279.60万元，事业收入0万元，事业单位经营收入0万元，其他收入0万元，上年结转0万元。相应安排支出预算279.60万元，其中：基本支出272.43万元，项目支出7.17万元。</w:t>
      </w:r>
    </w:p>
    <w:p w14:paraId="54CB12B0">
      <w:pPr>
        <w:pStyle w:val="47"/>
        <w:numPr>
          <w:ilvl w:val="0"/>
          <w:numId w:val="0"/>
        </w:numPr>
        <w:ind w:left="637" w:leftChars="0"/>
      </w:pPr>
      <w:r>
        <w:rPr>
          <w:rFonts w:hint="eastAsia"/>
          <w:lang w:val="en-US" w:eastAsia="zh-CN"/>
        </w:rPr>
        <w:t>四、</w:t>
      </w:r>
      <w:r>
        <w:rPr>
          <w:rFonts w:hint="eastAsia"/>
        </w:rPr>
        <w:t>财政拨款支出预算安排情况</w:t>
      </w:r>
    </w:p>
    <w:p w14:paraId="2C77DB9B">
      <w:pPr>
        <w:pStyle w:val="47"/>
        <w:numPr>
          <w:ilvl w:val="0"/>
          <w:numId w:val="0"/>
        </w:numPr>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井研县电教教仪管理站2026年财政拨款收支总预算279.60万元，主要用于保障该单位正常运转、完成日常工作任务以及承担教育事业发展相关工作。其中：</w:t>
      </w:r>
    </w:p>
    <w:p w14:paraId="535FFDEB">
      <w:pPr>
        <w:pStyle w:val="47"/>
        <w:numPr>
          <w:ilvl w:val="0"/>
          <w:numId w:val="0"/>
        </w:numPr>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基本支出，是用于保障井研县电教教仪管理站正常运转的日常支出，包括基本工资、津贴补贴等人员经费以及办公费、印刷费、水电费、办公设备购置等日常公用经费。</w:t>
      </w:r>
    </w:p>
    <w:p w14:paraId="7538977D">
      <w:pPr>
        <w:pStyle w:val="47"/>
        <w:numPr>
          <w:ilvl w:val="0"/>
          <w:numId w:val="0"/>
        </w:numPr>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项目支出，是用于保障井研县电教教仪管理站为完成特定的行政工作任务或事业发展目标，用于专项业务工作的经费支出。</w:t>
      </w:r>
    </w:p>
    <w:p w14:paraId="436391DC">
      <w:pPr>
        <w:pStyle w:val="47"/>
        <w:numPr>
          <w:ilvl w:val="0"/>
          <w:numId w:val="0"/>
        </w:numPr>
        <w:ind w:left="637" w:leftChars="0"/>
        <w:rPr>
          <w:rFonts w:hint="eastAsia"/>
        </w:rPr>
      </w:pPr>
      <w:r>
        <w:rPr>
          <w:rFonts w:hint="eastAsia"/>
          <w:lang w:val="en-US" w:eastAsia="zh-CN"/>
        </w:rPr>
        <w:t>五、</w:t>
      </w:r>
      <w:r>
        <w:rPr>
          <w:rFonts w:hint="eastAsia"/>
        </w:rPr>
        <w:t>一般公共预算当年拨款情况说明</w:t>
      </w:r>
    </w:p>
    <w:p w14:paraId="5CDF51F2">
      <w:pPr>
        <w:pStyle w:val="46"/>
        <w:numPr>
          <w:ilvl w:val="0"/>
          <w:numId w:val="0"/>
        </w:numPr>
        <w:ind w:firstLine="640" w:firstLineChars="200"/>
        <w:rPr>
          <w:rFonts w:hint="eastAsia"/>
        </w:rPr>
      </w:pPr>
      <w:r>
        <w:rPr>
          <w:rFonts w:hint="eastAsia"/>
          <w:lang w:eastAsia="zh-CN"/>
        </w:rPr>
        <w:t>（</w:t>
      </w:r>
      <w:r>
        <w:rPr>
          <w:rFonts w:hint="eastAsia"/>
          <w:lang w:val="en-US" w:eastAsia="zh-CN"/>
        </w:rPr>
        <w:t>一</w:t>
      </w:r>
      <w:r>
        <w:rPr>
          <w:rFonts w:hint="eastAsia"/>
          <w:lang w:eastAsia="zh-CN"/>
        </w:rPr>
        <w:t>）</w:t>
      </w:r>
      <w:r>
        <w:rPr>
          <w:rFonts w:hint="eastAsia"/>
        </w:rPr>
        <w:t>一般公共预算当年拨款规模及变化情况。</w:t>
      </w:r>
    </w:p>
    <w:p w14:paraId="350B0D41">
      <w:pPr>
        <w:pStyle w:val="14"/>
        <w:rPr>
          <w:rFonts w:hint="eastAsia"/>
        </w:rPr>
      </w:pPr>
      <w:r>
        <w:rPr>
          <w:rFonts w:hint="eastAsia"/>
        </w:rPr>
        <w:t>井研县电教教仪管理站202</w:t>
      </w:r>
      <w:r>
        <w:rPr>
          <w:rFonts w:hint="eastAsia"/>
          <w:lang w:val="en-US" w:eastAsia="zh-CN"/>
        </w:rPr>
        <w:t>6</w:t>
      </w:r>
      <w:r>
        <w:rPr>
          <w:rFonts w:hint="eastAsia"/>
        </w:rPr>
        <w:t>年一般公共预算当年拨款</w:t>
      </w:r>
      <w:r>
        <w:rPr>
          <w:rFonts w:hint="eastAsia"/>
          <w:lang w:val="en-US" w:eastAsia="zh-CN"/>
        </w:rPr>
        <w:t>279.60</w:t>
      </w:r>
      <w:r>
        <w:rPr>
          <w:rFonts w:hint="eastAsia"/>
        </w:rPr>
        <w:t>万元，较上年预算数增加</w:t>
      </w:r>
      <w:r>
        <w:rPr>
          <w:rFonts w:hint="eastAsia"/>
          <w:lang w:val="en-US" w:eastAsia="zh-CN"/>
        </w:rPr>
        <w:t>30.26</w:t>
      </w:r>
      <w:r>
        <w:rPr>
          <w:rFonts w:hint="eastAsia"/>
        </w:rPr>
        <w:t>万元。主要是因为</w:t>
      </w:r>
      <w:r>
        <w:rPr>
          <w:rFonts w:hint="eastAsia"/>
          <w:lang w:val="en-US" w:eastAsia="zh-CN"/>
        </w:rPr>
        <w:t>工资性支出增加</w:t>
      </w:r>
      <w:r>
        <w:rPr>
          <w:rFonts w:hint="eastAsia"/>
        </w:rPr>
        <w:t>。</w:t>
      </w:r>
    </w:p>
    <w:p w14:paraId="4363FA4D">
      <w:pPr>
        <w:pStyle w:val="46"/>
        <w:numPr>
          <w:ilvl w:val="0"/>
          <w:numId w:val="0"/>
        </w:numPr>
        <w:ind w:firstLine="640" w:firstLineChars="200"/>
        <w:rPr>
          <w:rFonts w:hint="eastAsia"/>
        </w:rPr>
      </w:pPr>
      <w:r>
        <w:rPr>
          <w:rFonts w:hint="eastAsia"/>
          <w:lang w:eastAsia="zh-CN"/>
        </w:rPr>
        <w:t>（</w:t>
      </w:r>
      <w:r>
        <w:rPr>
          <w:rFonts w:hint="eastAsia"/>
          <w:lang w:val="en-US" w:eastAsia="zh-CN"/>
        </w:rPr>
        <w:t>二</w:t>
      </w:r>
      <w:r>
        <w:rPr>
          <w:rFonts w:hint="eastAsia"/>
          <w:lang w:eastAsia="zh-CN"/>
        </w:rPr>
        <w:t>）</w:t>
      </w:r>
      <w:r>
        <w:rPr>
          <w:rFonts w:hint="eastAsia"/>
        </w:rPr>
        <w:t>一般公共预算当年拨款结构情况</w:t>
      </w:r>
    </w:p>
    <w:p w14:paraId="77C01B40">
      <w:pPr>
        <w:pStyle w:val="14"/>
        <w:rPr>
          <w:rFonts w:hint="eastAsia"/>
        </w:rPr>
      </w:pPr>
      <w:r>
        <w:rPr>
          <w:rFonts w:hint="eastAsia"/>
        </w:rPr>
        <w:t> 教育支出</w:t>
      </w:r>
      <w:r>
        <w:rPr>
          <w:rFonts w:hint="eastAsia"/>
          <w:lang w:val="en-US" w:eastAsia="zh-CN"/>
        </w:rPr>
        <w:t>201.26</w:t>
      </w:r>
      <w:r>
        <w:rPr>
          <w:rFonts w:hint="eastAsia"/>
        </w:rPr>
        <w:t>万元，占</w:t>
      </w:r>
      <w:r>
        <w:rPr>
          <w:rFonts w:hint="eastAsia"/>
          <w:lang w:val="en-US" w:eastAsia="zh-CN"/>
        </w:rPr>
        <w:t>71.98</w:t>
      </w:r>
      <w:r>
        <w:rPr>
          <w:rFonts w:hint="eastAsia"/>
        </w:rPr>
        <w:t>%、 卫生健康支出</w:t>
      </w:r>
      <w:r>
        <w:rPr>
          <w:rFonts w:hint="eastAsia"/>
          <w:lang w:val="en-US" w:eastAsia="zh-CN"/>
        </w:rPr>
        <w:t>13.07</w:t>
      </w:r>
      <w:r>
        <w:rPr>
          <w:rFonts w:hint="eastAsia"/>
        </w:rPr>
        <w:t>万元，占</w:t>
      </w:r>
      <w:r>
        <w:rPr>
          <w:rFonts w:hint="eastAsia"/>
          <w:lang w:val="en-US" w:eastAsia="zh-CN"/>
        </w:rPr>
        <w:t>4.67</w:t>
      </w:r>
      <w:r>
        <w:rPr>
          <w:rFonts w:hint="eastAsia"/>
        </w:rPr>
        <w:t>%、 住房保障支出</w:t>
      </w:r>
      <w:r>
        <w:rPr>
          <w:rFonts w:hint="eastAsia"/>
          <w:lang w:val="en-US" w:eastAsia="zh-CN"/>
        </w:rPr>
        <w:t>23.59</w:t>
      </w:r>
      <w:r>
        <w:rPr>
          <w:rFonts w:hint="eastAsia"/>
        </w:rPr>
        <w:t>万元，占</w:t>
      </w:r>
      <w:r>
        <w:rPr>
          <w:rFonts w:hint="eastAsia"/>
          <w:lang w:val="en-US" w:eastAsia="zh-CN"/>
        </w:rPr>
        <w:t>8.44</w:t>
      </w:r>
      <w:r>
        <w:rPr>
          <w:rFonts w:hint="eastAsia"/>
        </w:rPr>
        <w:t>%、 社会保障和就业支出</w:t>
      </w:r>
      <w:r>
        <w:rPr>
          <w:rFonts w:hint="eastAsia"/>
          <w:lang w:val="en-US" w:eastAsia="zh-CN"/>
        </w:rPr>
        <w:t>41.68</w:t>
      </w:r>
      <w:r>
        <w:rPr>
          <w:rFonts w:hint="eastAsia"/>
        </w:rPr>
        <w:t>万元，占</w:t>
      </w:r>
      <w:r>
        <w:rPr>
          <w:rFonts w:hint="eastAsia"/>
          <w:lang w:val="en-US" w:eastAsia="zh-CN"/>
        </w:rPr>
        <w:t>14.91</w:t>
      </w:r>
      <w:r>
        <w:rPr>
          <w:rFonts w:hint="eastAsia"/>
        </w:rPr>
        <w:t>%。</w:t>
      </w:r>
    </w:p>
    <w:p w14:paraId="7AE02F1E">
      <w:pPr>
        <w:pStyle w:val="46"/>
        <w:numPr>
          <w:ilvl w:val="0"/>
          <w:numId w:val="0"/>
        </w:numPr>
        <w:ind w:firstLine="640" w:firstLineChars="200"/>
        <w:rPr>
          <w:rFonts w:hint="eastAsia"/>
        </w:rPr>
      </w:pPr>
      <w:r>
        <w:rPr>
          <w:rFonts w:hint="eastAsia"/>
          <w:lang w:eastAsia="zh-CN"/>
        </w:rPr>
        <w:t>（</w:t>
      </w:r>
      <w:r>
        <w:rPr>
          <w:rFonts w:hint="eastAsia"/>
          <w:lang w:val="en-US" w:eastAsia="zh-CN"/>
        </w:rPr>
        <w:t>三</w:t>
      </w:r>
      <w:r>
        <w:rPr>
          <w:rFonts w:hint="eastAsia"/>
          <w:lang w:eastAsia="zh-CN"/>
        </w:rPr>
        <w:t>）</w:t>
      </w:r>
      <w:r>
        <w:rPr>
          <w:rFonts w:hint="eastAsia"/>
        </w:rPr>
        <w:t>一般公共预算当年拨款具体使用情况。</w:t>
      </w:r>
    </w:p>
    <w:p w14:paraId="725CB501">
      <w:pPr>
        <w:pStyle w:val="14"/>
        <w:rPr>
          <w:rFonts w:hint="eastAsia"/>
        </w:rPr>
      </w:pPr>
      <w:r>
        <w:rPr>
          <w:rFonts w:hint="eastAsia"/>
        </w:rPr>
        <w:t>1.教育支出（类）其它教育支出（款）其它教育支出（项）:</w:t>
      </w:r>
      <w:r>
        <w:rPr>
          <w:rFonts w:hint="eastAsia"/>
          <w:lang w:eastAsia="zh-CN"/>
        </w:rPr>
        <w:t>2026</w:t>
      </w:r>
      <w:r>
        <w:rPr>
          <w:rFonts w:hint="eastAsia"/>
        </w:rPr>
        <w:t>年预算数为</w:t>
      </w:r>
      <w:r>
        <w:rPr>
          <w:rFonts w:hint="eastAsia"/>
          <w:lang w:val="en-US" w:eastAsia="zh-CN"/>
        </w:rPr>
        <w:t>201.26</w:t>
      </w:r>
      <w:r>
        <w:rPr>
          <w:rFonts w:hint="eastAsia"/>
        </w:rPr>
        <w:t>万元，主要用于单位正常运转的基本支出，包括基本工资、津贴补贴等人员经费以及办公费、印刷费、水电费等日常公用经费。</w:t>
      </w:r>
    </w:p>
    <w:p w14:paraId="6A8D8E1F">
      <w:pPr>
        <w:pStyle w:val="14"/>
        <w:rPr>
          <w:rFonts w:hint="eastAsia"/>
        </w:rPr>
      </w:pPr>
      <w:r>
        <w:rPr>
          <w:rFonts w:hint="eastAsia"/>
        </w:rPr>
        <w:t>2.社会保障和就业支出（类）行政事业单位养老支出（款）机关事业单位基本养老保险缴费支出（项）:</w:t>
      </w:r>
      <w:r>
        <w:rPr>
          <w:rFonts w:hint="eastAsia"/>
          <w:lang w:eastAsia="zh-CN"/>
        </w:rPr>
        <w:t>2026</w:t>
      </w:r>
      <w:r>
        <w:rPr>
          <w:rFonts w:hint="eastAsia"/>
        </w:rPr>
        <w:t>年预算数为</w:t>
      </w:r>
      <w:r>
        <w:rPr>
          <w:rFonts w:hint="eastAsia"/>
          <w:lang w:val="en-US" w:eastAsia="zh-CN"/>
        </w:rPr>
        <w:t>27.79</w:t>
      </w:r>
      <w:r>
        <w:rPr>
          <w:rFonts w:hint="eastAsia"/>
        </w:rPr>
        <w:t>万元，主要用于：实施养老保险制度后，单位按规定由单位缴纳的基本养老保险费支出。</w:t>
      </w:r>
    </w:p>
    <w:p w14:paraId="03AF5C5A">
      <w:pPr>
        <w:pStyle w:val="14"/>
        <w:rPr>
          <w:rFonts w:hint="eastAsia"/>
        </w:rPr>
      </w:pPr>
      <w:r>
        <w:rPr>
          <w:rFonts w:hint="eastAsia"/>
        </w:rPr>
        <w:t>3. 社会保障和就业支出（类）行政事业单位养老支出（款）机关事业单位职业年金缴费支出（项）:</w:t>
      </w:r>
      <w:r>
        <w:rPr>
          <w:rFonts w:hint="eastAsia"/>
          <w:lang w:eastAsia="zh-CN"/>
        </w:rPr>
        <w:t>2026</w:t>
      </w:r>
      <w:r>
        <w:rPr>
          <w:rFonts w:hint="eastAsia"/>
        </w:rPr>
        <w:t>年预算数为</w:t>
      </w:r>
      <w:r>
        <w:rPr>
          <w:rFonts w:hint="eastAsia"/>
          <w:lang w:val="en-US" w:eastAsia="zh-CN"/>
        </w:rPr>
        <w:t>13.89</w:t>
      </w:r>
      <w:r>
        <w:rPr>
          <w:rFonts w:hint="eastAsia"/>
        </w:rPr>
        <w:t>万元，主要用于：实施养老保险制度后，单位按规定由单位缴纳的职业年金支出。</w:t>
      </w:r>
    </w:p>
    <w:p w14:paraId="74BCF274">
      <w:pPr>
        <w:pStyle w:val="14"/>
        <w:rPr>
          <w:rFonts w:hint="eastAsia"/>
        </w:rPr>
      </w:pPr>
      <w:r>
        <w:rPr>
          <w:rFonts w:hint="eastAsia"/>
        </w:rPr>
        <w:t>4. 卫生健康支出（类）行政事业单位医疗（款）事业单位医疗（项）:</w:t>
      </w:r>
      <w:r>
        <w:rPr>
          <w:rFonts w:hint="eastAsia"/>
          <w:lang w:eastAsia="zh-CN"/>
        </w:rPr>
        <w:t>2026</w:t>
      </w:r>
      <w:r>
        <w:rPr>
          <w:rFonts w:hint="eastAsia"/>
        </w:rPr>
        <w:t>年预算数为</w:t>
      </w:r>
      <w:r>
        <w:rPr>
          <w:rFonts w:hint="eastAsia"/>
          <w:lang w:val="en-US" w:eastAsia="zh-CN"/>
        </w:rPr>
        <w:t>10.61</w:t>
      </w:r>
      <w:r>
        <w:rPr>
          <w:rFonts w:hint="eastAsia"/>
        </w:rPr>
        <w:t>万元，主要用于：单位基本医疗保险缴费支出。</w:t>
      </w:r>
    </w:p>
    <w:p w14:paraId="6F912C20">
      <w:pPr>
        <w:pStyle w:val="14"/>
        <w:rPr>
          <w:rFonts w:hint="eastAsia"/>
        </w:rPr>
      </w:pPr>
      <w:r>
        <w:rPr>
          <w:rFonts w:hint="eastAsia"/>
        </w:rPr>
        <w:t>5.卫生健康支出（类）行政事业单位医疗（款）其它行政事业单位医疗支出（项）:</w:t>
      </w:r>
      <w:r>
        <w:rPr>
          <w:rFonts w:hint="eastAsia"/>
          <w:lang w:eastAsia="zh-CN"/>
        </w:rPr>
        <w:t>2026</w:t>
      </w:r>
      <w:r>
        <w:rPr>
          <w:rFonts w:hint="eastAsia"/>
        </w:rPr>
        <w:t>年预算数为2.4</w:t>
      </w:r>
      <w:r>
        <w:rPr>
          <w:rFonts w:hint="eastAsia"/>
          <w:lang w:val="en-US" w:eastAsia="zh-CN"/>
        </w:rPr>
        <w:t>6</w:t>
      </w:r>
      <w:r>
        <w:rPr>
          <w:rFonts w:hint="eastAsia"/>
        </w:rPr>
        <w:t>万元，主要用于：单位医疗补助支出。</w:t>
      </w:r>
    </w:p>
    <w:p w14:paraId="633FE9DC">
      <w:pPr>
        <w:pStyle w:val="14"/>
        <w:rPr>
          <w:rFonts w:hint="eastAsia"/>
        </w:rPr>
      </w:pPr>
      <w:r>
        <w:rPr>
          <w:rFonts w:hint="eastAsia"/>
        </w:rPr>
        <w:t>6.住房保障支出（类）住房改革支出（款）住房公积金（项）:</w:t>
      </w:r>
      <w:r>
        <w:rPr>
          <w:rFonts w:hint="eastAsia"/>
          <w:lang w:eastAsia="zh-CN"/>
        </w:rPr>
        <w:t>2026</w:t>
      </w:r>
      <w:r>
        <w:rPr>
          <w:rFonts w:hint="eastAsia"/>
        </w:rPr>
        <w:t>年预算数为</w:t>
      </w:r>
      <w:r>
        <w:rPr>
          <w:rFonts w:hint="eastAsia"/>
          <w:lang w:val="en-US" w:eastAsia="zh-CN"/>
        </w:rPr>
        <w:t>23.59</w:t>
      </w:r>
      <w:r>
        <w:rPr>
          <w:rFonts w:hint="eastAsia"/>
        </w:rPr>
        <w:t>万元，主要用于：单位按人力资源和社会保障部、财政部规定的基本工资和津贴补贴以及规定比例为职工缴纳的住房公积金支出。</w:t>
      </w:r>
    </w:p>
    <w:p w14:paraId="43BF9392">
      <w:pPr>
        <w:pStyle w:val="47"/>
        <w:numPr>
          <w:ilvl w:val="0"/>
          <w:numId w:val="0"/>
        </w:numPr>
        <w:ind w:left="637" w:leftChars="0"/>
        <w:rPr>
          <w:rFonts w:hint="eastAsia"/>
        </w:rPr>
      </w:pPr>
      <w:r>
        <w:rPr>
          <w:rFonts w:hint="eastAsia"/>
          <w:lang w:val="en-US" w:eastAsia="zh-CN"/>
        </w:rPr>
        <w:t>六、</w:t>
      </w:r>
      <w:r>
        <w:rPr>
          <w:rFonts w:hint="eastAsia"/>
        </w:rPr>
        <w:t>一般公共预算基本支出情况说明</w:t>
      </w:r>
    </w:p>
    <w:p w14:paraId="0190F0CC">
      <w:pPr>
        <w:pStyle w:val="14"/>
        <w:rPr>
          <w:rFonts w:hint="eastAsia"/>
        </w:rPr>
      </w:pPr>
      <w:r>
        <w:rPr>
          <w:rFonts w:hint="eastAsia"/>
        </w:rPr>
        <w:t>井研县电教教仪管理站202</w:t>
      </w:r>
      <w:r>
        <w:rPr>
          <w:rFonts w:hint="eastAsia"/>
          <w:lang w:val="en-US" w:eastAsia="zh-CN"/>
        </w:rPr>
        <w:t>6</w:t>
      </w:r>
      <w:r>
        <w:rPr>
          <w:rFonts w:hint="eastAsia"/>
        </w:rPr>
        <w:t>年一般公共预算基本支出</w:t>
      </w:r>
      <w:r>
        <w:rPr>
          <w:rFonts w:hint="eastAsia"/>
          <w:lang w:val="en-US" w:eastAsia="zh-CN"/>
        </w:rPr>
        <w:t>279.60</w:t>
      </w:r>
      <w:r>
        <w:rPr>
          <w:rFonts w:hint="eastAsia"/>
        </w:rPr>
        <w:t>万元，其中：</w:t>
      </w:r>
    </w:p>
    <w:p w14:paraId="60BB49CF">
      <w:pPr>
        <w:pStyle w:val="14"/>
        <w:rPr>
          <w:rFonts w:hint="eastAsia"/>
        </w:rPr>
      </w:pPr>
      <w:r>
        <w:rPr>
          <w:rFonts w:hint="eastAsia"/>
        </w:rPr>
        <w:t>人员经费</w:t>
      </w:r>
      <w:r>
        <w:rPr>
          <w:rFonts w:hint="eastAsia"/>
          <w:lang w:val="en-US" w:eastAsia="zh-CN"/>
        </w:rPr>
        <w:t>260.04</w:t>
      </w:r>
      <w:r>
        <w:rPr>
          <w:rFonts w:hint="eastAsia"/>
        </w:rPr>
        <w:t>万元，主要包括：基本工资、津贴补贴、奖金、社会保险缴费、绩效工资、机关事业单位基本养老保险缴费、职业年金缴费、其他工资福利支出、离休费、住房公积金、其他对个人和家庭的补助支出。</w:t>
      </w:r>
    </w:p>
    <w:p w14:paraId="4C39DD3D">
      <w:pPr>
        <w:pStyle w:val="14"/>
        <w:rPr>
          <w:rFonts w:hint="eastAsia"/>
        </w:rPr>
      </w:pPr>
      <w:r>
        <w:rPr>
          <w:rFonts w:hint="eastAsia"/>
        </w:rPr>
        <w:t>公用经费</w:t>
      </w:r>
      <w:r>
        <w:rPr>
          <w:rFonts w:hint="eastAsia"/>
          <w:lang w:val="en-US" w:eastAsia="zh-CN"/>
        </w:rPr>
        <w:t>12.39</w:t>
      </w:r>
      <w:r>
        <w:rPr>
          <w:rFonts w:hint="eastAsia"/>
        </w:rPr>
        <w:t>万元，主要包括：办公费、印刷费、手续费、水费、电费、邮电费、差旅费、维修（护）费、会议费、培训费、劳务费、工会经费、福利费、其他交通费、其他商品和服务支出。</w:t>
      </w:r>
    </w:p>
    <w:p w14:paraId="223490EE">
      <w:pPr>
        <w:pStyle w:val="47"/>
        <w:numPr>
          <w:ilvl w:val="0"/>
          <w:numId w:val="0"/>
        </w:numPr>
        <w:ind w:firstLine="640" w:firstLineChars="200"/>
        <w:rPr>
          <w:rFonts w:hint="eastAsia"/>
        </w:rPr>
      </w:pPr>
      <w:r>
        <w:rPr>
          <w:rFonts w:hint="eastAsia"/>
          <w:lang w:val="en-US" w:eastAsia="zh-CN"/>
        </w:rPr>
        <w:t>七、</w:t>
      </w:r>
      <w:r>
        <w:rPr>
          <w:rFonts w:hint="eastAsia"/>
        </w:rPr>
        <w:t>政府性基金预算支出规模及变化情况说明</w:t>
      </w:r>
    </w:p>
    <w:p w14:paraId="3EAA8559">
      <w:pPr>
        <w:pStyle w:val="14"/>
        <w:rPr>
          <w:rFonts w:hint="eastAsia"/>
          <w:highlight w:val="yellow"/>
        </w:rPr>
      </w:pPr>
      <w:r>
        <w:rPr>
          <w:rFonts w:hint="eastAsia"/>
          <w:lang w:eastAsia="zh-CN"/>
        </w:rPr>
        <w:t>井研县电教教仪管理站202</w:t>
      </w:r>
      <w:r>
        <w:rPr>
          <w:rFonts w:hint="eastAsia"/>
          <w:lang w:val="en-US" w:eastAsia="zh-CN"/>
        </w:rPr>
        <w:t>6</w:t>
      </w:r>
      <w:r>
        <w:rPr>
          <w:rFonts w:hint="eastAsia"/>
          <w:lang w:eastAsia="zh-CN"/>
        </w:rPr>
        <w:t>年</w:t>
      </w:r>
      <w:r>
        <w:rPr>
          <w:rFonts w:hint="eastAsia" w:ascii="仿宋" w:hAnsi="仿宋" w:eastAsia="仿宋" w:cs="仿宋"/>
          <w:sz w:val="32"/>
          <w:szCs w:val="32"/>
        </w:rPr>
        <w:t>没有</w:t>
      </w:r>
      <w:r>
        <w:rPr>
          <w:rFonts w:hint="eastAsia"/>
        </w:rPr>
        <w:t>政府性基金预算</w:t>
      </w:r>
      <w:r>
        <w:rPr>
          <w:rFonts w:hint="eastAsia"/>
          <w:lang w:val="en-US" w:eastAsia="zh-CN"/>
        </w:rPr>
        <w:t>支出</w:t>
      </w:r>
      <w:r>
        <w:rPr>
          <w:rFonts w:hint="eastAsia"/>
        </w:rPr>
        <w:t>，较上年</w:t>
      </w:r>
      <w:r>
        <w:rPr>
          <w:rFonts w:hint="eastAsia"/>
          <w:lang w:val="en-US" w:eastAsia="zh-CN"/>
        </w:rPr>
        <w:t>持平</w:t>
      </w:r>
      <w:r>
        <w:rPr>
          <w:rFonts w:hint="eastAsia"/>
        </w:rPr>
        <w:t>。</w:t>
      </w:r>
    </w:p>
    <w:p w14:paraId="6444FF82">
      <w:pPr>
        <w:pStyle w:val="47"/>
        <w:numPr>
          <w:ilvl w:val="0"/>
          <w:numId w:val="0"/>
        </w:numPr>
        <w:ind w:left="637" w:leftChars="0"/>
      </w:pPr>
      <w:r>
        <w:rPr>
          <w:rFonts w:hint="eastAsia"/>
          <w:lang w:val="en-US" w:eastAsia="zh-CN"/>
        </w:rPr>
        <w:t>八、</w:t>
      </w:r>
      <w:r>
        <w:rPr>
          <w:rFonts w:hint="eastAsia"/>
        </w:rPr>
        <w:t>国有资本经营预算支出情况说明</w:t>
      </w:r>
    </w:p>
    <w:p w14:paraId="7CFAD8D0">
      <w:pPr>
        <w:ind w:left="0" w:leftChars="0" w:firstLine="640" w:firstLineChars="200"/>
        <w:rPr>
          <w:rFonts w:hint="eastAsia" w:ascii="仿宋_GB2312" w:hAnsi="Calibri" w:eastAsia="仿宋_GB2312"/>
          <w:sz w:val="32"/>
          <w:szCs w:val="32"/>
        </w:rPr>
      </w:pPr>
      <w:r>
        <w:rPr>
          <w:rFonts w:hint="eastAsia" w:ascii="仿宋" w:hAnsi="仿宋" w:eastAsia="仿宋" w:cs="仿宋"/>
          <w:sz w:val="32"/>
          <w:szCs w:val="32"/>
        </w:rPr>
        <w:t>井研县电教教仪管理站</w:t>
      </w:r>
      <w:r>
        <w:rPr>
          <w:rFonts w:hint="eastAsia" w:ascii="仿宋" w:hAnsi="仿宋" w:eastAsia="仿宋" w:cs="仿宋"/>
          <w:sz w:val="32"/>
          <w:szCs w:val="32"/>
          <w:lang w:eastAsia="zh-CN"/>
        </w:rPr>
        <w:t>2026</w:t>
      </w:r>
      <w:r>
        <w:rPr>
          <w:rFonts w:hint="eastAsia" w:ascii="仿宋" w:hAnsi="仿宋" w:eastAsia="仿宋" w:cs="仿宋"/>
          <w:sz w:val="32"/>
          <w:szCs w:val="32"/>
        </w:rPr>
        <w:t>年没有使用国有资本经营预算拨款安排的支出，较上年持平。</w:t>
      </w:r>
    </w:p>
    <w:p w14:paraId="2101AC3E">
      <w:pPr>
        <w:pStyle w:val="47"/>
        <w:numPr>
          <w:ilvl w:val="0"/>
          <w:numId w:val="0"/>
        </w:numPr>
        <w:ind w:firstLine="640" w:firstLineChars="200"/>
        <w:rPr>
          <w:rFonts w:hint="eastAsia"/>
        </w:rPr>
      </w:pPr>
      <w:r>
        <w:rPr>
          <w:rFonts w:hint="eastAsia"/>
          <w:lang w:val="en-US" w:eastAsia="zh-CN"/>
        </w:rPr>
        <w:t>九、</w:t>
      </w:r>
      <w:r>
        <w:rPr>
          <w:rFonts w:hint="eastAsia"/>
        </w:rPr>
        <w:t>“三公”经费预算安排情况说明</w:t>
      </w:r>
    </w:p>
    <w:p w14:paraId="6ED81F11">
      <w:pPr>
        <w:pStyle w:val="14"/>
        <w:rPr>
          <w:rFonts w:hint="eastAsia"/>
        </w:rPr>
      </w:pPr>
      <w:r>
        <w:rPr>
          <w:rFonts w:hint="eastAsia"/>
        </w:rPr>
        <w:t>井研县电教教仪管理站</w:t>
      </w:r>
      <w:r>
        <w:rPr>
          <w:rFonts w:hint="eastAsia"/>
          <w:lang w:eastAsia="zh-CN"/>
        </w:rPr>
        <w:t>2026</w:t>
      </w:r>
      <w:r>
        <w:rPr>
          <w:rFonts w:hint="eastAsia"/>
        </w:rPr>
        <w:t>年没有使用财政拨款安排“三公”经费预算，较上年持平。</w:t>
      </w:r>
    </w:p>
    <w:p w14:paraId="76EA9921">
      <w:pPr>
        <w:pStyle w:val="47"/>
        <w:numPr>
          <w:ilvl w:val="0"/>
          <w:numId w:val="0"/>
        </w:numPr>
        <w:ind w:left="637" w:leftChars="0"/>
        <w:rPr>
          <w:rFonts w:hint="eastAsia"/>
        </w:rPr>
      </w:pPr>
      <w:r>
        <w:rPr>
          <w:rFonts w:hint="eastAsia"/>
          <w:lang w:val="en-US" w:eastAsia="zh-CN"/>
        </w:rPr>
        <w:t>十、</w:t>
      </w:r>
      <w:r>
        <w:rPr>
          <w:rFonts w:hint="eastAsia"/>
        </w:rPr>
        <w:t>其他重要事项的情况说明</w:t>
      </w:r>
    </w:p>
    <w:p w14:paraId="370A9D1D">
      <w:pPr>
        <w:pStyle w:val="46"/>
        <w:numPr>
          <w:ilvl w:val="0"/>
          <w:numId w:val="0"/>
        </w:numPr>
        <w:ind w:firstLine="640" w:firstLineChars="200"/>
        <w:rPr>
          <w:rFonts w:hint="eastAsia"/>
        </w:rPr>
      </w:pPr>
      <w:r>
        <w:rPr>
          <w:rFonts w:hint="eastAsia"/>
          <w:lang w:eastAsia="zh-CN"/>
        </w:rPr>
        <w:t>（</w:t>
      </w:r>
      <w:r>
        <w:rPr>
          <w:rFonts w:hint="eastAsia"/>
          <w:lang w:val="en-US" w:eastAsia="zh-CN"/>
        </w:rPr>
        <w:t>一</w:t>
      </w:r>
      <w:r>
        <w:rPr>
          <w:rFonts w:hint="eastAsia"/>
          <w:lang w:eastAsia="zh-CN"/>
        </w:rPr>
        <w:t>）</w:t>
      </w:r>
      <w:r>
        <w:rPr>
          <w:rFonts w:hint="eastAsia"/>
        </w:rPr>
        <w:t>机关运行经费。</w:t>
      </w:r>
    </w:p>
    <w:p w14:paraId="0877EC4B">
      <w:pPr>
        <w:pStyle w:val="14"/>
        <w:rPr>
          <w:rFonts w:hint="eastAsia"/>
        </w:rPr>
      </w:pPr>
      <w:r>
        <w:rPr>
          <w:rFonts w:hint="eastAsia"/>
        </w:rPr>
        <w:t>井研县电教教仪管理站</w:t>
      </w:r>
      <w:r>
        <w:rPr>
          <w:rFonts w:hint="eastAsia"/>
          <w:lang w:eastAsia="zh-CN"/>
        </w:rPr>
        <w:t>为事业单位，按规定未使用机关运行的相关科目。</w:t>
      </w:r>
    </w:p>
    <w:p w14:paraId="0758EAFA">
      <w:pPr>
        <w:pStyle w:val="46"/>
        <w:numPr>
          <w:ilvl w:val="0"/>
          <w:numId w:val="0"/>
        </w:numPr>
        <w:ind w:firstLine="640" w:firstLineChars="200"/>
        <w:rPr>
          <w:rFonts w:hint="eastAsia"/>
        </w:rPr>
      </w:pPr>
      <w:r>
        <w:rPr>
          <w:rFonts w:hint="eastAsia"/>
          <w:lang w:eastAsia="zh-CN"/>
        </w:rPr>
        <w:t>（</w:t>
      </w:r>
      <w:r>
        <w:rPr>
          <w:rFonts w:hint="eastAsia"/>
          <w:lang w:val="en-US" w:eastAsia="zh-CN"/>
        </w:rPr>
        <w:t>二</w:t>
      </w:r>
      <w:r>
        <w:rPr>
          <w:rFonts w:hint="eastAsia"/>
          <w:lang w:eastAsia="zh-CN"/>
        </w:rPr>
        <w:t>）</w:t>
      </w:r>
      <w:r>
        <w:rPr>
          <w:rFonts w:hint="eastAsia"/>
        </w:rPr>
        <w:t>政府采购情况。</w:t>
      </w:r>
    </w:p>
    <w:p w14:paraId="4C98F11C">
      <w:pPr>
        <w:pStyle w:val="14"/>
        <w:rPr>
          <w:rFonts w:hint="eastAsia"/>
          <w:highlight w:val="yellow"/>
        </w:rPr>
      </w:pPr>
      <w:r>
        <w:rPr>
          <w:rFonts w:hint="eastAsia"/>
          <w:lang w:eastAsia="zh-CN"/>
        </w:rPr>
        <w:t>2026年，</w:t>
      </w:r>
      <w:r>
        <w:rPr>
          <w:rFonts w:hint="eastAsia"/>
        </w:rPr>
        <w:t>井研县电教教仪管理站未安排政府采购预算。</w:t>
      </w:r>
    </w:p>
    <w:p w14:paraId="77E5BC3B">
      <w:pPr>
        <w:pStyle w:val="14"/>
        <w:numPr>
          <w:ilvl w:val="0"/>
          <w:numId w:val="0"/>
        </w:numPr>
        <w:ind w:firstLine="640" w:firstLineChars="200"/>
        <w:rPr>
          <w:rFonts w:hint="eastAsia" w:ascii="楷体_GB2312" w:hAnsi="Calibri" w:eastAsia="楷体_GB2312"/>
          <w:kern w:val="2"/>
          <w:sz w:val="32"/>
          <w:szCs w:val="32"/>
          <w:lang w:val="en-US" w:eastAsia="zh-CN" w:bidi="ar-SA"/>
        </w:rPr>
      </w:pPr>
      <w:r>
        <w:rPr>
          <w:rFonts w:hint="eastAsia" w:ascii="楷体_GB2312" w:eastAsia="楷体_GB2312"/>
          <w:kern w:val="2"/>
          <w:sz w:val="32"/>
          <w:szCs w:val="32"/>
          <w:lang w:val="en-US" w:eastAsia="zh-CN" w:bidi="ar-SA"/>
        </w:rPr>
        <w:t>（三）</w:t>
      </w:r>
      <w:r>
        <w:rPr>
          <w:rFonts w:hint="eastAsia" w:ascii="楷体_GB2312" w:hAnsi="Calibri" w:eastAsia="楷体_GB2312"/>
          <w:kern w:val="2"/>
          <w:sz w:val="32"/>
          <w:szCs w:val="32"/>
          <w:lang w:val="en-US" w:eastAsia="zh-CN" w:bidi="ar-SA"/>
        </w:rPr>
        <w:t>政府购买服务情况。</w:t>
      </w:r>
    </w:p>
    <w:p w14:paraId="0600DF00">
      <w:pPr>
        <w:pStyle w:val="14"/>
        <w:rPr>
          <w:rFonts w:hint="default"/>
          <w:highlight w:val="yellow"/>
          <w:lang w:val="en-US" w:eastAsia="zh-CN"/>
        </w:rPr>
      </w:pPr>
      <w:r>
        <w:rPr>
          <w:rFonts w:hint="eastAsia"/>
          <w:lang w:eastAsia="zh-CN"/>
        </w:rPr>
        <w:t>2026年</w:t>
      </w:r>
      <w:r>
        <w:rPr>
          <w:rFonts w:hint="eastAsia"/>
        </w:rPr>
        <w:t>，井研县电教教仪管理站未安</w:t>
      </w:r>
      <w:r>
        <w:rPr>
          <w:rFonts w:hint="eastAsia"/>
          <w:lang w:val="en-US" w:eastAsia="zh-CN"/>
        </w:rPr>
        <w:t>政府购买服务</w:t>
      </w:r>
      <w:r>
        <w:rPr>
          <w:rFonts w:hint="eastAsia"/>
        </w:rPr>
        <w:t>预算。</w:t>
      </w:r>
    </w:p>
    <w:p w14:paraId="1F794842">
      <w:pPr>
        <w:pStyle w:val="46"/>
        <w:numPr>
          <w:ilvl w:val="0"/>
          <w:numId w:val="0"/>
        </w:numPr>
        <w:ind w:firstLine="640" w:firstLineChars="200"/>
        <w:rPr>
          <w:rFonts w:hint="eastAsia"/>
        </w:rPr>
      </w:pPr>
      <w:r>
        <w:rPr>
          <w:rFonts w:hint="eastAsia"/>
          <w:lang w:eastAsia="zh-CN"/>
        </w:rPr>
        <w:t>（</w:t>
      </w:r>
      <w:r>
        <w:rPr>
          <w:rFonts w:hint="eastAsia"/>
          <w:lang w:val="en-US" w:eastAsia="zh-CN"/>
        </w:rPr>
        <w:t>四</w:t>
      </w:r>
      <w:r>
        <w:rPr>
          <w:rFonts w:hint="eastAsia"/>
          <w:lang w:eastAsia="zh-CN"/>
        </w:rPr>
        <w:t>）</w:t>
      </w:r>
      <w:r>
        <w:rPr>
          <w:rFonts w:hint="eastAsia"/>
        </w:rPr>
        <w:t>国有资产占有使用情况。</w:t>
      </w:r>
    </w:p>
    <w:p w14:paraId="664940A9">
      <w:pPr>
        <w:pStyle w:val="14"/>
        <w:rPr>
          <w:rFonts w:hint="eastAsia"/>
        </w:rPr>
      </w:pPr>
      <w:r>
        <w:rPr>
          <w:rFonts w:hint="eastAsia"/>
        </w:rPr>
        <w:t>截至</w:t>
      </w:r>
      <w:r>
        <w:rPr>
          <w:rFonts w:hint="eastAsia"/>
          <w:lang w:val="en-US" w:eastAsia="zh-CN"/>
        </w:rPr>
        <w:t>去</w:t>
      </w:r>
      <w:r>
        <w:rPr>
          <w:rFonts w:hint="eastAsia"/>
        </w:rPr>
        <w:t>年底，井研县电教教仪管理站所属各预算单位共有车辆0辆，其中省部级领导干部用车0辆、定向保障用车0辆、执法执勤用车0辆。单位价值200万元以上大型设备0台（套）。</w:t>
      </w:r>
    </w:p>
    <w:p w14:paraId="3352223A">
      <w:pPr>
        <w:pStyle w:val="14"/>
        <w:rPr>
          <w:rFonts w:hint="eastAsia"/>
          <w:highlight w:val="yellow"/>
        </w:rPr>
      </w:pPr>
      <w:r>
        <w:rPr>
          <w:rFonts w:hint="eastAsia"/>
          <w:lang w:eastAsia="zh-CN"/>
        </w:rPr>
        <w:t>2026</w:t>
      </w:r>
      <w:r>
        <w:rPr>
          <w:rFonts w:hint="eastAsia"/>
        </w:rPr>
        <w:t>年单位预算未安排购置车辆及单位价值200万元以上大型设备。</w:t>
      </w:r>
    </w:p>
    <w:p w14:paraId="04A5F1F8">
      <w:pPr>
        <w:pStyle w:val="46"/>
        <w:numPr>
          <w:ilvl w:val="0"/>
          <w:numId w:val="0"/>
        </w:numPr>
        <w:ind w:firstLine="640" w:firstLineChars="200"/>
        <w:rPr>
          <w:rFonts w:hint="eastAsia"/>
        </w:rPr>
      </w:pPr>
      <w:r>
        <w:rPr>
          <w:rFonts w:hint="eastAsia"/>
          <w:lang w:eastAsia="zh-CN"/>
        </w:rPr>
        <w:t>（</w:t>
      </w:r>
      <w:r>
        <w:rPr>
          <w:rFonts w:hint="eastAsia"/>
          <w:lang w:val="en-US" w:eastAsia="zh-CN"/>
        </w:rPr>
        <w:t>五</w:t>
      </w:r>
      <w:r>
        <w:rPr>
          <w:rFonts w:hint="eastAsia"/>
          <w:lang w:eastAsia="zh-CN"/>
        </w:rPr>
        <w:t>）</w:t>
      </w:r>
      <w:r>
        <w:rPr>
          <w:rFonts w:hint="eastAsia"/>
        </w:rPr>
        <w:t>绩效目标设置情况。</w:t>
      </w:r>
    </w:p>
    <w:p w14:paraId="3D323B7C">
      <w:pPr>
        <w:pStyle w:val="14"/>
        <w:rPr>
          <w:rFonts w:hint="eastAsia"/>
        </w:rPr>
      </w:pPr>
      <w:r>
        <w:rPr>
          <w:rFonts w:hint="eastAsia"/>
          <w:lang w:eastAsia="zh-CN"/>
        </w:rPr>
        <w:t>2026年，</w:t>
      </w:r>
      <w:r>
        <w:rPr>
          <w:rFonts w:hint="eastAsia"/>
        </w:rPr>
        <w:t>井研县电教教仪管理站</w:t>
      </w:r>
      <w:r>
        <w:rPr>
          <w:rFonts w:hint="eastAsia"/>
          <w:lang w:eastAsia="zh-CN"/>
        </w:rPr>
        <w:t>按要求实行绩效目标管理，开展绩效目标管理的项目</w:t>
      </w:r>
      <w:r>
        <w:rPr>
          <w:rFonts w:hint="eastAsia"/>
          <w:lang w:val="en-US" w:eastAsia="zh-CN"/>
        </w:rPr>
        <w:t>6</w:t>
      </w:r>
      <w:r>
        <w:rPr>
          <w:rFonts w:hint="eastAsia"/>
          <w:lang w:eastAsia="zh-CN"/>
        </w:rPr>
        <w:t>个，涉及预算</w:t>
      </w:r>
      <w:r>
        <w:rPr>
          <w:rFonts w:hint="eastAsia"/>
          <w:lang w:val="en-US" w:eastAsia="zh-CN"/>
        </w:rPr>
        <w:t>19.56</w:t>
      </w:r>
      <w:bookmarkStart w:id="2" w:name="_GoBack"/>
      <w:bookmarkEnd w:id="2"/>
      <w:r>
        <w:rPr>
          <w:rFonts w:hint="eastAsia"/>
          <w:lang w:eastAsia="zh-CN"/>
        </w:rPr>
        <w:t>万元。</w:t>
      </w:r>
    </w:p>
    <w:p w14:paraId="5B525207">
      <w:pPr>
        <w:pStyle w:val="14"/>
        <w:rPr>
          <w:rFonts w:hint="eastAsia"/>
        </w:rPr>
      </w:pPr>
    </w:p>
    <w:p w14:paraId="347A37BE">
      <w:pPr>
        <w:pStyle w:val="14"/>
        <w:ind w:firstLine="643"/>
        <w:rPr>
          <w:rFonts w:hint="eastAsia"/>
          <w:b/>
        </w:rPr>
      </w:pPr>
      <w:r>
        <w:rPr>
          <w:rFonts w:hint="eastAsia"/>
          <w:b/>
        </w:rPr>
        <w:t>名词解释</w:t>
      </w:r>
    </w:p>
    <w:p w14:paraId="6AEA4B35">
      <w:pPr>
        <w:pStyle w:val="35"/>
        <w:rPr>
          <w:rFonts w:hint="eastAsia" w:ascii="仿宋_GB2312" w:eastAsia="仿宋_GB2312"/>
        </w:rPr>
      </w:pPr>
      <w:r>
        <w:rPr>
          <w:rFonts w:hint="eastAsia" w:ascii="仿宋_GB2312" w:eastAsia="仿宋_GB2312"/>
        </w:rPr>
        <w:t>财政拨款收支情况：</w:t>
      </w:r>
      <w:r>
        <w:rPr>
          <w:rFonts w:ascii="仿宋_GB2312" w:eastAsia="仿宋_GB2312"/>
        </w:rPr>
        <w:t>是指</w:t>
      </w:r>
      <w:r>
        <w:rPr>
          <w:rFonts w:hint="eastAsia" w:ascii="仿宋_GB2312" w:eastAsia="仿宋_GB2312"/>
        </w:rPr>
        <w:t>一般公共预算、政府性基金预算、国有资本经营预算拨款收支情况。</w:t>
      </w:r>
    </w:p>
    <w:p w14:paraId="31C0B34B">
      <w:pPr>
        <w:pStyle w:val="35"/>
        <w:rPr>
          <w:rFonts w:hint="eastAsia" w:ascii="仿宋_GB2312" w:eastAsia="仿宋_GB2312"/>
        </w:rPr>
      </w:pPr>
      <w:r>
        <w:rPr>
          <w:rFonts w:hint="eastAsia" w:ascii="仿宋_GB2312" w:eastAsia="仿宋_GB2312"/>
        </w:rPr>
        <w:t>一般公共预算拨款收入：指县级财政当年拨付的资金。</w:t>
      </w:r>
    </w:p>
    <w:p w14:paraId="31417AE8">
      <w:pPr>
        <w:pStyle w:val="35"/>
        <w:rPr>
          <w:rFonts w:hint="eastAsia" w:ascii="仿宋_GB2312" w:eastAsia="仿宋_GB2312"/>
        </w:rPr>
      </w:pPr>
      <w:r>
        <w:rPr>
          <w:rFonts w:hint="eastAsia" w:ascii="仿宋_GB2312" w:eastAsia="仿宋_GB2312"/>
        </w:rPr>
        <w:t>政府性基金预算:指通过向社会征收以及出让土地、发行彩票等方式取得收入，并专项用于特定基础设施建设和社会事业发展的财政收支预算。</w:t>
      </w:r>
    </w:p>
    <w:p w14:paraId="1AFFE871">
      <w:pPr>
        <w:pStyle w:val="35"/>
        <w:rPr>
          <w:rFonts w:hint="eastAsia" w:ascii="仿宋_GB2312" w:eastAsia="仿宋_GB2312"/>
        </w:rPr>
      </w:pPr>
      <w:r>
        <w:rPr>
          <w:rStyle w:val="10"/>
          <w:rFonts w:hint="eastAsia" w:ascii="仿宋_GB2312" w:eastAsia="仿宋_GB2312"/>
        </w:rPr>
        <w:t>事业收入：指事业单位开展专业业务活动及辅助活动所取得的收入。</w:t>
      </w:r>
    </w:p>
    <w:p w14:paraId="664EB617">
      <w:pPr>
        <w:pStyle w:val="35"/>
        <w:rPr>
          <w:rStyle w:val="10"/>
          <w:rFonts w:hint="eastAsia" w:ascii="仿宋_GB2312" w:eastAsia="仿宋_GB2312"/>
        </w:rPr>
      </w:pPr>
      <w:r>
        <w:rPr>
          <w:rStyle w:val="10"/>
          <w:rFonts w:hint="eastAsia" w:ascii="仿宋_GB2312" w:eastAsia="仿宋_GB2312"/>
        </w:rPr>
        <w:t>事业单位经营收入：指事业单位在专业业务活动及其辅助活动之外开展非独立核算经营活动取得的收入。</w:t>
      </w:r>
    </w:p>
    <w:p w14:paraId="2B67B69D">
      <w:pPr>
        <w:pStyle w:val="35"/>
        <w:rPr>
          <w:rFonts w:hint="eastAsia" w:ascii="仿宋_GB2312" w:eastAsia="仿宋_GB2312"/>
        </w:rPr>
      </w:pPr>
      <w:r>
        <w:rPr>
          <w:rFonts w:hint="eastAsia" w:ascii="仿宋_GB2312" w:eastAsia="仿宋_GB2312"/>
        </w:rPr>
        <w:t>其他收入：指除上述“一般公共预算拨款收入”、“</w:t>
      </w:r>
      <w:r>
        <w:rPr>
          <w:rStyle w:val="10"/>
          <w:rFonts w:hint="eastAsia" w:ascii="仿宋_GB2312" w:eastAsia="仿宋_GB2312"/>
        </w:rPr>
        <w:t>事业收入</w:t>
      </w:r>
      <w:r>
        <w:rPr>
          <w:rFonts w:hint="eastAsia" w:ascii="仿宋_GB2312" w:eastAsia="仿宋_GB2312"/>
        </w:rPr>
        <w:t>”、“</w:t>
      </w:r>
      <w:r>
        <w:rPr>
          <w:rStyle w:val="10"/>
          <w:rFonts w:hint="eastAsia" w:ascii="仿宋_GB2312" w:eastAsia="仿宋_GB2312"/>
        </w:rPr>
        <w:t>事业单位经营收入</w:t>
      </w:r>
      <w:r>
        <w:rPr>
          <w:rFonts w:hint="eastAsia" w:ascii="仿宋_GB2312" w:eastAsia="仿宋_GB2312"/>
        </w:rPr>
        <w:t>”等以外的收入。主要是利息收入、国有资产出租收入等。</w:t>
      </w:r>
    </w:p>
    <w:p w14:paraId="44E5EACB">
      <w:pPr>
        <w:pStyle w:val="35"/>
        <w:rPr>
          <w:rFonts w:hint="eastAsia" w:ascii="仿宋_GB2312" w:eastAsia="仿宋_GB2312"/>
        </w:rPr>
      </w:pPr>
      <w:r>
        <w:rPr>
          <w:rFonts w:hint="eastAsia" w:ascii="仿宋_GB2312" w:eastAsia="仿宋_GB2312"/>
        </w:rPr>
        <w:t>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0653E90">
      <w:pPr>
        <w:pStyle w:val="35"/>
        <w:rPr>
          <w:rFonts w:hint="eastAsia" w:ascii="仿宋_GB2312" w:eastAsia="仿宋_GB2312"/>
        </w:rPr>
      </w:pPr>
      <w:r>
        <w:rPr>
          <w:rFonts w:hint="eastAsia" w:ascii="仿宋_GB2312" w:eastAsia="仿宋_GB2312"/>
        </w:rPr>
        <w:t>上年结转：指以前年度尚未完成，结转到本年仍按原规定用途继续使用的资金。</w:t>
      </w:r>
    </w:p>
    <w:p w14:paraId="7A9A24B4">
      <w:pPr>
        <w:pStyle w:val="35"/>
        <w:rPr>
          <w:rFonts w:hint="eastAsia" w:ascii="仿宋_GB2312" w:eastAsia="仿宋_GB2312"/>
        </w:rPr>
      </w:pPr>
      <w:r>
        <w:rPr>
          <w:rFonts w:hint="eastAsia" w:ascii="仿宋_GB2312" w:eastAsia="仿宋_GB2312"/>
        </w:rPr>
        <w:t>社会保障和就业（类）行政事业单位离退休（款）事业单位离退休（项）：指离退休人员的支出。</w:t>
      </w:r>
    </w:p>
    <w:p w14:paraId="7980B847">
      <w:pPr>
        <w:pStyle w:val="35"/>
        <w:rPr>
          <w:rFonts w:hint="eastAsia" w:ascii="仿宋_GB2312" w:eastAsia="仿宋_GB2312"/>
        </w:rPr>
      </w:pPr>
      <w:r>
        <w:rPr>
          <w:rFonts w:hint="eastAsia" w:ascii="仿宋_GB2312" w:eastAsia="仿宋_GB2312"/>
        </w:rPr>
        <w:t>社会保障和就业（类）行政事业单位离退休（款）未归口管理的行政单位离退休（项）：指离退休人员的支出。</w:t>
      </w:r>
    </w:p>
    <w:p w14:paraId="3620176D">
      <w:pPr>
        <w:pStyle w:val="35"/>
        <w:rPr>
          <w:rFonts w:hint="eastAsia" w:ascii="仿宋_GB2312" w:eastAsia="仿宋_GB2312"/>
        </w:rPr>
      </w:pPr>
      <w:r>
        <w:rPr>
          <w:rFonts w:hint="eastAsia" w:ascii="仿宋_GB2312" w:eastAsia="仿宋_GB2312"/>
        </w:rPr>
        <w:t>社会保障和就业（类）行政事业单位离退休（款）机关事业单位基本养老保险缴费支出（项）：指</w:t>
      </w:r>
      <w:r>
        <w:rPr>
          <w:rFonts w:hint="eastAsia" w:ascii="仿宋_GB2312" w:eastAsia="仿宋_GB2312"/>
          <w:lang w:eastAsia="zh-CN"/>
        </w:rPr>
        <w:t>单位</w:t>
      </w:r>
      <w:r>
        <w:rPr>
          <w:rFonts w:hint="eastAsia" w:ascii="仿宋_GB2312" w:eastAsia="仿宋_GB2312"/>
        </w:rPr>
        <w:t>实施养老保险制度由单位缴纳的养老保险费的支出。</w:t>
      </w:r>
    </w:p>
    <w:p w14:paraId="61543BC1">
      <w:pPr>
        <w:pStyle w:val="35"/>
        <w:rPr>
          <w:rFonts w:hint="eastAsia" w:ascii="仿宋_GB2312" w:eastAsia="仿宋_GB2312"/>
        </w:rPr>
      </w:pPr>
      <w:r>
        <w:rPr>
          <w:rFonts w:hint="eastAsia" w:ascii="仿宋_GB2312" w:eastAsia="仿宋_GB2312"/>
        </w:rPr>
        <w:t>社会保障和就业（类）行政事业单位离退休（款）机关事业单位职业年金缴费支出（项）：指</w:t>
      </w:r>
      <w:r>
        <w:rPr>
          <w:rFonts w:hint="eastAsia" w:ascii="仿宋_GB2312" w:eastAsia="仿宋_GB2312"/>
          <w:lang w:eastAsia="zh-CN"/>
        </w:rPr>
        <w:t>单位</w:t>
      </w:r>
      <w:r>
        <w:rPr>
          <w:rFonts w:hint="eastAsia" w:ascii="仿宋_GB2312" w:eastAsia="仿宋_GB2312"/>
        </w:rPr>
        <w:t>实施养老保险制度由单位缴纳的职业年金的支出。</w:t>
      </w:r>
    </w:p>
    <w:p w14:paraId="2DBA4C99">
      <w:pPr>
        <w:pStyle w:val="35"/>
        <w:rPr>
          <w:rFonts w:hint="eastAsia" w:ascii="仿宋_GB2312" w:eastAsia="仿宋_GB2312"/>
        </w:rPr>
      </w:pPr>
      <w:r>
        <w:rPr>
          <w:rFonts w:hint="eastAsia" w:ascii="仿宋_GB2312" w:eastAsia="仿宋_GB2312"/>
        </w:rPr>
        <w:t>社会保障和就业（类）其他社会保障和就业（款）其他社会保障和就业支出（项）：指除上述项目外，其他用于行政事业单位离退休方面的支出。</w:t>
      </w:r>
    </w:p>
    <w:p w14:paraId="46152221">
      <w:pPr>
        <w:pStyle w:val="35"/>
        <w:rPr>
          <w:rFonts w:hint="eastAsia" w:ascii="仿宋_GB2312" w:eastAsia="仿宋_GB2312"/>
        </w:rPr>
      </w:pPr>
      <w:r>
        <w:rPr>
          <w:rFonts w:hint="eastAsia" w:ascii="仿宋_GB2312" w:eastAsia="仿宋_GB2312"/>
        </w:rPr>
        <w:t>医疗卫生与计划生育（类）行政事业单位医疗（款）行政单位医疗（项）：指行政单位及参公管理事业单位用于缴纳单位基本医疗保险支出。</w:t>
      </w:r>
    </w:p>
    <w:p w14:paraId="42D48E05">
      <w:pPr>
        <w:pStyle w:val="35"/>
        <w:rPr>
          <w:rFonts w:hint="eastAsia" w:ascii="仿宋_GB2312" w:eastAsia="仿宋_GB2312"/>
        </w:rPr>
      </w:pPr>
      <w:r>
        <w:rPr>
          <w:rFonts w:hint="eastAsia" w:ascii="仿宋_GB2312" w:eastAsia="仿宋_GB2312"/>
        </w:rPr>
        <w:t>医疗卫生与计划生育（类）行政事业单位医疗（款）事业单位医疗（项）：指事业单位用于缴纳单位基本医疗保险支出。</w:t>
      </w:r>
    </w:p>
    <w:p w14:paraId="298CF815">
      <w:pPr>
        <w:pStyle w:val="35"/>
        <w:rPr>
          <w:rFonts w:hint="eastAsia" w:ascii="仿宋_GB2312" w:eastAsia="仿宋_GB2312"/>
        </w:rPr>
      </w:pPr>
      <w:r>
        <w:rPr>
          <w:rFonts w:hint="eastAsia" w:ascii="仿宋_GB2312" w:eastAsia="仿宋_GB2312"/>
        </w:rPr>
        <w:t>医疗卫生与计划生育（类）行政事业单位医疗（款）公务员医疗补助（项）：指行政单位及参公管理事业单位用于集中缴纳公务员医疗补助支出。</w:t>
      </w:r>
    </w:p>
    <w:p w14:paraId="71E811F9">
      <w:pPr>
        <w:pStyle w:val="35"/>
        <w:rPr>
          <w:rFonts w:hint="eastAsia" w:ascii="仿宋_GB2312" w:eastAsia="仿宋_GB2312"/>
        </w:rPr>
      </w:pPr>
      <w:r>
        <w:rPr>
          <w:rFonts w:hint="eastAsia" w:ascii="仿宋_GB2312" w:eastAsia="仿宋_GB2312"/>
        </w:rPr>
        <w:t>住房保障（类）住房改革支出（款）住房公积金（项）：指由单位及其在职职工按规定缴存的住房公积金支出。</w:t>
      </w:r>
    </w:p>
    <w:p w14:paraId="4B54C4DA">
      <w:pPr>
        <w:pStyle w:val="35"/>
        <w:rPr>
          <w:rFonts w:hint="eastAsia" w:ascii="仿宋_GB2312" w:eastAsia="仿宋_GB2312"/>
        </w:rPr>
      </w:pPr>
      <w:r>
        <w:rPr>
          <w:rFonts w:hint="eastAsia" w:ascii="仿宋_GB2312" w:eastAsia="仿宋_GB2312"/>
        </w:rPr>
        <w:t>基本支出：指为保证机构正常运转，完成日常工作任务而发生的人员支出和公用支出。</w:t>
      </w:r>
    </w:p>
    <w:p w14:paraId="1407742C">
      <w:pPr>
        <w:pStyle w:val="35"/>
        <w:rPr>
          <w:rFonts w:hint="eastAsia" w:ascii="仿宋_GB2312" w:eastAsia="仿宋_GB2312"/>
        </w:rPr>
      </w:pPr>
      <w:r>
        <w:rPr>
          <w:rFonts w:hint="eastAsia" w:ascii="仿宋_GB2312" w:eastAsia="仿宋_GB2312"/>
        </w:rPr>
        <w:t>项目支出：指在基本支出之外为完成特定行政任务和事业发展目标所发生的支出。</w:t>
      </w:r>
    </w:p>
    <w:p w14:paraId="3703FDE9">
      <w:pPr>
        <w:pStyle w:val="14"/>
        <w:rPr>
          <w:rFonts w:hint="eastAsia"/>
        </w:rPr>
      </w:pPr>
      <w:r>
        <w:rPr>
          <w:rFonts w:hint="eastAsia" w:ascii="仿宋_GB2312" w:eastAsia="仿宋_GB2312"/>
        </w:rPr>
        <w:t>纳入预决算管理的“三公”经费，是指</w:t>
      </w:r>
      <w:r>
        <w:rPr>
          <w:rFonts w:hint="eastAsia"/>
          <w:lang w:eastAsia="zh-CN"/>
        </w:rPr>
        <w:t>单位</w:t>
      </w:r>
      <w:r>
        <w:rPr>
          <w:rFonts w:hint="eastAsia" w:ascii="仿宋_GB2312" w:eastAsia="仿宋_GB2312"/>
        </w:rPr>
        <w:t>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footerReference r:id="rId3" w:type="default"/>
      <w:footerReference r:id="rId4" w:type="even"/>
      <w:pgSz w:w="11906" w:h="16838"/>
      <w:pgMar w:top="2041" w:right="1474" w:bottom="1588" w:left="1474"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KSOFF9CC612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81027">
    <w:pPr>
      <w:pStyle w:val="53"/>
      <w:wordWrap w:val="0"/>
    </w:pPr>
    <w:r>
      <w:rPr>
        <w:rFonts w:hint="eastAsia"/>
      </w:rPr>
      <w:t>—</w:t>
    </w:r>
    <w:r>
      <w:fldChar w:fldCharType="begin"/>
    </w:r>
    <w:r>
      <w:instrText xml:space="preserve">PAGE   \* MERGEFORMAT</w:instrText>
    </w:r>
    <w:r>
      <w:fldChar w:fldCharType="separate"/>
    </w:r>
    <w:r>
      <w:rPr>
        <w:lang w:val="zh-CN"/>
      </w:rPr>
      <w:t>1</w:t>
    </w:r>
    <w:r>
      <w:fldChar w:fldCharType="end"/>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F9A51">
    <w:pPr>
      <w:pStyle w:val="53"/>
      <w:jc w:val="left"/>
    </w:pPr>
    <w:r>
      <w:rPr>
        <w:rFonts w:hint="eastAsia"/>
      </w:rPr>
      <w:t>—</w:t>
    </w:r>
    <w:r>
      <w:fldChar w:fldCharType="begin"/>
    </w:r>
    <w:r>
      <w:instrText xml:space="preserve">PAGE   \* MERGEFORMAT</w:instrText>
    </w:r>
    <w:r>
      <w:fldChar w:fldCharType="separate"/>
    </w:r>
    <w:r>
      <w:rPr>
        <w:lang w:val="zh-CN"/>
      </w:rPr>
      <w:t>2</w:t>
    </w:r>
    <w:r>
      <w:fldChar w:fldCharType="end"/>
    </w:r>
    <w:r>
      <w:rPr>
        <w:rFonts w:hint="eastAsia"/>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B5226B4"/>
    <w:multiLevelType w:val="multilevel"/>
    <w:tmpl w:val="2B5226B4"/>
    <w:lvl w:ilvl="0" w:tentative="0">
      <w:start w:val="1"/>
      <w:numFmt w:val="decimal"/>
      <w:pStyle w:val="44"/>
      <w:suff w:val="nothing"/>
      <w:lvlText w:val="(%1)"/>
      <w:lvlJc w:val="left"/>
      <w:pPr>
        <w:ind w:left="0" w:firstLine="635"/>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1">
    <w:nsid w:val="34F85EAF"/>
    <w:multiLevelType w:val="multilevel"/>
    <w:tmpl w:val="34F85EAF"/>
    <w:lvl w:ilvl="0" w:tentative="0">
      <w:start w:val="1"/>
      <w:numFmt w:val="chineseCountingThousand"/>
      <w:pStyle w:val="47"/>
      <w:suff w:val="nothing"/>
      <w:lvlText w:val="%1、"/>
      <w:lvlJc w:val="left"/>
      <w:pPr>
        <w:ind w:left="1057" w:hanging="420"/>
      </w:pPr>
      <w:rPr>
        <w:rFonts w:hint="eastAsia"/>
      </w:rPr>
    </w:lvl>
    <w:lvl w:ilvl="1" w:tentative="0">
      <w:start w:val="1"/>
      <w:numFmt w:val="lowerLetter"/>
      <w:lvlText w:val="%2)"/>
      <w:lvlJc w:val="left"/>
      <w:pPr>
        <w:ind w:left="1477" w:hanging="420"/>
      </w:pPr>
    </w:lvl>
    <w:lvl w:ilvl="2" w:tentative="0">
      <w:start w:val="1"/>
      <w:numFmt w:val="lowerRoman"/>
      <w:lvlText w:val="%3."/>
      <w:lvlJc w:val="right"/>
      <w:pPr>
        <w:ind w:left="1897" w:hanging="420"/>
      </w:pPr>
    </w:lvl>
    <w:lvl w:ilvl="3" w:tentative="0">
      <w:start w:val="1"/>
      <w:numFmt w:val="decimal"/>
      <w:lvlText w:val="%4."/>
      <w:lvlJc w:val="left"/>
      <w:pPr>
        <w:ind w:left="2317" w:hanging="420"/>
      </w:pPr>
    </w:lvl>
    <w:lvl w:ilvl="4" w:tentative="0">
      <w:start w:val="1"/>
      <w:numFmt w:val="lowerLetter"/>
      <w:lvlText w:val="%5)"/>
      <w:lvlJc w:val="left"/>
      <w:pPr>
        <w:ind w:left="2737" w:hanging="420"/>
      </w:pPr>
    </w:lvl>
    <w:lvl w:ilvl="5" w:tentative="0">
      <w:start w:val="1"/>
      <w:numFmt w:val="lowerRoman"/>
      <w:lvlText w:val="%6."/>
      <w:lvlJc w:val="right"/>
      <w:pPr>
        <w:ind w:left="3157" w:hanging="420"/>
      </w:pPr>
    </w:lvl>
    <w:lvl w:ilvl="6" w:tentative="0">
      <w:start w:val="1"/>
      <w:numFmt w:val="decimal"/>
      <w:lvlText w:val="%7."/>
      <w:lvlJc w:val="left"/>
      <w:pPr>
        <w:ind w:left="3577" w:hanging="420"/>
      </w:pPr>
    </w:lvl>
    <w:lvl w:ilvl="7" w:tentative="0">
      <w:start w:val="1"/>
      <w:numFmt w:val="lowerLetter"/>
      <w:lvlText w:val="%8)"/>
      <w:lvlJc w:val="left"/>
      <w:pPr>
        <w:ind w:left="3997" w:hanging="420"/>
      </w:pPr>
    </w:lvl>
    <w:lvl w:ilvl="8" w:tentative="0">
      <w:start w:val="1"/>
      <w:numFmt w:val="lowerRoman"/>
      <w:lvlText w:val="%9."/>
      <w:lvlJc w:val="right"/>
      <w:pPr>
        <w:ind w:left="4417" w:hanging="420"/>
      </w:pPr>
    </w:lvl>
  </w:abstractNum>
  <w:abstractNum w:abstractNumId="2">
    <w:nsid w:val="5B63281F"/>
    <w:multiLevelType w:val="multilevel"/>
    <w:tmpl w:val="5B63281F"/>
    <w:lvl w:ilvl="0" w:tentative="0">
      <w:start w:val="1"/>
      <w:numFmt w:val="decimal"/>
      <w:pStyle w:val="35"/>
      <w:suff w:val="nothing"/>
      <w:lvlText w:val="%1."/>
      <w:lvlJc w:val="left"/>
      <w:pPr>
        <w:ind w:left="0" w:firstLine="635"/>
      </w:pPr>
      <w:rPr>
        <w:rFonts w:hint="eastAsia"/>
      </w:rPr>
    </w:lvl>
    <w:lvl w:ilvl="1" w:tentative="0">
      <w:start w:val="1"/>
      <w:numFmt w:val="lowerLetter"/>
      <w:lvlText w:val="%2)"/>
      <w:lvlJc w:val="left"/>
      <w:pPr>
        <w:ind w:left="1475" w:hanging="420"/>
      </w:pPr>
    </w:lvl>
    <w:lvl w:ilvl="2" w:tentative="0">
      <w:start w:val="1"/>
      <w:numFmt w:val="lowerRoman"/>
      <w:lvlText w:val="%3."/>
      <w:lvlJc w:val="right"/>
      <w:pPr>
        <w:ind w:left="1895" w:hanging="420"/>
      </w:pPr>
    </w:lvl>
    <w:lvl w:ilvl="3" w:tentative="0">
      <w:start w:val="1"/>
      <w:numFmt w:val="decimal"/>
      <w:lvlText w:val="%4."/>
      <w:lvlJc w:val="left"/>
      <w:pPr>
        <w:ind w:left="2315" w:hanging="420"/>
      </w:pPr>
    </w:lvl>
    <w:lvl w:ilvl="4" w:tentative="0">
      <w:start w:val="1"/>
      <w:numFmt w:val="lowerLetter"/>
      <w:lvlText w:val="%5)"/>
      <w:lvlJc w:val="left"/>
      <w:pPr>
        <w:ind w:left="2735" w:hanging="420"/>
      </w:pPr>
    </w:lvl>
    <w:lvl w:ilvl="5" w:tentative="0">
      <w:start w:val="1"/>
      <w:numFmt w:val="lowerRoman"/>
      <w:lvlText w:val="%6."/>
      <w:lvlJc w:val="right"/>
      <w:pPr>
        <w:ind w:left="3155" w:hanging="420"/>
      </w:pPr>
    </w:lvl>
    <w:lvl w:ilvl="6" w:tentative="0">
      <w:start w:val="1"/>
      <w:numFmt w:val="decimal"/>
      <w:lvlText w:val="%7."/>
      <w:lvlJc w:val="left"/>
      <w:pPr>
        <w:ind w:left="3575" w:hanging="420"/>
      </w:pPr>
    </w:lvl>
    <w:lvl w:ilvl="7" w:tentative="0">
      <w:start w:val="1"/>
      <w:numFmt w:val="lowerLetter"/>
      <w:lvlText w:val="%8)"/>
      <w:lvlJc w:val="left"/>
      <w:pPr>
        <w:ind w:left="3995" w:hanging="420"/>
      </w:pPr>
    </w:lvl>
    <w:lvl w:ilvl="8" w:tentative="0">
      <w:start w:val="1"/>
      <w:numFmt w:val="lowerRoman"/>
      <w:lvlText w:val="%9."/>
      <w:lvlJc w:val="right"/>
      <w:pPr>
        <w:ind w:left="4415" w:hanging="420"/>
      </w:pPr>
    </w:lvl>
  </w:abstractNum>
  <w:abstractNum w:abstractNumId="3">
    <w:nsid w:val="7EE55BF3"/>
    <w:multiLevelType w:val="multilevel"/>
    <w:tmpl w:val="7EE55BF3"/>
    <w:lvl w:ilvl="0" w:tentative="0">
      <w:start w:val="1"/>
      <w:numFmt w:val="chineseCountingThousand"/>
      <w:pStyle w:val="46"/>
      <w:suff w:val="nothing"/>
      <w:lvlText w:val="（%1）"/>
      <w:lvlJc w:val="left"/>
      <w:pPr>
        <w:ind w:left="415" w:firstLine="635"/>
      </w:pPr>
      <w:rPr>
        <w:rFonts w:hint="eastAsia"/>
        <w:lang w:val="en-US"/>
      </w:r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ZiMWYwMGE3MzViMzRiNjE4MjkyOGRmMmE3NzgifQ=="/>
  </w:docVars>
  <w:rsids>
    <w:rsidRoot w:val="00276844"/>
    <w:rsid w:val="000043CA"/>
    <w:rsid w:val="00005724"/>
    <w:rsid w:val="00015A97"/>
    <w:rsid w:val="000246D8"/>
    <w:rsid w:val="00030FD9"/>
    <w:rsid w:val="00032E08"/>
    <w:rsid w:val="0004402F"/>
    <w:rsid w:val="000442AD"/>
    <w:rsid w:val="00046E1B"/>
    <w:rsid w:val="00056314"/>
    <w:rsid w:val="000628CE"/>
    <w:rsid w:val="0007360D"/>
    <w:rsid w:val="0007603A"/>
    <w:rsid w:val="00080625"/>
    <w:rsid w:val="00083211"/>
    <w:rsid w:val="00086324"/>
    <w:rsid w:val="000868A9"/>
    <w:rsid w:val="0009028B"/>
    <w:rsid w:val="00094C71"/>
    <w:rsid w:val="00096C14"/>
    <w:rsid w:val="000A1E3E"/>
    <w:rsid w:val="000A47A0"/>
    <w:rsid w:val="000B176D"/>
    <w:rsid w:val="000C6B51"/>
    <w:rsid w:val="000C7E3D"/>
    <w:rsid w:val="000D3373"/>
    <w:rsid w:val="000D6271"/>
    <w:rsid w:val="000D7D67"/>
    <w:rsid w:val="000E354F"/>
    <w:rsid w:val="000F087D"/>
    <w:rsid w:val="000F17A8"/>
    <w:rsid w:val="000F2057"/>
    <w:rsid w:val="000F41A8"/>
    <w:rsid w:val="000F594B"/>
    <w:rsid w:val="001003D6"/>
    <w:rsid w:val="00100DD8"/>
    <w:rsid w:val="00127D9F"/>
    <w:rsid w:val="0013025D"/>
    <w:rsid w:val="0013530A"/>
    <w:rsid w:val="001468C6"/>
    <w:rsid w:val="001500CF"/>
    <w:rsid w:val="00152546"/>
    <w:rsid w:val="00154ED7"/>
    <w:rsid w:val="0015548B"/>
    <w:rsid w:val="00164F3C"/>
    <w:rsid w:val="00166168"/>
    <w:rsid w:val="00172E8D"/>
    <w:rsid w:val="00173835"/>
    <w:rsid w:val="00177FE8"/>
    <w:rsid w:val="00182824"/>
    <w:rsid w:val="00185DDD"/>
    <w:rsid w:val="00194BC1"/>
    <w:rsid w:val="001A0AB3"/>
    <w:rsid w:val="001A3FD5"/>
    <w:rsid w:val="001A6F4B"/>
    <w:rsid w:val="001B3092"/>
    <w:rsid w:val="001B4F19"/>
    <w:rsid w:val="001B66CB"/>
    <w:rsid w:val="001B79A2"/>
    <w:rsid w:val="001C0662"/>
    <w:rsid w:val="001C26AA"/>
    <w:rsid w:val="001C30C7"/>
    <w:rsid w:val="001C32DA"/>
    <w:rsid w:val="001C43DC"/>
    <w:rsid w:val="001C54BA"/>
    <w:rsid w:val="001D3BC4"/>
    <w:rsid w:val="001D4FFF"/>
    <w:rsid w:val="001D514D"/>
    <w:rsid w:val="001E0422"/>
    <w:rsid w:val="001E0ED0"/>
    <w:rsid w:val="001F655E"/>
    <w:rsid w:val="001F72C1"/>
    <w:rsid w:val="002010F4"/>
    <w:rsid w:val="002045EE"/>
    <w:rsid w:val="00206CA0"/>
    <w:rsid w:val="00211B24"/>
    <w:rsid w:val="00213514"/>
    <w:rsid w:val="00216241"/>
    <w:rsid w:val="00220F01"/>
    <w:rsid w:val="002226C1"/>
    <w:rsid w:val="00223451"/>
    <w:rsid w:val="002361B5"/>
    <w:rsid w:val="0023743C"/>
    <w:rsid w:val="00240BA2"/>
    <w:rsid w:val="00241E45"/>
    <w:rsid w:val="00244E39"/>
    <w:rsid w:val="002453C2"/>
    <w:rsid w:val="00253643"/>
    <w:rsid w:val="00254CE5"/>
    <w:rsid w:val="0026597B"/>
    <w:rsid w:val="002660D9"/>
    <w:rsid w:val="00270DD8"/>
    <w:rsid w:val="00275AC3"/>
    <w:rsid w:val="00276844"/>
    <w:rsid w:val="002812A0"/>
    <w:rsid w:val="0028430A"/>
    <w:rsid w:val="00287C8F"/>
    <w:rsid w:val="00291468"/>
    <w:rsid w:val="00293362"/>
    <w:rsid w:val="00297115"/>
    <w:rsid w:val="002A7B6B"/>
    <w:rsid w:val="002B788B"/>
    <w:rsid w:val="002C1E51"/>
    <w:rsid w:val="002C30A5"/>
    <w:rsid w:val="002D70C1"/>
    <w:rsid w:val="002D7861"/>
    <w:rsid w:val="002D7B22"/>
    <w:rsid w:val="002E3BE9"/>
    <w:rsid w:val="002E45AE"/>
    <w:rsid w:val="002E6388"/>
    <w:rsid w:val="002E7C74"/>
    <w:rsid w:val="002F682A"/>
    <w:rsid w:val="0030300D"/>
    <w:rsid w:val="00307A62"/>
    <w:rsid w:val="00311341"/>
    <w:rsid w:val="003146C3"/>
    <w:rsid w:val="00326A5F"/>
    <w:rsid w:val="003336CE"/>
    <w:rsid w:val="003340E2"/>
    <w:rsid w:val="0033474D"/>
    <w:rsid w:val="00335B14"/>
    <w:rsid w:val="003451DE"/>
    <w:rsid w:val="00351E36"/>
    <w:rsid w:val="00353E79"/>
    <w:rsid w:val="00375B59"/>
    <w:rsid w:val="00382D77"/>
    <w:rsid w:val="0038349E"/>
    <w:rsid w:val="0039689D"/>
    <w:rsid w:val="003A240E"/>
    <w:rsid w:val="003A5DCD"/>
    <w:rsid w:val="003A6E96"/>
    <w:rsid w:val="003B3FF6"/>
    <w:rsid w:val="003C02E5"/>
    <w:rsid w:val="003D3F00"/>
    <w:rsid w:val="003E0EF5"/>
    <w:rsid w:val="003E0F17"/>
    <w:rsid w:val="003E2F91"/>
    <w:rsid w:val="003E3B59"/>
    <w:rsid w:val="003E67A0"/>
    <w:rsid w:val="003F6CE7"/>
    <w:rsid w:val="00400F22"/>
    <w:rsid w:val="0040430E"/>
    <w:rsid w:val="004049A0"/>
    <w:rsid w:val="00425DE5"/>
    <w:rsid w:val="00430914"/>
    <w:rsid w:val="00434F5A"/>
    <w:rsid w:val="00437FBF"/>
    <w:rsid w:val="0044017E"/>
    <w:rsid w:val="0044273D"/>
    <w:rsid w:val="00442DAD"/>
    <w:rsid w:val="00453AE7"/>
    <w:rsid w:val="00457A72"/>
    <w:rsid w:val="00464346"/>
    <w:rsid w:val="00467F80"/>
    <w:rsid w:val="00471C7B"/>
    <w:rsid w:val="00473A63"/>
    <w:rsid w:val="0048317D"/>
    <w:rsid w:val="00484328"/>
    <w:rsid w:val="0048614D"/>
    <w:rsid w:val="00486A1E"/>
    <w:rsid w:val="00487863"/>
    <w:rsid w:val="004936DC"/>
    <w:rsid w:val="00494ADC"/>
    <w:rsid w:val="00497355"/>
    <w:rsid w:val="004A41B4"/>
    <w:rsid w:val="004A6F0C"/>
    <w:rsid w:val="004A72BD"/>
    <w:rsid w:val="004B1090"/>
    <w:rsid w:val="004B2344"/>
    <w:rsid w:val="004B31F7"/>
    <w:rsid w:val="004B5438"/>
    <w:rsid w:val="004B73F1"/>
    <w:rsid w:val="004C46E2"/>
    <w:rsid w:val="004D1AD6"/>
    <w:rsid w:val="004E10E8"/>
    <w:rsid w:val="004E7F36"/>
    <w:rsid w:val="004F6BA3"/>
    <w:rsid w:val="005005B3"/>
    <w:rsid w:val="00503C72"/>
    <w:rsid w:val="00512E1A"/>
    <w:rsid w:val="00516D77"/>
    <w:rsid w:val="00520EB9"/>
    <w:rsid w:val="005219DB"/>
    <w:rsid w:val="00525956"/>
    <w:rsid w:val="00525DE2"/>
    <w:rsid w:val="00527FAA"/>
    <w:rsid w:val="00530EEC"/>
    <w:rsid w:val="00536B42"/>
    <w:rsid w:val="005423CC"/>
    <w:rsid w:val="00544B88"/>
    <w:rsid w:val="0055304A"/>
    <w:rsid w:val="0055700C"/>
    <w:rsid w:val="0056054F"/>
    <w:rsid w:val="00566531"/>
    <w:rsid w:val="0058060F"/>
    <w:rsid w:val="005829A7"/>
    <w:rsid w:val="00584712"/>
    <w:rsid w:val="005852B9"/>
    <w:rsid w:val="0058616D"/>
    <w:rsid w:val="005902E0"/>
    <w:rsid w:val="00592A43"/>
    <w:rsid w:val="00595287"/>
    <w:rsid w:val="0059663C"/>
    <w:rsid w:val="005A29A1"/>
    <w:rsid w:val="005A71D7"/>
    <w:rsid w:val="005C757F"/>
    <w:rsid w:val="005D07C0"/>
    <w:rsid w:val="005E5B89"/>
    <w:rsid w:val="005E71AA"/>
    <w:rsid w:val="0060182F"/>
    <w:rsid w:val="00611B54"/>
    <w:rsid w:val="00612A35"/>
    <w:rsid w:val="00615F35"/>
    <w:rsid w:val="00620BC9"/>
    <w:rsid w:val="0062279F"/>
    <w:rsid w:val="00622E21"/>
    <w:rsid w:val="006265A1"/>
    <w:rsid w:val="00632802"/>
    <w:rsid w:val="0063506E"/>
    <w:rsid w:val="0063538E"/>
    <w:rsid w:val="00636565"/>
    <w:rsid w:val="00637822"/>
    <w:rsid w:val="00637F2C"/>
    <w:rsid w:val="00641C82"/>
    <w:rsid w:val="0064274B"/>
    <w:rsid w:val="006465B2"/>
    <w:rsid w:val="00651006"/>
    <w:rsid w:val="00651ED2"/>
    <w:rsid w:val="00667F37"/>
    <w:rsid w:val="00677F2F"/>
    <w:rsid w:val="00696691"/>
    <w:rsid w:val="00697A76"/>
    <w:rsid w:val="006A3953"/>
    <w:rsid w:val="006B1157"/>
    <w:rsid w:val="006B260A"/>
    <w:rsid w:val="006B325C"/>
    <w:rsid w:val="006C64B3"/>
    <w:rsid w:val="006D3419"/>
    <w:rsid w:val="006E59CD"/>
    <w:rsid w:val="006F4840"/>
    <w:rsid w:val="006F59D9"/>
    <w:rsid w:val="006F5E60"/>
    <w:rsid w:val="006F7FFC"/>
    <w:rsid w:val="00703F75"/>
    <w:rsid w:val="00707BF6"/>
    <w:rsid w:val="00712680"/>
    <w:rsid w:val="0071587C"/>
    <w:rsid w:val="00716233"/>
    <w:rsid w:val="00716FC8"/>
    <w:rsid w:val="00727A23"/>
    <w:rsid w:val="0073112F"/>
    <w:rsid w:val="007329D8"/>
    <w:rsid w:val="00735199"/>
    <w:rsid w:val="00751CEA"/>
    <w:rsid w:val="00752D48"/>
    <w:rsid w:val="00770F00"/>
    <w:rsid w:val="00771464"/>
    <w:rsid w:val="00776C5A"/>
    <w:rsid w:val="00777527"/>
    <w:rsid w:val="00781A5C"/>
    <w:rsid w:val="0078518C"/>
    <w:rsid w:val="0079110F"/>
    <w:rsid w:val="007975CB"/>
    <w:rsid w:val="007A2199"/>
    <w:rsid w:val="007A3EA0"/>
    <w:rsid w:val="007A74E6"/>
    <w:rsid w:val="007B2002"/>
    <w:rsid w:val="007B409D"/>
    <w:rsid w:val="007B5885"/>
    <w:rsid w:val="007C04BE"/>
    <w:rsid w:val="007D03B0"/>
    <w:rsid w:val="007D132B"/>
    <w:rsid w:val="007E0DD3"/>
    <w:rsid w:val="007E6485"/>
    <w:rsid w:val="007E7A18"/>
    <w:rsid w:val="007F0FE1"/>
    <w:rsid w:val="007F33F8"/>
    <w:rsid w:val="007F455A"/>
    <w:rsid w:val="007F6313"/>
    <w:rsid w:val="007F6FA3"/>
    <w:rsid w:val="008018C4"/>
    <w:rsid w:val="00804853"/>
    <w:rsid w:val="008229EE"/>
    <w:rsid w:val="008230CE"/>
    <w:rsid w:val="0084524D"/>
    <w:rsid w:val="0085401C"/>
    <w:rsid w:val="008546AE"/>
    <w:rsid w:val="0086057D"/>
    <w:rsid w:val="00863E93"/>
    <w:rsid w:val="00865DC0"/>
    <w:rsid w:val="00870F4D"/>
    <w:rsid w:val="008723E7"/>
    <w:rsid w:val="00872A8E"/>
    <w:rsid w:val="00872E2D"/>
    <w:rsid w:val="00876449"/>
    <w:rsid w:val="00877334"/>
    <w:rsid w:val="008827BF"/>
    <w:rsid w:val="00885273"/>
    <w:rsid w:val="008A1827"/>
    <w:rsid w:val="008A2FB8"/>
    <w:rsid w:val="008B115F"/>
    <w:rsid w:val="008B1A74"/>
    <w:rsid w:val="008B1B74"/>
    <w:rsid w:val="008B6ABD"/>
    <w:rsid w:val="008C2E4B"/>
    <w:rsid w:val="008D05BB"/>
    <w:rsid w:val="008D45FE"/>
    <w:rsid w:val="008E1FDF"/>
    <w:rsid w:val="008E2FED"/>
    <w:rsid w:val="008F0E5B"/>
    <w:rsid w:val="009007DC"/>
    <w:rsid w:val="00902DB5"/>
    <w:rsid w:val="00906270"/>
    <w:rsid w:val="0091571C"/>
    <w:rsid w:val="00917735"/>
    <w:rsid w:val="00920104"/>
    <w:rsid w:val="00923D93"/>
    <w:rsid w:val="00925E81"/>
    <w:rsid w:val="009266F7"/>
    <w:rsid w:val="00932312"/>
    <w:rsid w:val="00933596"/>
    <w:rsid w:val="00934F05"/>
    <w:rsid w:val="00934F8B"/>
    <w:rsid w:val="009377C0"/>
    <w:rsid w:val="009422AF"/>
    <w:rsid w:val="0094619E"/>
    <w:rsid w:val="0095205E"/>
    <w:rsid w:val="00957507"/>
    <w:rsid w:val="00967BBC"/>
    <w:rsid w:val="0097116B"/>
    <w:rsid w:val="0097391B"/>
    <w:rsid w:val="00974375"/>
    <w:rsid w:val="00974E9C"/>
    <w:rsid w:val="00982472"/>
    <w:rsid w:val="00982EA8"/>
    <w:rsid w:val="00995318"/>
    <w:rsid w:val="009A30C5"/>
    <w:rsid w:val="009B120D"/>
    <w:rsid w:val="009C07E9"/>
    <w:rsid w:val="009C4618"/>
    <w:rsid w:val="009D2FD7"/>
    <w:rsid w:val="009D56E7"/>
    <w:rsid w:val="009E1C2A"/>
    <w:rsid w:val="009E2E2D"/>
    <w:rsid w:val="00A0137B"/>
    <w:rsid w:val="00A04383"/>
    <w:rsid w:val="00A11048"/>
    <w:rsid w:val="00A11BBD"/>
    <w:rsid w:val="00A124EC"/>
    <w:rsid w:val="00A227D8"/>
    <w:rsid w:val="00A251BC"/>
    <w:rsid w:val="00A317CE"/>
    <w:rsid w:val="00A32918"/>
    <w:rsid w:val="00A331F9"/>
    <w:rsid w:val="00A37A9D"/>
    <w:rsid w:val="00A41E8A"/>
    <w:rsid w:val="00A4494F"/>
    <w:rsid w:val="00A73AC7"/>
    <w:rsid w:val="00A82C3E"/>
    <w:rsid w:val="00A8519D"/>
    <w:rsid w:val="00A90B73"/>
    <w:rsid w:val="00A973E5"/>
    <w:rsid w:val="00AA1DFE"/>
    <w:rsid w:val="00AA7610"/>
    <w:rsid w:val="00AB22F7"/>
    <w:rsid w:val="00AB35EE"/>
    <w:rsid w:val="00AB7324"/>
    <w:rsid w:val="00AC72E6"/>
    <w:rsid w:val="00AD1E77"/>
    <w:rsid w:val="00AD2C0D"/>
    <w:rsid w:val="00AD4771"/>
    <w:rsid w:val="00AD50A8"/>
    <w:rsid w:val="00AD6823"/>
    <w:rsid w:val="00AF1A5C"/>
    <w:rsid w:val="00AF3B99"/>
    <w:rsid w:val="00B01141"/>
    <w:rsid w:val="00B0146B"/>
    <w:rsid w:val="00B01604"/>
    <w:rsid w:val="00B0641D"/>
    <w:rsid w:val="00B06448"/>
    <w:rsid w:val="00B21111"/>
    <w:rsid w:val="00B278AA"/>
    <w:rsid w:val="00B3180C"/>
    <w:rsid w:val="00B323B9"/>
    <w:rsid w:val="00B3272F"/>
    <w:rsid w:val="00B35590"/>
    <w:rsid w:val="00B41E5B"/>
    <w:rsid w:val="00B52EA2"/>
    <w:rsid w:val="00B55072"/>
    <w:rsid w:val="00B65F9C"/>
    <w:rsid w:val="00B65FD0"/>
    <w:rsid w:val="00B7688E"/>
    <w:rsid w:val="00B76E0D"/>
    <w:rsid w:val="00B8343B"/>
    <w:rsid w:val="00B84457"/>
    <w:rsid w:val="00B84869"/>
    <w:rsid w:val="00B916C6"/>
    <w:rsid w:val="00B93736"/>
    <w:rsid w:val="00BA0C87"/>
    <w:rsid w:val="00BA1665"/>
    <w:rsid w:val="00BA7A5E"/>
    <w:rsid w:val="00BB3F95"/>
    <w:rsid w:val="00BB6842"/>
    <w:rsid w:val="00BC00CA"/>
    <w:rsid w:val="00BD4040"/>
    <w:rsid w:val="00BD43EB"/>
    <w:rsid w:val="00BE1031"/>
    <w:rsid w:val="00BE3C4A"/>
    <w:rsid w:val="00BE5A2F"/>
    <w:rsid w:val="00BE7AE1"/>
    <w:rsid w:val="00BF0EFE"/>
    <w:rsid w:val="00BF7F1C"/>
    <w:rsid w:val="00C0089D"/>
    <w:rsid w:val="00C02AFE"/>
    <w:rsid w:val="00C1015A"/>
    <w:rsid w:val="00C13EAA"/>
    <w:rsid w:val="00C159E1"/>
    <w:rsid w:val="00C16B55"/>
    <w:rsid w:val="00C21FA6"/>
    <w:rsid w:val="00C27754"/>
    <w:rsid w:val="00C348E9"/>
    <w:rsid w:val="00C433AD"/>
    <w:rsid w:val="00C60326"/>
    <w:rsid w:val="00C63F5C"/>
    <w:rsid w:val="00C654AF"/>
    <w:rsid w:val="00C66576"/>
    <w:rsid w:val="00C74034"/>
    <w:rsid w:val="00C7589A"/>
    <w:rsid w:val="00C84B75"/>
    <w:rsid w:val="00C85328"/>
    <w:rsid w:val="00C9063E"/>
    <w:rsid w:val="00C9391B"/>
    <w:rsid w:val="00CA1214"/>
    <w:rsid w:val="00CA360D"/>
    <w:rsid w:val="00CB2AE9"/>
    <w:rsid w:val="00CB6CF3"/>
    <w:rsid w:val="00CC15F3"/>
    <w:rsid w:val="00CC1645"/>
    <w:rsid w:val="00CC6A52"/>
    <w:rsid w:val="00CD101A"/>
    <w:rsid w:val="00CD1115"/>
    <w:rsid w:val="00CD65D9"/>
    <w:rsid w:val="00CE7AE0"/>
    <w:rsid w:val="00CE7F2D"/>
    <w:rsid w:val="00CF17BF"/>
    <w:rsid w:val="00CF2202"/>
    <w:rsid w:val="00D06AA3"/>
    <w:rsid w:val="00D1348F"/>
    <w:rsid w:val="00D140E5"/>
    <w:rsid w:val="00D22E22"/>
    <w:rsid w:val="00D2550E"/>
    <w:rsid w:val="00D30E46"/>
    <w:rsid w:val="00D36FF0"/>
    <w:rsid w:val="00D409BB"/>
    <w:rsid w:val="00D51630"/>
    <w:rsid w:val="00D616A4"/>
    <w:rsid w:val="00D63525"/>
    <w:rsid w:val="00D64CC0"/>
    <w:rsid w:val="00D70D82"/>
    <w:rsid w:val="00D717DE"/>
    <w:rsid w:val="00D755AC"/>
    <w:rsid w:val="00D804AA"/>
    <w:rsid w:val="00D80D1C"/>
    <w:rsid w:val="00D80E02"/>
    <w:rsid w:val="00D8208F"/>
    <w:rsid w:val="00D83AED"/>
    <w:rsid w:val="00DB2359"/>
    <w:rsid w:val="00DC084E"/>
    <w:rsid w:val="00DC1E2B"/>
    <w:rsid w:val="00DC6375"/>
    <w:rsid w:val="00DD0220"/>
    <w:rsid w:val="00DE005B"/>
    <w:rsid w:val="00DE07AD"/>
    <w:rsid w:val="00DE6003"/>
    <w:rsid w:val="00DF3980"/>
    <w:rsid w:val="00E01AB9"/>
    <w:rsid w:val="00E163CD"/>
    <w:rsid w:val="00E17A8F"/>
    <w:rsid w:val="00E21189"/>
    <w:rsid w:val="00E22C44"/>
    <w:rsid w:val="00E25699"/>
    <w:rsid w:val="00E25E10"/>
    <w:rsid w:val="00E26F88"/>
    <w:rsid w:val="00E2729E"/>
    <w:rsid w:val="00E3450B"/>
    <w:rsid w:val="00E36EFB"/>
    <w:rsid w:val="00E429AB"/>
    <w:rsid w:val="00E44849"/>
    <w:rsid w:val="00E5152A"/>
    <w:rsid w:val="00E526C8"/>
    <w:rsid w:val="00E55250"/>
    <w:rsid w:val="00E7105C"/>
    <w:rsid w:val="00E7187C"/>
    <w:rsid w:val="00E76240"/>
    <w:rsid w:val="00E81B87"/>
    <w:rsid w:val="00E81F2E"/>
    <w:rsid w:val="00E85698"/>
    <w:rsid w:val="00E903E8"/>
    <w:rsid w:val="00E90D91"/>
    <w:rsid w:val="00E9223B"/>
    <w:rsid w:val="00E922A9"/>
    <w:rsid w:val="00EB0083"/>
    <w:rsid w:val="00EC2253"/>
    <w:rsid w:val="00EC605F"/>
    <w:rsid w:val="00ED3186"/>
    <w:rsid w:val="00ED5AE9"/>
    <w:rsid w:val="00EE2FE7"/>
    <w:rsid w:val="00EE48C3"/>
    <w:rsid w:val="00EE57C8"/>
    <w:rsid w:val="00EF022F"/>
    <w:rsid w:val="00EF44B2"/>
    <w:rsid w:val="00F00F25"/>
    <w:rsid w:val="00F017D3"/>
    <w:rsid w:val="00F052AD"/>
    <w:rsid w:val="00F061C0"/>
    <w:rsid w:val="00F06FE6"/>
    <w:rsid w:val="00F072C1"/>
    <w:rsid w:val="00F1144B"/>
    <w:rsid w:val="00F147A8"/>
    <w:rsid w:val="00F20407"/>
    <w:rsid w:val="00F2468A"/>
    <w:rsid w:val="00F25630"/>
    <w:rsid w:val="00F34C67"/>
    <w:rsid w:val="00F45D3D"/>
    <w:rsid w:val="00F45DB7"/>
    <w:rsid w:val="00F503CA"/>
    <w:rsid w:val="00F5535E"/>
    <w:rsid w:val="00F56C84"/>
    <w:rsid w:val="00F56DFD"/>
    <w:rsid w:val="00F602E4"/>
    <w:rsid w:val="00F638AD"/>
    <w:rsid w:val="00F726FB"/>
    <w:rsid w:val="00F74826"/>
    <w:rsid w:val="00F8282F"/>
    <w:rsid w:val="00F9507F"/>
    <w:rsid w:val="00FA06F9"/>
    <w:rsid w:val="00FC1CCA"/>
    <w:rsid w:val="00FC58FB"/>
    <w:rsid w:val="00FD2C31"/>
    <w:rsid w:val="00FE2E2D"/>
    <w:rsid w:val="00FF696F"/>
    <w:rsid w:val="00FF7772"/>
    <w:rsid w:val="00FF7A11"/>
    <w:rsid w:val="02B024BC"/>
    <w:rsid w:val="06AB5053"/>
    <w:rsid w:val="10322724"/>
    <w:rsid w:val="14932070"/>
    <w:rsid w:val="15CF2312"/>
    <w:rsid w:val="25BA0D8A"/>
    <w:rsid w:val="35D60973"/>
    <w:rsid w:val="39EE1BD2"/>
    <w:rsid w:val="40241212"/>
    <w:rsid w:val="44444B17"/>
    <w:rsid w:val="519B130F"/>
    <w:rsid w:val="56356D14"/>
    <w:rsid w:val="5F3E56A1"/>
    <w:rsid w:val="61E15597"/>
    <w:rsid w:val="67BF0BCF"/>
    <w:rsid w:val="68C810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8"/>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59"/>
    <w:unhideWhenUsed/>
    <w:qFormat/>
    <w:uiPriority w:val="9"/>
    <w:pPr>
      <w:keepNext/>
      <w:keepLines/>
      <w:spacing w:before="260" w:after="260" w:line="416" w:lineRule="auto"/>
      <w:outlineLvl w:val="1"/>
    </w:pPr>
    <w:rPr>
      <w:rFonts w:ascii="Calibri Light" w:hAnsi="Calibri Light"/>
      <w:b/>
      <w:bCs/>
      <w:kern w:val="0"/>
      <w:sz w:val="32"/>
      <w:szCs w:val="32"/>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Balloon Text"/>
    <w:basedOn w:val="1"/>
    <w:link w:val="60"/>
    <w:qFormat/>
    <w:uiPriority w:val="0"/>
    <w:rPr>
      <w:sz w:val="18"/>
      <w:szCs w:val="18"/>
    </w:rPr>
  </w:style>
  <w:style w:type="paragraph" w:styleId="5">
    <w:name w:val="footer"/>
    <w:basedOn w:val="1"/>
    <w:link w:val="61"/>
    <w:qFormat/>
    <w:uiPriority w:val="0"/>
    <w:pPr>
      <w:tabs>
        <w:tab w:val="center" w:pos="4153"/>
        <w:tab w:val="right" w:pos="8306"/>
      </w:tabs>
      <w:snapToGrid w:val="0"/>
      <w:jc w:val="left"/>
    </w:pPr>
    <w:rPr>
      <w:sz w:val="18"/>
      <w:szCs w:val="18"/>
    </w:rPr>
  </w:style>
  <w:style w:type="paragraph" w:styleId="6">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qFormat/>
    <w:uiPriority w:val="20"/>
  </w:style>
  <w:style w:type="character" w:styleId="11">
    <w:name w:val="Hyperlink"/>
    <w:qFormat/>
    <w:uiPriority w:val="99"/>
    <w:rPr>
      <w:u w:val="single"/>
    </w:rPr>
  </w:style>
  <w:style w:type="paragraph" w:customStyle="1" w:styleId="12">
    <w:name w:val="〖A02〗签发人姓名"/>
    <w:next w:val="1"/>
    <w:link w:val="63"/>
    <w:qFormat/>
    <w:uiPriority w:val="0"/>
    <w:pPr>
      <w:tabs>
        <w:tab w:val="right" w:pos="8626"/>
      </w:tabs>
      <w:spacing w:line="600" w:lineRule="exact"/>
    </w:pPr>
    <w:rPr>
      <w:rFonts w:ascii="楷体_GB2312" w:hAnsi="Calibri" w:eastAsia="楷体_GB2312" w:cs="Times New Roman"/>
      <w:kern w:val="2"/>
      <w:sz w:val="32"/>
      <w:szCs w:val="21"/>
      <w:lang w:val="en-US" w:eastAsia="zh-CN" w:bidi="ar-SA"/>
    </w:rPr>
  </w:style>
  <w:style w:type="paragraph" w:customStyle="1" w:styleId="13">
    <w:name w:val="〖C02〗发文单位及日期"/>
    <w:basedOn w:val="14"/>
    <w:next w:val="14"/>
    <w:qFormat/>
    <w:uiPriority w:val="0"/>
    <w:pPr>
      <w:tabs>
        <w:tab w:val="center" w:pos="6240"/>
      </w:tabs>
    </w:pPr>
  </w:style>
  <w:style w:type="paragraph" w:customStyle="1" w:styleId="14">
    <w:name w:val="〖C01〗正文"/>
    <w:basedOn w:val="1"/>
    <w:qFormat/>
    <w:uiPriority w:val="0"/>
    <w:pPr>
      <w:topLinePunct/>
      <w:spacing w:line="600" w:lineRule="exact"/>
      <w:ind w:firstLine="640" w:firstLineChars="200"/>
    </w:pPr>
    <w:rPr>
      <w:rFonts w:ascii="仿宋_GB2312" w:hAnsi="Calibri" w:eastAsia="仿宋_GB2312"/>
      <w:sz w:val="32"/>
      <w:szCs w:val="32"/>
    </w:rPr>
  </w:style>
  <w:style w:type="paragraph" w:customStyle="1" w:styleId="15">
    <w:name w:val="08 正文第二层"/>
    <w:basedOn w:val="1"/>
    <w:next w:val="1"/>
    <w:qFormat/>
    <w:uiPriority w:val="0"/>
    <w:pPr>
      <w:spacing w:line="600" w:lineRule="exact"/>
      <w:ind w:firstLine="637" w:firstLineChars="200"/>
      <w:outlineLvl w:val="1"/>
    </w:pPr>
    <w:rPr>
      <w:rFonts w:ascii="楷体_GB2312" w:hAnsi="Calibri" w:eastAsia="楷体_GB2312" w:cs="宋体"/>
      <w:sz w:val="32"/>
      <w:szCs w:val="20"/>
    </w:rPr>
  </w:style>
  <w:style w:type="paragraph" w:customStyle="1" w:styleId="16">
    <w:name w:val="11 附件说明1"/>
    <w:basedOn w:val="17"/>
    <w:next w:val="1"/>
    <w:qFormat/>
    <w:uiPriority w:val="0"/>
    <w:pPr>
      <w:spacing w:before="450" w:beforeLines="150"/>
      <w:ind w:left="1924" w:leftChars="305" w:hanging="1289" w:hangingChars="405"/>
    </w:pPr>
  </w:style>
  <w:style w:type="paragraph" w:customStyle="1" w:styleId="17">
    <w:name w:val="09 正文第三、四层"/>
    <w:basedOn w:val="1"/>
    <w:next w:val="1"/>
    <w:qFormat/>
    <w:uiPriority w:val="0"/>
    <w:pPr>
      <w:spacing w:line="600" w:lineRule="exact"/>
      <w:ind w:firstLine="637" w:firstLineChars="200"/>
    </w:pPr>
    <w:rPr>
      <w:rFonts w:ascii="仿宋_GB2312" w:hAnsi="Calibri" w:eastAsia="仿宋_GB2312" w:cs="宋体"/>
      <w:sz w:val="32"/>
      <w:szCs w:val="20"/>
    </w:rPr>
  </w:style>
  <w:style w:type="paragraph" w:customStyle="1" w:styleId="18">
    <w:name w:val="〖A01〗公文红头子"/>
    <w:basedOn w:val="14"/>
    <w:next w:val="1"/>
    <w:qFormat/>
    <w:uiPriority w:val="0"/>
    <w:pPr>
      <w:spacing w:after="1248" w:afterLines="400" w:line="2000" w:lineRule="exact"/>
      <w:ind w:left="210" w:leftChars="100" w:right="210" w:rightChars="100" w:firstLine="0" w:firstLineChars="0"/>
      <w:jc w:val="distribute"/>
    </w:pPr>
    <w:rPr>
      <w:rFonts w:ascii="方正小标宋简体" w:hAnsi="方正小标宋简体" w:eastAsia="方正小标宋简体" w:cs="宋体"/>
      <w:color w:val="FF0000"/>
      <w:w w:val="70"/>
      <w:sz w:val="140"/>
      <w:szCs w:val="20"/>
    </w:rPr>
  </w:style>
  <w:style w:type="paragraph" w:customStyle="1" w:styleId="19">
    <w:name w:val="〖A07〗公文红线"/>
    <w:basedOn w:val="1"/>
    <w:next w:val="1"/>
    <w:qFormat/>
    <w:uiPriority w:val="0"/>
    <w:pPr>
      <w:spacing w:line="440" w:lineRule="exact"/>
      <w:jc w:val="distribute"/>
    </w:pPr>
    <w:rPr>
      <w:rFonts w:ascii="华文中宋" w:hAnsi="华文中宋" w:eastAsia="华文中宋" w:cs="宋体"/>
      <w:b/>
      <w:bCs/>
      <w:color w:val="FF0000"/>
      <w:sz w:val="88"/>
      <w:szCs w:val="20"/>
    </w:rPr>
  </w:style>
  <w:style w:type="paragraph" w:customStyle="1" w:styleId="20">
    <w:name w:val="〖A11〗页脚（奇数）"/>
    <w:basedOn w:val="5"/>
    <w:qFormat/>
    <w:uiPriority w:val="0"/>
    <w:pPr>
      <w:topLinePunct/>
      <w:jc w:val="right"/>
    </w:pPr>
    <w:rPr>
      <w:rFonts w:ascii="宋体"/>
      <w:kern w:val="0"/>
      <w:sz w:val="28"/>
      <w:szCs w:val="28"/>
    </w:rPr>
  </w:style>
  <w:style w:type="paragraph" w:customStyle="1" w:styleId="21">
    <w:name w:val="〖A10〗版记"/>
    <w:basedOn w:val="1"/>
    <w:qFormat/>
    <w:uiPriority w:val="0"/>
    <w:pPr>
      <w:pBdr>
        <w:top w:val="single" w:color="auto" w:sz="4" w:space="1"/>
        <w:bottom w:val="single" w:color="auto" w:sz="4" w:space="1"/>
        <w:between w:val="single" w:color="auto" w:sz="4" w:space="1"/>
      </w:pBdr>
      <w:tabs>
        <w:tab w:val="left" w:pos="210"/>
        <w:tab w:val="right" w:pos="8610"/>
      </w:tabs>
      <w:topLinePunct/>
      <w:spacing w:line="600" w:lineRule="exact"/>
    </w:pPr>
    <w:rPr>
      <w:rFonts w:ascii="仿宋_GB2312" w:eastAsia="仿宋_GB2312"/>
      <w:sz w:val="28"/>
      <w:szCs w:val="28"/>
    </w:rPr>
  </w:style>
  <w:style w:type="paragraph" w:customStyle="1" w:styleId="22">
    <w:name w:val="〖B09〗附件说明（无顺序号）"/>
    <w:next w:val="1"/>
    <w:qFormat/>
    <w:uiPriority w:val="0"/>
    <w:pPr>
      <w:widowControl w:val="0"/>
      <w:topLinePunct/>
      <w:spacing w:line="600" w:lineRule="exact"/>
      <w:ind w:left="1588" w:hanging="953"/>
    </w:pPr>
    <w:rPr>
      <w:rFonts w:ascii="仿宋_GB2312" w:hAnsi="Calibri" w:eastAsia="仿宋_GB2312" w:cs="Times New Roman"/>
      <w:kern w:val="2"/>
      <w:sz w:val="32"/>
      <w:szCs w:val="32"/>
      <w:lang w:val="en-US" w:eastAsia="zh-CN" w:bidi="ar-SA"/>
    </w:rPr>
  </w:style>
  <w:style w:type="paragraph" w:customStyle="1" w:styleId="23">
    <w:name w:val="〖B10〗附件说明（1）"/>
    <w:next w:val="1"/>
    <w:qFormat/>
    <w:uiPriority w:val="0"/>
    <w:pPr>
      <w:widowControl w:val="0"/>
      <w:spacing w:line="600" w:lineRule="exact"/>
      <w:ind w:left="1905" w:hanging="1270"/>
    </w:pPr>
    <w:rPr>
      <w:rFonts w:ascii="仿宋_GB2312" w:hAnsi="Calibri" w:eastAsia="仿宋_GB2312" w:cs="Times New Roman"/>
      <w:kern w:val="2"/>
      <w:sz w:val="32"/>
      <w:szCs w:val="21"/>
      <w:lang w:val="en-US" w:eastAsia="zh-CN" w:bidi="ar-SA"/>
    </w:rPr>
  </w:style>
  <w:style w:type="paragraph" w:customStyle="1" w:styleId="24">
    <w:name w:val="16 印发机关和印发日期"/>
    <w:basedOn w:val="1"/>
    <w:next w:val="1"/>
    <w:qFormat/>
    <w:uiPriority w:val="0"/>
    <w:pPr>
      <w:tabs>
        <w:tab w:val="center" w:pos="7904"/>
      </w:tabs>
      <w:spacing w:line="600" w:lineRule="exact"/>
      <w:ind w:left="292" w:leftChars="140" w:right="292" w:rightChars="140"/>
    </w:pPr>
    <w:rPr>
      <w:rFonts w:ascii="仿宋_GB2312" w:hAnsi="Calibri" w:eastAsia="仿宋_GB2312" w:cs="宋体"/>
      <w:sz w:val="28"/>
      <w:szCs w:val="20"/>
    </w:rPr>
  </w:style>
  <w:style w:type="paragraph" w:customStyle="1" w:styleId="25">
    <w:name w:val="〖A01〗函件红头子"/>
    <w:basedOn w:val="1"/>
    <w:next w:val="1"/>
    <w:qFormat/>
    <w:uiPriority w:val="0"/>
    <w:pPr>
      <w:ind w:right="180" w:rightChars="180" w:firstLine="38" w:firstLineChars="38"/>
      <w:jc w:val="distribute"/>
    </w:pPr>
    <w:rPr>
      <w:rFonts w:ascii="方正小标宋简体" w:eastAsia="方正小标宋简体" w:cs="宋体"/>
      <w:color w:val="FF0000"/>
      <w:w w:val="80"/>
      <w:sz w:val="110"/>
      <w:szCs w:val="20"/>
    </w:rPr>
  </w:style>
  <w:style w:type="paragraph" w:customStyle="1" w:styleId="26">
    <w:name w:val="10 正文图片"/>
    <w:basedOn w:val="17"/>
    <w:next w:val="17"/>
    <w:qFormat/>
    <w:uiPriority w:val="0"/>
    <w:pPr>
      <w:spacing w:line="240" w:lineRule="auto"/>
      <w:ind w:firstLine="0" w:firstLineChars="0"/>
      <w:jc w:val="center"/>
    </w:pPr>
  </w:style>
  <w:style w:type="paragraph" w:customStyle="1" w:styleId="27">
    <w:name w:val="02  发文机关标志"/>
    <w:basedOn w:val="1"/>
    <w:next w:val="1"/>
    <w:qFormat/>
    <w:uiPriority w:val="0"/>
    <w:pPr>
      <w:spacing w:after="1200" w:afterLines="400" w:line="2000" w:lineRule="exact"/>
      <w:ind w:left="208" w:leftChars="100" w:right="208" w:rightChars="100"/>
      <w:jc w:val="distribute"/>
    </w:pPr>
    <w:rPr>
      <w:rFonts w:ascii="方正小标宋简体" w:hAnsi="方正小标宋简体" w:eastAsia="方正小标宋简体" w:cs="宋体"/>
      <w:color w:val="FF0000"/>
      <w:w w:val="70"/>
      <w:sz w:val="140"/>
      <w:szCs w:val="20"/>
    </w:rPr>
  </w:style>
  <w:style w:type="paragraph" w:customStyle="1" w:styleId="28">
    <w:name w:val="正文文本1"/>
    <w:qFormat/>
    <w:uiPriority w:val="0"/>
    <w:pPr>
      <w:widowControl w:val="0"/>
      <w:spacing w:after="120"/>
      <w:ind w:left="100" w:firstLine="200"/>
      <w:jc w:val="both"/>
    </w:pPr>
    <w:rPr>
      <w:rFonts w:ascii="Times New Roman" w:hAnsi="Times New Roman" w:eastAsia="Times New Roman" w:cs="Times New Roman"/>
      <w:color w:val="000000"/>
      <w:kern w:val="2"/>
      <w:sz w:val="21"/>
      <w:szCs w:val="21"/>
      <w:u w:val="none" w:color="000000"/>
      <w:lang w:val="en-US" w:eastAsia="zh-CN" w:bidi="ar-SA"/>
    </w:rPr>
  </w:style>
  <w:style w:type="paragraph" w:customStyle="1" w:styleId="29">
    <w:name w:val="〖A11〗奇数页码，4页以上"/>
    <w:basedOn w:val="5"/>
    <w:qFormat/>
    <w:uiPriority w:val="0"/>
    <w:pPr>
      <w:topLinePunct/>
      <w:ind w:right="134" w:rightChars="134"/>
      <w:jc w:val="right"/>
    </w:pPr>
    <w:rPr>
      <w:rFonts w:ascii="宋体"/>
      <w:kern w:val="0"/>
      <w:sz w:val="28"/>
      <w:szCs w:val="28"/>
    </w:rPr>
  </w:style>
  <w:style w:type="paragraph" w:customStyle="1" w:styleId="30">
    <w:name w:val="05 公文标题"/>
    <w:basedOn w:val="1"/>
    <w:next w:val="1"/>
    <w:qFormat/>
    <w:uiPriority w:val="0"/>
    <w:pPr>
      <w:spacing w:line="600" w:lineRule="exact"/>
      <w:jc w:val="center"/>
      <w:outlineLvl w:val="0"/>
    </w:pPr>
    <w:rPr>
      <w:rFonts w:ascii="方正小标宋简体" w:hAnsi="Arial" w:eastAsia="方正小标宋简体" w:cs="宋体"/>
      <w:bCs/>
      <w:sz w:val="44"/>
      <w:szCs w:val="44"/>
    </w:rPr>
  </w:style>
  <w:style w:type="paragraph" w:customStyle="1" w:styleId="31">
    <w:name w:val="〖A04〗函件文号"/>
    <w:next w:val="1"/>
    <w:qFormat/>
    <w:uiPriority w:val="0"/>
    <w:pPr>
      <w:spacing w:line="600" w:lineRule="exact"/>
      <w:ind w:left="318" w:right="318"/>
      <w:jc w:val="right"/>
    </w:pPr>
    <w:rPr>
      <w:rFonts w:ascii="仿宋_GB2312" w:hAnsi="Calibri" w:eastAsia="仿宋_GB2312" w:cs="Times New Roman"/>
      <w:kern w:val="2"/>
      <w:sz w:val="32"/>
      <w:szCs w:val="32"/>
      <w:lang w:val="en-US" w:eastAsia="zh-CN" w:bidi="ar-SA"/>
    </w:rPr>
  </w:style>
  <w:style w:type="paragraph" w:customStyle="1" w:styleId="32">
    <w:name w:val="〖A08〗公文标题"/>
    <w:basedOn w:val="1"/>
    <w:next w:val="1"/>
    <w:qFormat/>
    <w:uiPriority w:val="0"/>
    <w:pPr>
      <w:topLinePunct/>
      <w:spacing w:line="600" w:lineRule="exact"/>
      <w:jc w:val="center"/>
    </w:pPr>
    <w:rPr>
      <w:rFonts w:ascii="方正小标宋简体" w:hAnsi="Calibri" w:eastAsia="方正小标宋简体"/>
      <w:sz w:val="44"/>
      <w:szCs w:val="22"/>
    </w:rPr>
  </w:style>
  <w:style w:type="paragraph" w:customStyle="1" w:styleId="33">
    <w:name w:val="07 正文第一层"/>
    <w:basedOn w:val="1"/>
    <w:next w:val="1"/>
    <w:qFormat/>
    <w:uiPriority w:val="0"/>
    <w:pPr>
      <w:spacing w:line="600" w:lineRule="exact"/>
      <w:ind w:firstLine="637" w:firstLineChars="200"/>
      <w:outlineLvl w:val="0"/>
    </w:pPr>
    <w:rPr>
      <w:rFonts w:ascii="黑体" w:hAnsi="Calibri" w:eastAsia="黑体" w:cs="宋体"/>
      <w:sz w:val="32"/>
      <w:szCs w:val="20"/>
    </w:rPr>
  </w:style>
  <w:style w:type="paragraph" w:customStyle="1" w:styleId="34">
    <w:name w:val="〖A11〗偶数页码，4页以上"/>
    <w:basedOn w:val="5"/>
    <w:qFormat/>
    <w:uiPriority w:val="0"/>
    <w:pPr>
      <w:topLinePunct/>
      <w:ind w:left="134" w:leftChars="134"/>
    </w:pPr>
    <w:rPr>
      <w:rFonts w:ascii="宋体"/>
      <w:kern w:val="0"/>
      <w:sz w:val="28"/>
      <w:szCs w:val="28"/>
    </w:rPr>
  </w:style>
  <w:style w:type="paragraph" w:customStyle="1" w:styleId="35">
    <w:name w:val="〖B03〗三级标题"/>
    <w:basedOn w:val="1"/>
    <w:qFormat/>
    <w:uiPriority w:val="0"/>
    <w:pPr>
      <w:numPr>
        <w:ilvl w:val="0"/>
        <w:numId w:val="1"/>
      </w:numPr>
      <w:topLinePunct/>
      <w:spacing w:line="600" w:lineRule="exact"/>
      <w:outlineLvl w:val="2"/>
    </w:pPr>
    <w:rPr>
      <w:rFonts w:ascii="楷体_GB2312" w:hAnsi="Calibri" w:eastAsia="楷体_GB2312"/>
      <w:sz w:val="32"/>
      <w:szCs w:val="32"/>
    </w:rPr>
  </w:style>
  <w:style w:type="paragraph" w:customStyle="1" w:styleId="36">
    <w:name w:val="〖A09〗主送机关"/>
    <w:basedOn w:val="1"/>
    <w:next w:val="1"/>
    <w:qFormat/>
    <w:uiPriority w:val="0"/>
    <w:pPr>
      <w:topLinePunct/>
      <w:spacing w:line="600" w:lineRule="exact"/>
    </w:pPr>
    <w:rPr>
      <w:rFonts w:ascii="仿宋_GB2312" w:hAnsi="Calibri" w:eastAsia="仿宋_GB2312"/>
      <w:sz w:val="32"/>
      <w:szCs w:val="32"/>
    </w:rPr>
  </w:style>
  <w:style w:type="paragraph" w:customStyle="1" w:styleId="37">
    <w:name w:val="〖A11〗页脚（偶数）"/>
    <w:basedOn w:val="5"/>
    <w:qFormat/>
    <w:uiPriority w:val="0"/>
    <w:pPr>
      <w:topLinePunct/>
    </w:pPr>
    <w:rPr>
      <w:rFonts w:ascii="宋体"/>
      <w:kern w:val="0"/>
      <w:sz w:val="28"/>
      <w:szCs w:val="28"/>
    </w:rPr>
  </w:style>
  <w:style w:type="paragraph" w:customStyle="1" w:styleId="38">
    <w:name w:val="〖B10〗附件说明（234...）"/>
    <w:next w:val="1"/>
    <w:qFormat/>
    <w:uiPriority w:val="0"/>
    <w:pPr>
      <w:widowControl w:val="0"/>
      <w:spacing w:line="600" w:lineRule="exact"/>
      <w:ind w:left="1906" w:hanging="318"/>
    </w:pPr>
    <w:rPr>
      <w:rFonts w:ascii="仿宋_GB2312" w:hAnsi="Calibri" w:eastAsia="仿宋_GB2312" w:cs="Times New Roman"/>
      <w:kern w:val="2"/>
      <w:sz w:val="32"/>
      <w:szCs w:val="21"/>
      <w:lang w:val="en-US" w:eastAsia="zh-CN" w:bidi="ar-SA"/>
    </w:rPr>
  </w:style>
  <w:style w:type="paragraph" w:customStyle="1" w:styleId="39">
    <w:name w:val="〖A02〗上行文文号"/>
    <w:basedOn w:val="1"/>
    <w:qFormat/>
    <w:uiPriority w:val="0"/>
    <w:pPr>
      <w:tabs>
        <w:tab w:val="left" w:pos="208"/>
        <w:tab w:val="left" w:pos="6448"/>
      </w:tabs>
      <w:topLinePunct/>
      <w:spacing w:line="600" w:lineRule="exact"/>
    </w:pPr>
    <w:rPr>
      <w:rFonts w:ascii="仿宋_GB2312" w:eastAsia="仿宋_GB2312"/>
      <w:sz w:val="32"/>
    </w:rPr>
  </w:style>
  <w:style w:type="paragraph" w:customStyle="1" w:styleId="40">
    <w:name w:val="〖B09〗正文附件"/>
    <w:basedOn w:val="14"/>
    <w:next w:val="14"/>
    <w:qFormat/>
    <w:uiPriority w:val="0"/>
    <w:pPr>
      <w:ind w:left="1599" w:hanging="964" w:firstLineChars="0"/>
    </w:pPr>
  </w:style>
  <w:style w:type="paragraph" w:customStyle="1" w:styleId="41">
    <w:name w:val="14 成文日期"/>
    <w:basedOn w:val="1"/>
    <w:next w:val="1"/>
    <w:qFormat/>
    <w:uiPriority w:val="0"/>
    <w:pPr>
      <w:spacing w:line="600" w:lineRule="exact"/>
      <w:ind w:right="1312" w:rightChars="630"/>
      <w:jc w:val="right"/>
    </w:pPr>
    <w:rPr>
      <w:rFonts w:ascii="仿宋_GB2312" w:hAnsi="仿宋_GB2312" w:eastAsia="仿宋_GB2312" w:cs="宋体"/>
      <w:sz w:val="32"/>
      <w:szCs w:val="20"/>
    </w:rPr>
  </w:style>
  <w:style w:type="paragraph" w:customStyle="1" w:styleId="42">
    <w:name w:val="13 发文机关署名"/>
    <w:basedOn w:val="41"/>
    <w:next w:val="1"/>
    <w:qFormat/>
    <w:uiPriority w:val="0"/>
    <w:pPr>
      <w:spacing w:before="1500" w:beforeLines="500"/>
      <w:ind w:right="1500" w:rightChars="720"/>
    </w:pPr>
  </w:style>
  <w:style w:type="paragraph" w:customStyle="1" w:styleId="43">
    <w:name w:val="15 抄送机关"/>
    <w:basedOn w:val="1"/>
    <w:next w:val="1"/>
    <w:qFormat/>
    <w:uiPriority w:val="0"/>
    <w:pPr>
      <w:spacing w:line="600" w:lineRule="exact"/>
      <w:ind w:left="1071" w:leftChars="140" w:right="292" w:rightChars="140" w:hanging="779" w:hangingChars="280"/>
    </w:pPr>
    <w:rPr>
      <w:rFonts w:ascii="仿宋_GB2312" w:hAnsi="Calibri" w:eastAsia="仿宋_GB2312" w:cs="宋体"/>
      <w:sz w:val="28"/>
      <w:szCs w:val="20"/>
    </w:rPr>
  </w:style>
  <w:style w:type="paragraph" w:customStyle="1" w:styleId="44">
    <w:name w:val="〖B04〗四级标题"/>
    <w:next w:val="1"/>
    <w:qFormat/>
    <w:uiPriority w:val="0"/>
    <w:pPr>
      <w:widowControl w:val="0"/>
      <w:numPr>
        <w:ilvl w:val="0"/>
        <w:numId w:val="2"/>
      </w:numPr>
      <w:spacing w:line="600" w:lineRule="exact"/>
      <w:outlineLvl w:val="3"/>
    </w:pPr>
    <w:rPr>
      <w:rFonts w:ascii="仿宋_GB2312" w:hAnsi="Calibri" w:eastAsia="仿宋_GB2312" w:cs="Times New Roman"/>
      <w:kern w:val="2"/>
      <w:sz w:val="32"/>
      <w:szCs w:val="32"/>
      <w:lang w:val="en-US" w:eastAsia="zh-CN" w:bidi="ar-SA"/>
    </w:rPr>
  </w:style>
  <w:style w:type="paragraph" w:customStyle="1" w:styleId="45">
    <w:name w:val="〖A01〗密级、紧急及附件"/>
    <w:next w:val="1"/>
    <w:qFormat/>
    <w:uiPriority w:val="0"/>
    <w:pPr>
      <w:spacing w:line="600" w:lineRule="exact"/>
    </w:pPr>
    <w:rPr>
      <w:rFonts w:ascii="黑体" w:hAnsi="Calibri" w:eastAsia="黑体" w:cs="Times New Roman"/>
      <w:kern w:val="2"/>
      <w:sz w:val="32"/>
      <w:szCs w:val="21"/>
      <w:lang w:val="en-US" w:eastAsia="zh-CN" w:bidi="ar-SA"/>
    </w:rPr>
  </w:style>
  <w:style w:type="paragraph" w:customStyle="1" w:styleId="46">
    <w:name w:val="〖B02〗二级标题"/>
    <w:basedOn w:val="14"/>
    <w:next w:val="14"/>
    <w:qFormat/>
    <w:uiPriority w:val="0"/>
    <w:pPr>
      <w:numPr>
        <w:ilvl w:val="0"/>
        <w:numId w:val="3"/>
      </w:numPr>
      <w:ind w:firstLineChars="0"/>
      <w:outlineLvl w:val="1"/>
    </w:pPr>
    <w:rPr>
      <w:rFonts w:ascii="楷体_GB2312" w:eastAsia="楷体_GB2312"/>
    </w:rPr>
  </w:style>
  <w:style w:type="paragraph" w:customStyle="1" w:styleId="47">
    <w:name w:val="〖B01〗一级标题"/>
    <w:basedOn w:val="1"/>
    <w:next w:val="1"/>
    <w:qFormat/>
    <w:uiPriority w:val="0"/>
    <w:pPr>
      <w:numPr>
        <w:ilvl w:val="0"/>
        <w:numId w:val="4"/>
      </w:numPr>
      <w:topLinePunct/>
      <w:spacing w:line="600" w:lineRule="exact"/>
      <w:outlineLvl w:val="0"/>
    </w:pPr>
    <w:rPr>
      <w:rFonts w:ascii="黑体" w:hAnsi="Calibri" w:eastAsia="黑体"/>
      <w:sz w:val="32"/>
      <w:szCs w:val="32"/>
    </w:rPr>
  </w:style>
  <w:style w:type="paragraph" w:customStyle="1" w:styleId="48">
    <w:name w:val="03 发文字号"/>
    <w:basedOn w:val="1"/>
    <w:next w:val="1"/>
    <w:qFormat/>
    <w:uiPriority w:val="0"/>
    <w:pPr>
      <w:jc w:val="center"/>
    </w:pPr>
    <w:rPr>
      <w:rFonts w:ascii="仿宋_GB2312" w:hAnsi="Calibri" w:eastAsia="仿宋_GB2312" w:cs="宋体"/>
      <w:sz w:val="32"/>
      <w:szCs w:val="20"/>
    </w:rPr>
  </w:style>
  <w:style w:type="paragraph" w:customStyle="1" w:styleId="49">
    <w:name w:val="〖C11〗图片格式"/>
    <w:next w:val="14"/>
    <w:qFormat/>
    <w:uiPriority w:val="0"/>
    <w:pPr>
      <w:widowControl w:val="0"/>
      <w:jc w:val="center"/>
    </w:pPr>
    <w:rPr>
      <w:rFonts w:ascii="仿宋_GB2312" w:hAnsi="Calibri" w:eastAsia="仿宋_GB2312" w:cs="宋体"/>
      <w:kern w:val="2"/>
      <w:sz w:val="32"/>
      <w:lang w:val="en-US" w:eastAsia="zh-CN" w:bidi="ar-SA"/>
    </w:rPr>
  </w:style>
  <w:style w:type="paragraph" w:customStyle="1" w:styleId="50">
    <w:name w:val="〖A03〗下行文文号"/>
    <w:basedOn w:val="1"/>
    <w:next w:val="14"/>
    <w:qFormat/>
    <w:uiPriority w:val="0"/>
    <w:pPr>
      <w:topLinePunct/>
      <w:spacing w:line="600" w:lineRule="exact"/>
      <w:jc w:val="center"/>
    </w:pPr>
    <w:rPr>
      <w:rFonts w:ascii="仿宋_GB2312" w:eastAsia="仿宋_GB2312"/>
      <w:sz w:val="32"/>
    </w:rPr>
  </w:style>
  <w:style w:type="paragraph" w:customStyle="1" w:styleId="51">
    <w:name w:val="17 附件"/>
    <w:basedOn w:val="1"/>
    <w:next w:val="1"/>
    <w:qFormat/>
    <w:uiPriority w:val="0"/>
    <w:pPr>
      <w:spacing w:line="600" w:lineRule="exact"/>
      <w:jc w:val="left"/>
    </w:pPr>
    <w:rPr>
      <w:rFonts w:ascii="黑体" w:hAnsi="Calibri" w:eastAsia="黑体"/>
      <w:sz w:val="32"/>
      <w:szCs w:val="32"/>
    </w:rPr>
  </w:style>
  <w:style w:type="paragraph" w:customStyle="1" w:styleId="52">
    <w:name w:val="01 秘密等级、紧急程度"/>
    <w:basedOn w:val="1"/>
    <w:next w:val="1"/>
    <w:qFormat/>
    <w:uiPriority w:val="0"/>
    <w:pPr>
      <w:spacing w:line="600" w:lineRule="exact"/>
      <w:jc w:val="left"/>
    </w:pPr>
    <w:rPr>
      <w:rFonts w:ascii="黑体" w:hAnsi="Calibri" w:eastAsia="黑体" w:cs="宋体"/>
      <w:sz w:val="32"/>
      <w:szCs w:val="20"/>
    </w:rPr>
  </w:style>
  <w:style w:type="paragraph" w:customStyle="1" w:styleId="53">
    <w:name w:val="〖A11〗页脚"/>
    <w:basedOn w:val="1"/>
    <w:qFormat/>
    <w:uiPriority w:val="0"/>
    <w:pPr>
      <w:tabs>
        <w:tab w:val="center" w:pos="4153"/>
        <w:tab w:val="right" w:pos="8306"/>
      </w:tabs>
      <w:topLinePunct/>
      <w:snapToGrid w:val="0"/>
      <w:jc w:val="right"/>
    </w:pPr>
    <w:rPr>
      <w:rFonts w:ascii="宋体"/>
      <w:kern w:val="0"/>
      <w:sz w:val="28"/>
      <w:szCs w:val="28"/>
    </w:rPr>
  </w:style>
  <w:style w:type="paragraph" w:customStyle="1" w:styleId="54">
    <w:name w:val="正文 A"/>
    <w:qFormat/>
    <w:uiPriority w:val="0"/>
    <w:pPr>
      <w:widowControl w:val="0"/>
      <w:jc w:val="both"/>
    </w:pPr>
    <w:rPr>
      <w:rFonts w:ascii="Times New Roman" w:hAnsi="Arial Unicode MS" w:eastAsia="Arial Unicode MS" w:cs="Arial Unicode MS"/>
      <w:color w:val="000000"/>
      <w:kern w:val="2"/>
      <w:sz w:val="21"/>
      <w:szCs w:val="21"/>
      <w:u w:val="none" w:color="000000"/>
      <w:lang w:val="en-US" w:eastAsia="zh-CN" w:bidi="ar-SA"/>
    </w:rPr>
  </w:style>
  <w:style w:type="paragraph" w:customStyle="1" w:styleId="55">
    <w:name w:val="06 主送机关"/>
    <w:basedOn w:val="1"/>
    <w:next w:val="1"/>
    <w:qFormat/>
    <w:uiPriority w:val="0"/>
    <w:pPr>
      <w:spacing w:before="600" w:beforeLines="200" w:line="600" w:lineRule="exact"/>
      <w:jc w:val="left"/>
    </w:pPr>
    <w:rPr>
      <w:rFonts w:ascii="仿宋_GB2312" w:hAnsi="Calibri" w:eastAsia="仿宋_GB2312" w:cs="宋体"/>
      <w:sz w:val="32"/>
      <w:szCs w:val="20"/>
    </w:rPr>
  </w:style>
  <w:style w:type="paragraph" w:customStyle="1" w:styleId="56">
    <w:name w:val="12 附件说明2、3……"/>
    <w:basedOn w:val="17"/>
    <w:next w:val="1"/>
    <w:qFormat/>
    <w:uiPriority w:val="0"/>
    <w:pPr>
      <w:ind w:left="1932" w:leftChars="767" w:hanging="334" w:hangingChars="105"/>
    </w:pPr>
  </w:style>
  <w:style w:type="paragraph" w:customStyle="1" w:styleId="57">
    <w:name w:val="04 红色反线"/>
    <w:basedOn w:val="1"/>
    <w:next w:val="1"/>
    <w:qFormat/>
    <w:uiPriority w:val="0"/>
    <w:pPr>
      <w:spacing w:after="450" w:afterLines="150" w:line="600" w:lineRule="exact"/>
      <w:jc w:val="center"/>
    </w:pPr>
    <w:rPr>
      <w:rFonts w:ascii="仿宋_GB2312" w:hAnsi="仿宋_GB2312" w:eastAsia="仿宋_GB2312" w:cs="宋体"/>
      <w:color w:val="FF0000"/>
      <w:sz w:val="88"/>
      <w:szCs w:val="20"/>
    </w:rPr>
  </w:style>
  <w:style w:type="character" w:customStyle="1" w:styleId="58">
    <w:name w:val="标题 1 Char"/>
    <w:link w:val="2"/>
    <w:qFormat/>
    <w:uiPriority w:val="9"/>
    <w:rPr>
      <w:rFonts w:ascii="Calibri" w:hAnsi="Calibri"/>
      <w:b/>
      <w:bCs/>
      <w:kern w:val="44"/>
      <w:sz w:val="44"/>
      <w:szCs w:val="44"/>
    </w:rPr>
  </w:style>
  <w:style w:type="character" w:customStyle="1" w:styleId="59">
    <w:name w:val="标题 2 Char"/>
    <w:link w:val="3"/>
    <w:qFormat/>
    <w:uiPriority w:val="9"/>
    <w:rPr>
      <w:rFonts w:ascii="Calibri Light" w:hAnsi="Calibri Light"/>
      <w:b/>
      <w:bCs/>
      <w:sz w:val="32"/>
      <w:szCs w:val="32"/>
    </w:rPr>
  </w:style>
  <w:style w:type="character" w:customStyle="1" w:styleId="60">
    <w:name w:val="批注框文本 Char"/>
    <w:link w:val="4"/>
    <w:qFormat/>
    <w:uiPriority w:val="0"/>
    <w:rPr>
      <w:kern w:val="2"/>
      <w:sz w:val="18"/>
      <w:szCs w:val="18"/>
    </w:rPr>
  </w:style>
  <w:style w:type="character" w:customStyle="1" w:styleId="61">
    <w:name w:val="页脚 Char"/>
    <w:link w:val="5"/>
    <w:qFormat/>
    <w:uiPriority w:val="0"/>
    <w:rPr>
      <w:kern w:val="2"/>
      <w:sz w:val="18"/>
      <w:szCs w:val="18"/>
    </w:rPr>
  </w:style>
  <w:style w:type="character" w:customStyle="1" w:styleId="62">
    <w:name w:val="页眉 Char"/>
    <w:link w:val="6"/>
    <w:qFormat/>
    <w:uiPriority w:val="0"/>
    <w:rPr>
      <w:kern w:val="2"/>
      <w:sz w:val="18"/>
      <w:szCs w:val="18"/>
    </w:rPr>
  </w:style>
  <w:style w:type="character" w:customStyle="1" w:styleId="63">
    <w:name w:val="〖A02〗签发人姓名 Char"/>
    <w:link w:val="12"/>
    <w:qFormat/>
    <w:uiPriority w:val="0"/>
    <w:rPr>
      <w:rFonts w:ascii="楷体_GB2312" w:hAnsi="Calibri" w:eastAsia="楷体_GB2312"/>
      <w:kern w:val="2"/>
      <w:sz w:val="32"/>
      <w:szCs w:val="21"/>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预算科</Company>
  <Pages>9</Pages>
  <Words>3942</Words>
  <Characters>4156</Characters>
  <Lines>35</Lines>
  <Paragraphs>9</Paragraphs>
  <TotalTime>0</TotalTime>
  <ScaleCrop>false</ScaleCrop>
  <LinksUpToDate>false</LinksUpToDate>
  <CharactersWithSpaces>4162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2022-03-24T02:44:00Z</dcterms:created>
  <dc:creator>李永斌</dc:creator>
  <cp:lastModifiedBy>卢鹏</cp:lastModifiedBy>
  <cp:lastPrinted>2014-07-16T07:37:00Z</cp:lastPrinted>
  <dcterms:modified xsi:type="dcterms:W3CDTF">2026-02-24T07:08:56Z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98DB67ACD1C14BF4947CC6F32AF30ABA_12</vt:lpwstr>
  </property>
  <property fmtid="{D5CDD505-2E9C-101B-9397-08002B2CF9AE}" pid="4" name="KSOTemplateDocerSaveRecord">
    <vt:lpwstr>eyJoZGlkIjoiMDNhOTUzNTI3M2I4YjRjZWUyYjZkNDliZTE0YWNmOTkiLCJ1c2VySWQiOiIzNDQxNDE0MzIifQ==</vt:lpwstr>
  </property>
</Properties>
</file>