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227D4B">
      <w:pPr>
        <w:spacing w:line="355" w:lineRule="auto"/>
        <w:rPr>
          <w:rFonts w:ascii="Arial"/>
          <w:sz w:val="21"/>
        </w:rPr>
      </w:pPr>
    </w:p>
    <w:p w14:paraId="0EAD5A3B">
      <w:pPr>
        <w:spacing w:line="355" w:lineRule="auto"/>
        <w:rPr>
          <w:rFonts w:ascii="Arial"/>
          <w:sz w:val="21"/>
        </w:rPr>
      </w:pPr>
    </w:p>
    <w:p w14:paraId="1C3E23B6">
      <w:pPr>
        <w:spacing w:before="101" w:line="230" w:lineRule="auto"/>
        <w:ind w:left="9"/>
        <w:rPr>
          <w:rFonts w:ascii="黑体" w:hAnsi="黑体" w:eastAsia="黑体" w:cs="黑体"/>
          <w:sz w:val="31"/>
          <w:szCs w:val="31"/>
        </w:rPr>
      </w:pPr>
      <w:r>
        <w:rPr>
          <w:rFonts w:ascii="黑体" w:hAnsi="黑体" w:eastAsia="黑体" w:cs="黑体"/>
          <w:spacing w:val="24"/>
          <w:sz w:val="31"/>
          <w:szCs w:val="31"/>
        </w:rPr>
        <w:t>附件4</w:t>
      </w:r>
    </w:p>
    <w:p w14:paraId="7C98271C">
      <w:pPr>
        <w:spacing w:before="106" w:line="267" w:lineRule="auto"/>
        <w:ind w:left="1769" w:right="1620" w:hanging="166"/>
        <w:rPr>
          <w:rFonts w:ascii="宋体" w:hAnsi="宋体" w:eastAsia="宋体" w:cs="宋体"/>
          <w:sz w:val="43"/>
          <w:szCs w:val="43"/>
        </w:rPr>
      </w:pPr>
      <w:r>
        <w:rPr>
          <w:rFonts w:ascii="宋体" w:hAnsi="宋体" w:eastAsia="宋体" w:cs="宋体"/>
          <w:b/>
          <w:bCs/>
          <w:spacing w:val="5"/>
          <w:sz w:val="43"/>
          <w:szCs w:val="43"/>
        </w:rPr>
        <w:t>关于井研县研经镇中心小学校</w:t>
      </w:r>
      <w:r>
        <w:rPr>
          <w:rFonts w:hint="eastAsia" w:ascii="宋体" w:hAnsi="宋体" w:eastAsia="宋体" w:cs="宋体"/>
          <w:b/>
          <w:bCs/>
          <w:spacing w:val="2"/>
          <w:sz w:val="43"/>
          <w:szCs w:val="43"/>
          <w:lang w:eastAsia="zh-CN"/>
        </w:rPr>
        <w:t>2026</w:t>
      </w:r>
      <w:r>
        <w:rPr>
          <w:rFonts w:ascii="宋体" w:hAnsi="宋体" w:eastAsia="宋体" w:cs="宋体"/>
          <w:spacing w:val="-85"/>
          <w:sz w:val="43"/>
          <w:szCs w:val="43"/>
        </w:rPr>
        <w:t xml:space="preserve"> </w:t>
      </w:r>
      <w:r>
        <w:rPr>
          <w:rFonts w:ascii="宋体" w:hAnsi="宋体" w:eastAsia="宋体" w:cs="宋体"/>
          <w:b/>
          <w:bCs/>
          <w:spacing w:val="2"/>
          <w:sz w:val="43"/>
          <w:szCs w:val="43"/>
        </w:rPr>
        <w:t>年部门预算编制的说明</w:t>
      </w:r>
    </w:p>
    <w:p w14:paraId="335B1A13">
      <w:pPr>
        <w:spacing w:line="280" w:lineRule="auto"/>
        <w:rPr>
          <w:rFonts w:ascii="Arial"/>
          <w:sz w:val="21"/>
        </w:rPr>
      </w:pPr>
    </w:p>
    <w:p w14:paraId="7FBAC3CF">
      <w:pPr>
        <w:spacing w:line="280" w:lineRule="auto"/>
        <w:rPr>
          <w:rFonts w:ascii="Arial"/>
          <w:sz w:val="21"/>
        </w:rPr>
      </w:pPr>
    </w:p>
    <w:p w14:paraId="07641021">
      <w:pPr>
        <w:pStyle w:val="2"/>
        <w:spacing w:before="101" w:line="357" w:lineRule="auto"/>
        <w:ind w:left="2" w:firstLine="632"/>
      </w:pPr>
      <w:r>
        <w:rPr>
          <w:spacing w:val="6"/>
        </w:rPr>
        <w:t>按照预算管理有关规定，</w:t>
      </w:r>
      <w:r>
        <w:rPr>
          <w:spacing w:val="-68"/>
        </w:rPr>
        <w:t xml:space="preserve"> </w:t>
      </w:r>
      <w:r>
        <w:rPr>
          <w:spacing w:val="6"/>
        </w:rPr>
        <w:t>目前部门预算的编制实行综合预算</w:t>
      </w:r>
      <w:r>
        <w:rPr>
          <w:spacing w:val="8"/>
        </w:rPr>
        <w:t>制度，即全部收入和支出都反映在预算中。</w:t>
      </w:r>
    </w:p>
    <w:p w14:paraId="38999D03">
      <w:pPr>
        <w:spacing w:line="227" w:lineRule="auto"/>
        <w:ind w:left="635"/>
        <w:outlineLvl w:val="0"/>
        <w:rPr>
          <w:rFonts w:ascii="黑体" w:hAnsi="黑体" w:eastAsia="黑体" w:cs="黑体"/>
          <w:sz w:val="31"/>
          <w:szCs w:val="31"/>
        </w:rPr>
      </w:pPr>
      <w:r>
        <w:rPr>
          <w:rFonts w:ascii="黑体" w:hAnsi="黑体" w:eastAsia="黑体" w:cs="黑体"/>
          <w:spacing w:val="8"/>
          <w:sz w:val="31"/>
          <w:szCs w:val="31"/>
        </w:rPr>
        <w:t>一、基本职能及主要工作</w:t>
      </w:r>
    </w:p>
    <w:p w14:paraId="7A65D883">
      <w:pPr>
        <w:pStyle w:val="2"/>
        <w:spacing w:before="166" w:line="227" w:lineRule="auto"/>
        <w:ind w:left="651"/>
      </w:pPr>
      <w:r>
        <w:rPr>
          <w:spacing w:val="5"/>
        </w:rPr>
        <w:t>（一）主要职能：</w:t>
      </w:r>
    </w:p>
    <w:p w14:paraId="16024F2E">
      <w:pPr>
        <w:spacing w:line="290" w:lineRule="auto"/>
        <w:rPr>
          <w:rFonts w:ascii="Arial"/>
          <w:sz w:val="21"/>
        </w:rPr>
      </w:pPr>
    </w:p>
    <w:p w14:paraId="27214B78">
      <w:pPr>
        <w:pStyle w:val="2"/>
        <w:spacing w:before="101" w:line="301" w:lineRule="auto"/>
        <w:ind w:left="2" w:right="154" w:firstLine="648"/>
      </w:pPr>
      <w:r>
        <w:rPr>
          <w:spacing w:val="9"/>
        </w:rPr>
        <w:t>（1）贯彻执行国家教育方针政策，促进井研</w:t>
      </w:r>
      <w:r>
        <w:rPr>
          <w:spacing w:val="8"/>
        </w:rPr>
        <w:t>教育事业的发</w:t>
      </w:r>
      <w:r>
        <w:rPr>
          <w:spacing w:val="-7"/>
        </w:rPr>
        <w:t>展。</w:t>
      </w:r>
      <w:bookmarkStart w:id="0" w:name="_GoBack"/>
      <w:bookmarkEnd w:id="0"/>
    </w:p>
    <w:p w14:paraId="1A34BB1E">
      <w:pPr>
        <w:spacing w:line="283" w:lineRule="auto"/>
        <w:rPr>
          <w:rFonts w:ascii="Arial"/>
          <w:sz w:val="21"/>
        </w:rPr>
      </w:pPr>
    </w:p>
    <w:p w14:paraId="596D4F03">
      <w:pPr>
        <w:pStyle w:val="2"/>
        <w:spacing w:before="101" w:line="226" w:lineRule="auto"/>
        <w:ind w:left="651"/>
      </w:pPr>
      <w:r>
        <w:rPr>
          <w:spacing w:val="8"/>
        </w:rPr>
        <w:t>（2）负责井研县研经镇中心小学校教育教学管理工作。</w:t>
      </w:r>
    </w:p>
    <w:p w14:paraId="14C51F06">
      <w:pPr>
        <w:spacing w:line="294" w:lineRule="auto"/>
        <w:rPr>
          <w:rFonts w:ascii="Arial"/>
          <w:sz w:val="21"/>
        </w:rPr>
      </w:pPr>
    </w:p>
    <w:p w14:paraId="7B95BAFF">
      <w:pPr>
        <w:pStyle w:val="2"/>
        <w:spacing w:before="101" w:line="299" w:lineRule="auto"/>
        <w:ind w:right="154" w:firstLine="650"/>
      </w:pPr>
      <w:r>
        <w:rPr>
          <w:spacing w:val="9"/>
        </w:rPr>
        <w:t>（3）制定相关教学激励方案，提高教育教学</w:t>
      </w:r>
      <w:r>
        <w:rPr>
          <w:spacing w:val="8"/>
        </w:rPr>
        <w:t>质量，改善学</w:t>
      </w:r>
      <w:r>
        <w:rPr>
          <w:spacing w:val="4"/>
        </w:rPr>
        <w:t>校办学条件。</w:t>
      </w:r>
    </w:p>
    <w:p w14:paraId="5B47636C">
      <w:pPr>
        <w:spacing w:line="287" w:lineRule="auto"/>
        <w:rPr>
          <w:rFonts w:ascii="Arial"/>
          <w:sz w:val="21"/>
        </w:rPr>
      </w:pPr>
    </w:p>
    <w:p w14:paraId="6DE36C90">
      <w:pPr>
        <w:pStyle w:val="2"/>
        <w:spacing w:before="101" w:line="299" w:lineRule="auto"/>
        <w:ind w:right="154" w:firstLine="651"/>
      </w:pPr>
      <w:r>
        <w:rPr>
          <w:spacing w:val="9"/>
        </w:rPr>
        <w:t>（4）保障辖区适龄儿童受教育的权利，对贫</w:t>
      </w:r>
      <w:r>
        <w:rPr>
          <w:spacing w:val="8"/>
        </w:rPr>
        <w:t>困学生做好资</w:t>
      </w:r>
      <w:r>
        <w:rPr>
          <w:spacing w:val="2"/>
        </w:rPr>
        <w:t>助工作。</w:t>
      </w:r>
    </w:p>
    <w:p w14:paraId="4199B710">
      <w:pPr>
        <w:spacing w:line="293" w:lineRule="auto"/>
        <w:rPr>
          <w:rFonts w:ascii="Arial"/>
          <w:sz w:val="21"/>
        </w:rPr>
      </w:pPr>
    </w:p>
    <w:p w14:paraId="45988797">
      <w:pPr>
        <w:pStyle w:val="2"/>
        <w:spacing w:before="101" w:line="226" w:lineRule="auto"/>
        <w:ind w:left="651"/>
      </w:pPr>
      <w:r>
        <w:rPr>
          <w:spacing w:val="7"/>
        </w:rPr>
        <w:t>（5）做好留守儿童的关爱工作。</w:t>
      </w:r>
    </w:p>
    <w:p w14:paraId="06041D1F">
      <w:pPr>
        <w:spacing w:line="290" w:lineRule="auto"/>
        <w:rPr>
          <w:rFonts w:ascii="Arial"/>
          <w:sz w:val="21"/>
        </w:rPr>
      </w:pPr>
    </w:p>
    <w:p w14:paraId="7A5D39D8">
      <w:pPr>
        <w:pStyle w:val="2"/>
        <w:spacing w:before="102" w:line="300" w:lineRule="auto"/>
        <w:ind w:left="9" w:right="154" w:firstLine="641"/>
      </w:pPr>
      <w:r>
        <w:rPr>
          <w:spacing w:val="9"/>
        </w:rPr>
        <w:t>（6）实施小学义务教育，促进基础教育发展</w:t>
      </w:r>
      <w:r>
        <w:rPr>
          <w:spacing w:val="8"/>
        </w:rPr>
        <w:t>，小学学历教</w:t>
      </w:r>
      <w:r>
        <w:rPr>
          <w:spacing w:val="-11"/>
        </w:rPr>
        <w:t>育。</w:t>
      </w:r>
    </w:p>
    <w:p w14:paraId="0083263B">
      <w:pPr>
        <w:spacing w:line="342" w:lineRule="auto"/>
        <w:rPr>
          <w:rFonts w:ascii="Arial"/>
          <w:sz w:val="21"/>
        </w:rPr>
      </w:pPr>
    </w:p>
    <w:p w14:paraId="1E8CC645">
      <w:pPr>
        <w:pStyle w:val="2"/>
        <w:spacing w:before="100" w:line="226" w:lineRule="auto"/>
        <w:ind w:left="677"/>
        <w:outlineLvl w:val="1"/>
      </w:pPr>
      <w:r>
        <w:rPr>
          <w:spacing w:val="4"/>
        </w:rPr>
        <w:t>（二）</w:t>
      </w:r>
      <w:r>
        <w:rPr>
          <w:rFonts w:hint="eastAsia"/>
          <w:spacing w:val="4"/>
          <w:lang w:eastAsia="zh-CN"/>
        </w:rPr>
        <w:t>2026</w:t>
      </w:r>
      <w:r>
        <w:rPr>
          <w:spacing w:val="-43"/>
        </w:rPr>
        <w:t xml:space="preserve"> </w:t>
      </w:r>
      <w:r>
        <w:rPr>
          <w:spacing w:val="4"/>
        </w:rPr>
        <w:t>年重点工作情况：</w:t>
      </w:r>
    </w:p>
    <w:p w14:paraId="52115B99">
      <w:pPr>
        <w:spacing w:line="226" w:lineRule="auto"/>
        <w:sectPr>
          <w:footerReference r:id="rId5" w:type="default"/>
          <w:pgSz w:w="11906" w:h="16839"/>
          <w:pgMar w:top="1431" w:right="1472" w:bottom="1456" w:left="1493" w:header="0" w:footer="1090" w:gutter="0"/>
          <w:cols w:space="720" w:num="1"/>
        </w:sectPr>
      </w:pPr>
    </w:p>
    <w:p w14:paraId="6E485DA4">
      <w:pPr>
        <w:spacing w:line="354" w:lineRule="auto"/>
        <w:rPr>
          <w:rFonts w:ascii="Arial"/>
          <w:sz w:val="21"/>
        </w:rPr>
      </w:pPr>
    </w:p>
    <w:p w14:paraId="6402F208">
      <w:pPr>
        <w:spacing w:line="355" w:lineRule="auto"/>
        <w:rPr>
          <w:rFonts w:ascii="Arial"/>
          <w:sz w:val="21"/>
        </w:rPr>
      </w:pPr>
    </w:p>
    <w:p w14:paraId="4CD8EC25">
      <w:pPr>
        <w:pStyle w:val="2"/>
        <w:spacing w:before="100" w:line="293" w:lineRule="auto"/>
        <w:ind w:left="39" w:right="105" w:firstLine="666"/>
        <w:outlineLvl w:val="1"/>
      </w:pPr>
      <w:r>
        <w:rPr>
          <w:spacing w:val="13"/>
        </w:rPr>
        <w:t>（1）立足干部队伍建设，规范办学行为，学校领导班子认</w:t>
      </w:r>
      <w:r>
        <w:rPr>
          <w:spacing w:val="9"/>
        </w:rPr>
        <w:t>真落实党的精神，积极开展政治学习实践活动</w:t>
      </w:r>
      <w:r>
        <w:rPr>
          <w:spacing w:val="8"/>
        </w:rPr>
        <w:t>，以领导班子和班</w:t>
      </w:r>
    </w:p>
    <w:p w14:paraId="6FBA9692">
      <w:pPr>
        <w:pStyle w:val="2"/>
        <w:spacing w:before="215" w:line="358" w:lineRule="auto"/>
        <w:ind w:right="105" w:firstLine="42"/>
        <w:jc w:val="both"/>
      </w:pPr>
      <w:r>
        <w:rPr>
          <w:spacing w:val="8"/>
        </w:rPr>
        <w:t>子成员转变作风为重点，以为民务实清廉为主要内容，坚决反对</w:t>
      </w:r>
      <w:r>
        <w:rPr>
          <w:spacing w:val="6"/>
        </w:rPr>
        <w:t>“</w:t>
      </w:r>
      <w:r>
        <w:rPr>
          <w:spacing w:val="-85"/>
        </w:rPr>
        <w:t xml:space="preserve"> </w:t>
      </w:r>
      <w:r>
        <w:rPr>
          <w:spacing w:val="6"/>
        </w:rPr>
        <w:t>四风</w:t>
      </w:r>
      <w:r>
        <w:rPr>
          <w:spacing w:val="-110"/>
        </w:rPr>
        <w:t xml:space="preserve"> </w:t>
      </w:r>
      <w:r>
        <w:rPr>
          <w:spacing w:val="6"/>
        </w:rPr>
        <w:t>”，积极创建群众满意的班子和学校。形成了目标一致、</w:t>
      </w:r>
      <w:r>
        <w:rPr>
          <w:spacing w:val="9"/>
        </w:rPr>
        <w:t>团结向上的强有力的领导核心。</w:t>
      </w:r>
    </w:p>
    <w:p w14:paraId="154AA492">
      <w:pPr>
        <w:pStyle w:val="2"/>
        <w:spacing w:before="95" w:line="291" w:lineRule="auto"/>
        <w:ind w:left="37" w:right="102" w:firstLine="667"/>
        <w:outlineLvl w:val="1"/>
      </w:pPr>
      <w:r>
        <w:rPr>
          <w:spacing w:val="6"/>
        </w:rPr>
        <w:t>（2）立足责任意识，打造优秀教师团队</w:t>
      </w:r>
      <w:r>
        <w:rPr>
          <w:spacing w:val="50"/>
        </w:rPr>
        <w:t xml:space="preserve"> </w:t>
      </w:r>
      <w:r>
        <w:rPr>
          <w:spacing w:val="6"/>
        </w:rPr>
        <w:t>，一</w:t>
      </w:r>
      <w:r>
        <w:rPr>
          <w:spacing w:val="5"/>
        </w:rPr>
        <w:t>方面，我们结</w:t>
      </w:r>
      <w:r>
        <w:rPr>
          <w:spacing w:val="9"/>
        </w:rPr>
        <w:t>合学校工作实际，进一步规范教师考勤管理，严</w:t>
      </w:r>
      <w:r>
        <w:rPr>
          <w:spacing w:val="8"/>
        </w:rPr>
        <w:t>格上班纪律，开</w:t>
      </w:r>
    </w:p>
    <w:p w14:paraId="07CE805A">
      <w:pPr>
        <w:pStyle w:val="2"/>
        <w:spacing w:before="218" w:line="358" w:lineRule="auto"/>
        <w:ind w:left="32" w:right="102" w:hanging="2"/>
        <w:jc w:val="both"/>
      </w:pPr>
      <w:r>
        <w:rPr>
          <w:spacing w:val="9"/>
        </w:rPr>
        <w:t>展师德师风和廉洁从教等专项教育活动，提高了教师的思想政治觉悟，增强了教师贯彻落实党的路线、方针、政策的自觉性</w:t>
      </w:r>
      <w:r>
        <w:rPr>
          <w:spacing w:val="8"/>
        </w:rPr>
        <w:t>。另</w:t>
      </w:r>
      <w:r>
        <w:rPr>
          <w:spacing w:val="9"/>
        </w:rPr>
        <w:t>一方面，我们狠抓了教师业务能力的培养和提高，我校教师迅速更新观念，在工作中不断探索、总结教学新思路，为提高教</w:t>
      </w:r>
      <w:r>
        <w:rPr>
          <w:spacing w:val="8"/>
        </w:rPr>
        <w:t>育教</w:t>
      </w:r>
      <w:r>
        <w:rPr>
          <w:spacing w:val="6"/>
        </w:rPr>
        <w:t>学质量奠定了良好基础。</w:t>
      </w:r>
    </w:p>
    <w:p w14:paraId="6A8F4745">
      <w:pPr>
        <w:pStyle w:val="2"/>
        <w:spacing w:before="93" w:line="291" w:lineRule="auto"/>
        <w:ind w:left="30" w:right="105" w:firstLine="675"/>
        <w:outlineLvl w:val="1"/>
      </w:pPr>
      <w:r>
        <w:rPr>
          <w:spacing w:val="8"/>
        </w:rPr>
        <w:t>（3）立足质量兴校，提高教育教学成果 一是加强质量监</w:t>
      </w:r>
      <w:r>
        <w:rPr>
          <w:spacing w:val="9"/>
        </w:rPr>
        <w:t>控，减轻学生负担。建立教学常规专项检查制度，每学期进行两</w:t>
      </w:r>
    </w:p>
    <w:p w14:paraId="4913889D">
      <w:pPr>
        <w:pStyle w:val="2"/>
        <w:spacing w:before="226" w:line="357" w:lineRule="auto"/>
        <w:ind w:left="28"/>
        <w:jc w:val="both"/>
      </w:pPr>
      <w:r>
        <w:rPr>
          <w:spacing w:val="9"/>
        </w:rPr>
        <w:t>次教学常规检查。二是创新备课形式，为教师减负增效。倡导集</w:t>
      </w:r>
      <w:r>
        <w:rPr>
          <w:spacing w:val="2"/>
        </w:rPr>
        <w:t>体备课形式，教师应对下载的教案根据自身实际</w:t>
      </w:r>
      <w:r>
        <w:rPr>
          <w:spacing w:val="1"/>
        </w:rPr>
        <w:t>，对“教学目标、</w:t>
      </w:r>
      <w:r>
        <w:rPr>
          <w:spacing w:val="7"/>
        </w:rPr>
        <w:t>教学重难点、主要过程、重要环节</w:t>
      </w:r>
      <w:r>
        <w:rPr>
          <w:spacing w:val="-96"/>
        </w:rPr>
        <w:t xml:space="preserve"> </w:t>
      </w:r>
      <w:r>
        <w:rPr>
          <w:spacing w:val="7"/>
        </w:rPr>
        <w:t>”进行二次修改，认真撰写教</w:t>
      </w:r>
      <w:r>
        <w:rPr>
          <w:spacing w:val="-4"/>
        </w:rPr>
        <w:t>学反思，并在教本上进行批注。三是继续实行“课堂巡查</w:t>
      </w:r>
      <w:r>
        <w:rPr>
          <w:spacing w:val="-94"/>
        </w:rPr>
        <w:t xml:space="preserve"> </w:t>
      </w:r>
      <w:r>
        <w:rPr>
          <w:spacing w:val="-4"/>
        </w:rPr>
        <w:t>”及“学</w:t>
      </w:r>
      <w:r>
        <w:rPr>
          <w:spacing w:val="8"/>
        </w:rPr>
        <w:t>校行政人员挂钩年段</w:t>
      </w:r>
      <w:r>
        <w:rPr>
          <w:spacing w:val="-113"/>
        </w:rPr>
        <w:t xml:space="preserve"> </w:t>
      </w:r>
      <w:r>
        <w:rPr>
          <w:spacing w:val="8"/>
        </w:rPr>
        <w:t>”制度，挂钩人员坚持</w:t>
      </w:r>
      <w:r>
        <w:rPr>
          <w:spacing w:val="7"/>
        </w:rPr>
        <w:t>到挂钩班级参加教学</w:t>
      </w:r>
      <w:r>
        <w:rPr>
          <w:spacing w:val="9"/>
        </w:rPr>
        <w:t>研讨、活动竞赛、家长会议等，深入了解班级学生信息，定期或不定期开展教学常规、班级管理、安全教育、卫生整治、质量抽</w:t>
      </w:r>
    </w:p>
    <w:p w14:paraId="7FCFAD3D">
      <w:pPr>
        <w:spacing w:line="357" w:lineRule="auto"/>
        <w:sectPr>
          <w:footerReference r:id="rId6" w:type="default"/>
          <w:pgSz w:w="11906" w:h="16839"/>
          <w:pgMar w:top="1431" w:right="1370" w:bottom="1456" w:left="1465" w:header="0" w:footer="1090" w:gutter="0"/>
          <w:cols w:space="720" w:num="1"/>
        </w:sectPr>
      </w:pPr>
    </w:p>
    <w:p w14:paraId="1384FD7F">
      <w:pPr>
        <w:spacing w:line="358" w:lineRule="auto"/>
        <w:rPr>
          <w:rFonts w:ascii="Arial"/>
          <w:sz w:val="21"/>
        </w:rPr>
      </w:pPr>
    </w:p>
    <w:p w14:paraId="2838481E">
      <w:pPr>
        <w:spacing w:line="358" w:lineRule="auto"/>
        <w:rPr>
          <w:rFonts w:ascii="Arial"/>
          <w:sz w:val="21"/>
        </w:rPr>
      </w:pPr>
    </w:p>
    <w:p w14:paraId="6E9A2AD0">
      <w:pPr>
        <w:pStyle w:val="2"/>
        <w:spacing w:before="100" w:line="357" w:lineRule="auto"/>
        <w:ind w:right="225"/>
      </w:pPr>
      <w:r>
        <w:rPr>
          <w:spacing w:val="9"/>
        </w:rPr>
        <w:t>测等巡管活动，及时发现问题与解决问题，实现管理精细化，使</w:t>
      </w:r>
      <w:r>
        <w:rPr>
          <w:spacing w:val="7"/>
        </w:rPr>
        <w:t>教育教学质量在全县排名中能够稳中有升。</w:t>
      </w:r>
      <w:r>
        <w:rPr>
          <w:spacing w:val="71"/>
        </w:rPr>
        <w:t xml:space="preserve"> </w:t>
      </w:r>
      <w:r>
        <w:rPr>
          <w:spacing w:val="6"/>
        </w:rPr>
        <w:t>同时，根据学生特点和学校实际，积极推进“</w:t>
      </w:r>
      <w:r>
        <w:rPr>
          <w:spacing w:val="-111"/>
        </w:rPr>
        <w:t xml:space="preserve"> </w:t>
      </w:r>
      <w:r>
        <w:rPr>
          <w:spacing w:val="6"/>
        </w:rPr>
        <w:t>阳光体育</w:t>
      </w:r>
      <w:r>
        <w:rPr>
          <w:spacing w:val="-112"/>
        </w:rPr>
        <w:t xml:space="preserve"> </w:t>
      </w:r>
      <w:r>
        <w:rPr>
          <w:spacing w:val="6"/>
        </w:rPr>
        <w:t>”运动，坚持每期一次综合</w:t>
      </w:r>
      <w:r>
        <w:rPr>
          <w:spacing w:val="9"/>
        </w:rPr>
        <w:t>性运动会和每年一次大型艺术活动，认真落实《国家学生体质健康标准》测试和上报要求。结合乡村学校少年宫项目建设，充分</w:t>
      </w:r>
      <w:r>
        <w:rPr>
          <w:spacing w:val="1"/>
        </w:rPr>
        <w:t>发挥各种专用教室的辅助教学功能，利用每周二、四下午放学后，</w:t>
      </w:r>
      <w:r>
        <w:rPr>
          <w:spacing w:val="7"/>
        </w:rPr>
        <w:t>开设文学、书法、绘画、合唱、舞蹈、</w:t>
      </w:r>
      <w:r>
        <w:rPr>
          <w:spacing w:val="-93"/>
        </w:rPr>
        <w:t xml:space="preserve"> </w:t>
      </w:r>
      <w:r>
        <w:rPr>
          <w:spacing w:val="7"/>
        </w:rPr>
        <w:t>电子琴、武术、球</w:t>
      </w:r>
      <w:r>
        <w:rPr>
          <w:spacing w:val="6"/>
        </w:rPr>
        <w:t>类、棋</w:t>
      </w:r>
      <w:r>
        <w:rPr>
          <w:spacing w:val="9"/>
        </w:rPr>
        <w:t>类、科技等兴趣特长活动小组，形成学校特色，丰富了学生业余</w:t>
      </w:r>
      <w:r>
        <w:rPr>
          <w:spacing w:val="8"/>
        </w:rPr>
        <w:t>活动，促进了学生素质能力的全面发展。</w:t>
      </w:r>
    </w:p>
    <w:p w14:paraId="25E1B475">
      <w:pPr>
        <w:pStyle w:val="2"/>
        <w:spacing w:before="94" w:line="292" w:lineRule="auto"/>
        <w:ind w:left="19" w:firstLine="657"/>
        <w:outlineLvl w:val="1"/>
      </w:pPr>
      <w:r>
        <w:rPr>
          <w:spacing w:val="3"/>
        </w:rPr>
        <w:t>（4）立足环境建设，创建优美和谐校园</w:t>
      </w:r>
      <w:r>
        <w:rPr>
          <w:spacing w:val="80"/>
        </w:rPr>
        <w:t xml:space="preserve"> </w:t>
      </w:r>
      <w:r>
        <w:rPr>
          <w:spacing w:val="3"/>
        </w:rPr>
        <w:t>以打造“人文和美</w:t>
      </w:r>
      <w:r>
        <w:rPr>
          <w:spacing w:val="-113"/>
        </w:rPr>
        <w:t xml:space="preserve"> </w:t>
      </w:r>
      <w:r>
        <w:rPr>
          <w:spacing w:val="3"/>
        </w:rPr>
        <w:t>”</w:t>
      </w:r>
      <w:r>
        <w:rPr>
          <w:spacing w:val="8"/>
        </w:rPr>
        <w:t>的优雅校园为主题，积极优化办学环境，凝聚家校合力，共创行</w:t>
      </w:r>
    </w:p>
    <w:p w14:paraId="58A02D08">
      <w:pPr>
        <w:pStyle w:val="2"/>
        <w:spacing w:before="221" w:line="357" w:lineRule="auto"/>
        <w:ind w:right="210"/>
      </w:pPr>
      <w:r>
        <w:rPr>
          <w:spacing w:val="2"/>
        </w:rPr>
        <w:t>业新风，努力构建“环境优美、智慧整合、成</w:t>
      </w:r>
      <w:r>
        <w:rPr>
          <w:spacing w:val="1"/>
        </w:rPr>
        <w:t>果共享、自律清廉、权力透明</w:t>
      </w:r>
      <w:r>
        <w:rPr>
          <w:spacing w:val="-105"/>
        </w:rPr>
        <w:t xml:space="preserve"> </w:t>
      </w:r>
      <w:r>
        <w:rPr>
          <w:spacing w:val="1"/>
        </w:rPr>
        <w:t>”的学校。</w:t>
      </w:r>
    </w:p>
    <w:p w14:paraId="56825551">
      <w:pPr>
        <w:pStyle w:val="2"/>
        <w:spacing w:before="94" w:line="291" w:lineRule="auto"/>
        <w:ind w:left="13" w:right="315" w:firstLine="664"/>
        <w:outlineLvl w:val="1"/>
      </w:pPr>
      <w:r>
        <w:rPr>
          <w:spacing w:val="8"/>
        </w:rPr>
        <w:t>（5）立足平安校园，培养学生安全意识 1、树立安全防范意识。按照教育部颁发的《中小学校岗位安全工作指南》等有关</w:t>
      </w:r>
    </w:p>
    <w:p w14:paraId="1BDFC955">
      <w:pPr>
        <w:pStyle w:val="2"/>
        <w:spacing w:before="223" w:line="357" w:lineRule="auto"/>
        <w:ind w:left="2" w:right="225" w:hanging="2"/>
      </w:pPr>
      <w:r>
        <w:rPr>
          <w:spacing w:val="7"/>
        </w:rPr>
        <w:t>规定要求，以“</w:t>
      </w:r>
      <w:r>
        <w:rPr>
          <w:spacing w:val="-96"/>
        </w:rPr>
        <w:t xml:space="preserve"> </w:t>
      </w:r>
      <w:r>
        <w:rPr>
          <w:spacing w:val="7"/>
        </w:rPr>
        <w:t>防流感、防溺水、防中毒、防踩踏、防侵扰、防交通事故、防学生冲突、防偶发事件</w:t>
      </w:r>
      <w:r>
        <w:rPr>
          <w:spacing w:val="-98"/>
        </w:rPr>
        <w:t xml:space="preserve"> </w:t>
      </w:r>
      <w:r>
        <w:rPr>
          <w:spacing w:val="7"/>
        </w:rPr>
        <w:t>”等为重点，强化安全“红</w:t>
      </w:r>
      <w:r>
        <w:rPr>
          <w:spacing w:val="9"/>
        </w:rPr>
        <w:t>线</w:t>
      </w:r>
      <w:r>
        <w:rPr>
          <w:spacing w:val="-113"/>
        </w:rPr>
        <w:t xml:space="preserve"> </w:t>
      </w:r>
      <w:r>
        <w:rPr>
          <w:spacing w:val="9"/>
        </w:rPr>
        <w:t>”意识，警钟长鸣，经常演练，切实加强学校安全能力</w:t>
      </w:r>
      <w:r>
        <w:rPr>
          <w:spacing w:val="8"/>
        </w:rPr>
        <w:t>建设、</w:t>
      </w:r>
      <w:r>
        <w:t>安全责任分解、安全隐患排查和人防、物防</w:t>
      </w:r>
      <w:r>
        <w:rPr>
          <w:spacing w:val="-1"/>
        </w:rPr>
        <w:t>、技防“三防</w:t>
      </w:r>
      <w:r>
        <w:rPr>
          <w:spacing w:val="-112"/>
        </w:rPr>
        <w:t xml:space="preserve"> </w:t>
      </w:r>
      <w:r>
        <w:rPr>
          <w:spacing w:val="-1"/>
        </w:rPr>
        <w:t>”建设，</w:t>
      </w:r>
      <w:r>
        <w:rPr>
          <w:spacing w:val="8"/>
        </w:rPr>
        <w:t>扎实推进“平安校园</w:t>
      </w:r>
      <w:r>
        <w:rPr>
          <w:spacing w:val="-96"/>
        </w:rPr>
        <w:t xml:space="preserve"> </w:t>
      </w:r>
      <w:r>
        <w:rPr>
          <w:spacing w:val="8"/>
        </w:rPr>
        <w:t>”创建工作。 2、扎实开展安全教育活动。</w:t>
      </w:r>
      <w:r>
        <w:rPr>
          <w:spacing w:val="9"/>
        </w:rPr>
        <w:t>充分发挥法治副校长、班主任队伍作用，深化警校共建、家校共</w:t>
      </w:r>
    </w:p>
    <w:p w14:paraId="7D5825CC">
      <w:pPr>
        <w:spacing w:line="357" w:lineRule="auto"/>
        <w:sectPr>
          <w:footerReference r:id="rId7" w:type="default"/>
          <w:pgSz w:w="11906" w:h="16839"/>
          <w:pgMar w:top="1431" w:right="1160" w:bottom="1456" w:left="1493" w:header="0" w:footer="1092" w:gutter="0"/>
          <w:cols w:space="720" w:num="1"/>
        </w:sectPr>
      </w:pPr>
    </w:p>
    <w:p w14:paraId="5BF1CC5F">
      <w:pPr>
        <w:spacing w:line="357" w:lineRule="auto"/>
        <w:rPr>
          <w:rFonts w:ascii="Arial"/>
          <w:sz w:val="21"/>
        </w:rPr>
      </w:pPr>
    </w:p>
    <w:p w14:paraId="21BF03D2">
      <w:pPr>
        <w:spacing w:line="358" w:lineRule="auto"/>
        <w:rPr>
          <w:rFonts w:ascii="Arial"/>
          <w:sz w:val="21"/>
        </w:rPr>
      </w:pPr>
    </w:p>
    <w:p w14:paraId="55A0F164">
      <w:pPr>
        <w:pStyle w:val="2"/>
        <w:spacing w:before="101" w:line="357" w:lineRule="auto"/>
        <w:ind w:left="11"/>
      </w:pPr>
      <w:r>
        <w:rPr>
          <w:spacing w:val="5"/>
        </w:rPr>
        <w:t>建活动，通过与学生、家长签订《安全责任书》；与公安</w:t>
      </w:r>
      <w:r>
        <w:rPr>
          <w:spacing w:val="4"/>
        </w:rPr>
        <w:t>、综治、</w:t>
      </w:r>
      <w:r>
        <w:rPr>
          <w:spacing w:val="9"/>
        </w:rPr>
        <w:t>卫生、家长、群众联手协防，时常提醒乘车安全，及时排查安全</w:t>
      </w:r>
      <w:r>
        <w:rPr>
          <w:spacing w:val="1"/>
        </w:rPr>
        <w:t xml:space="preserve"> </w:t>
      </w:r>
      <w:r>
        <w:rPr>
          <w:spacing w:val="9"/>
        </w:rPr>
        <w:t>隐患等具体工作，扎实推进学校的安全教育工作。学校结合全国</w:t>
      </w:r>
      <w:r>
        <w:rPr>
          <w:spacing w:val="1"/>
        </w:rPr>
        <w:t xml:space="preserve"> </w:t>
      </w:r>
      <w:r>
        <w:rPr>
          <w:spacing w:val="-12"/>
        </w:rPr>
        <w:t>中小学生安全教育</w:t>
      </w:r>
      <w:r>
        <w:rPr>
          <w:spacing w:val="-52"/>
        </w:rPr>
        <w:t xml:space="preserve"> </w:t>
      </w:r>
      <w:r>
        <w:rPr>
          <w:spacing w:val="-12"/>
        </w:rPr>
        <w:t>日、“5.12</w:t>
      </w:r>
      <w:r>
        <w:rPr>
          <w:spacing w:val="-114"/>
        </w:rPr>
        <w:t xml:space="preserve"> </w:t>
      </w:r>
      <w:r>
        <w:rPr>
          <w:spacing w:val="-12"/>
        </w:rPr>
        <w:t>”纪念</w:t>
      </w:r>
      <w:r>
        <w:rPr>
          <w:spacing w:val="-64"/>
        </w:rPr>
        <w:t xml:space="preserve"> </w:t>
      </w:r>
      <w:r>
        <w:rPr>
          <w:spacing w:val="-12"/>
        </w:rPr>
        <w:t>日、“开校第一课</w:t>
      </w:r>
      <w:r>
        <w:rPr>
          <w:spacing w:val="-110"/>
        </w:rPr>
        <w:t xml:space="preserve"> </w:t>
      </w:r>
      <w:r>
        <w:rPr>
          <w:spacing w:val="-12"/>
        </w:rPr>
        <w:t>”、“</w:t>
      </w:r>
      <w:r>
        <w:rPr>
          <w:spacing w:val="-120"/>
        </w:rPr>
        <w:t xml:space="preserve"> </w:t>
      </w:r>
      <w:r>
        <w:rPr>
          <w:spacing w:val="-12"/>
        </w:rPr>
        <w:t>11.9</w:t>
      </w:r>
      <w:r>
        <w:rPr>
          <w:spacing w:val="-111"/>
        </w:rPr>
        <w:t xml:space="preserve"> </w:t>
      </w:r>
      <w:r>
        <w:rPr>
          <w:spacing w:val="-12"/>
        </w:rPr>
        <w:t>”</w:t>
      </w:r>
      <w:r>
        <w:rPr>
          <w:spacing w:val="-2"/>
        </w:rPr>
        <w:t>等特殊日子开展防灾减灾宣传、应急疏散演练活动，深入开展“平</w:t>
      </w:r>
      <w:r>
        <w:rPr>
          <w:spacing w:val="1"/>
        </w:rPr>
        <w:t xml:space="preserve"> </w:t>
      </w:r>
      <w:r>
        <w:rPr>
          <w:spacing w:val="3"/>
        </w:rPr>
        <w:t>安回家</w:t>
      </w:r>
      <w:r>
        <w:rPr>
          <w:spacing w:val="-112"/>
        </w:rPr>
        <w:t xml:space="preserve"> </w:t>
      </w:r>
      <w:r>
        <w:rPr>
          <w:spacing w:val="3"/>
        </w:rPr>
        <w:t>”、“文明乘车</w:t>
      </w:r>
      <w:r>
        <w:rPr>
          <w:spacing w:val="-112"/>
        </w:rPr>
        <w:t xml:space="preserve"> </w:t>
      </w:r>
      <w:r>
        <w:rPr>
          <w:spacing w:val="3"/>
        </w:rPr>
        <w:t>”、“平安过日</w:t>
      </w:r>
      <w:r>
        <w:rPr>
          <w:spacing w:val="-113"/>
        </w:rPr>
        <w:t xml:space="preserve"> </w:t>
      </w:r>
      <w:r>
        <w:rPr>
          <w:spacing w:val="3"/>
        </w:rPr>
        <w:t>”、“安全度假</w:t>
      </w:r>
      <w:r>
        <w:rPr>
          <w:spacing w:val="-112"/>
        </w:rPr>
        <w:t xml:space="preserve"> </w:t>
      </w:r>
      <w:r>
        <w:rPr>
          <w:spacing w:val="3"/>
        </w:rPr>
        <w:t>”等主题</w:t>
      </w:r>
      <w:r>
        <w:t xml:space="preserve"> </w:t>
      </w:r>
      <w:r>
        <w:rPr>
          <w:spacing w:val="3"/>
        </w:rPr>
        <w:t>教育实践活动，不断提高学生自主安全教育、</w:t>
      </w:r>
      <w:r>
        <w:rPr>
          <w:spacing w:val="-68"/>
        </w:rPr>
        <w:t xml:space="preserve"> </w:t>
      </w:r>
      <w:r>
        <w:rPr>
          <w:spacing w:val="3"/>
        </w:rPr>
        <w:t>自主安全管</w:t>
      </w:r>
      <w:r>
        <w:rPr>
          <w:spacing w:val="2"/>
        </w:rPr>
        <w:t>理、</w:t>
      </w:r>
      <w:r>
        <w:rPr>
          <w:spacing w:val="-68"/>
        </w:rPr>
        <w:t xml:space="preserve"> </w:t>
      </w:r>
      <w:r>
        <w:rPr>
          <w:spacing w:val="2"/>
        </w:rPr>
        <w:t>自</w:t>
      </w:r>
      <w:r>
        <w:rPr>
          <w:spacing w:val="8"/>
        </w:rPr>
        <w:t>主安全反醒等能力。全年无安全责任事故发生。</w:t>
      </w:r>
    </w:p>
    <w:p w14:paraId="440F7B5A">
      <w:pPr>
        <w:pStyle w:val="2"/>
        <w:spacing w:before="96" w:line="292" w:lineRule="auto"/>
        <w:ind w:left="12" w:right="313" w:firstLine="676"/>
        <w:outlineLvl w:val="1"/>
      </w:pPr>
      <w:r>
        <w:rPr>
          <w:spacing w:val="7"/>
        </w:rPr>
        <w:t>（6）立足党风廉政建设，加强后勤财务管理 一是根据党风</w:t>
      </w:r>
      <w:r>
        <w:rPr>
          <w:spacing w:val="9"/>
        </w:rPr>
        <w:t>廉政建设责任制实施意见，深入开展岗位廉政教育、党风党纪法</w:t>
      </w:r>
    </w:p>
    <w:p w14:paraId="6EB8E947">
      <w:pPr>
        <w:pStyle w:val="2"/>
        <w:spacing w:before="225" w:line="357" w:lineRule="auto"/>
        <w:ind w:left="11" w:right="210"/>
      </w:pPr>
      <w:r>
        <w:rPr>
          <w:spacing w:val="2"/>
        </w:rPr>
        <w:t>规教育，严格财经纪律，规范收费行为。严格执</w:t>
      </w:r>
      <w:r>
        <w:rPr>
          <w:spacing w:val="1"/>
        </w:rPr>
        <w:t>行政府采购制度、</w:t>
      </w:r>
      <w:r>
        <w:rPr>
          <w:spacing w:val="7"/>
        </w:rPr>
        <w:t>财务审计和监督制度，严格执行接待费“三单</w:t>
      </w:r>
      <w:r>
        <w:rPr>
          <w:spacing w:val="-97"/>
        </w:rPr>
        <w:t xml:space="preserve"> </w:t>
      </w:r>
      <w:r>
        <w:rPr>
          <w:spacing w:val="7"/>
        </w:rPr>
        <w:t>”报帐制度。各项</w:t>
      </w:r>
      <w:r>
        <w:rPr>
          <w:spacing w:val="10"/>
        </w:rPr>
        <w:t>经费支出合理，审批程序完整。厉行勤俭节约，杜绝公款吃喝，工会充分征求意见，在政策范围内自主安排工会专项活动经费，</w:t>
      </w:r>
      <w:r>
        <w:rPr>
          <w:spacing w:val="9"/>
        </w:rPr>
        <w:t>为教育教学改革创造有力条件。 二是积极推进校务公开，推行民主管理，实行民主理财。充分发挥党支部、工会群团组织的监督和桥梁作用，合理使用学校公用经费和各种专项资金，将有限的办公经费打紧开支。 三是进一步规范食堂管理，发挥食</w:t>
      </w:r>
      <w:r>
        <w:rPr>
          <w:spacing w:val="8"/>
        </w:rPr>
        <w:t>堂管</w:t>
      </w:r>
      <w:r>
        <w:rPr>
          <w:spacing w:val="9"/>
        </w:rPr>
        <w:t>理领导小组和膳食委员会的职能作用，努力提高服务质量。分管</w:t>
      </w:r>
      <w:r>
        <w:rPr>
          <w:spacing w:val="10"/>
        </w:rPr>
        <w:t>校长、总务主任、伙食团长、教师代表认真履行各自岗位责任，</w:t>
      </w:r>
      <w:r>
        <w:rPr>
          <w:spacing w:val="1"/>
        </w:rPr>
        <w:t>严格遵守二人采购、定点采购、规范建帐、成本经营等相关制度，</w:t>
      </w:r>
    </w:p>
    <w:p w14:paraId="3F30DC3A">
      <w:pPr>
        <w:spacing w:line="357" w:lineRule="auto"/>
        <w:sectPr>
          <w:footerReference r:id="rId8" w:type="default"/>
          <w:pgSz w:w="11906" w:h="16839"/>
          <w:pgMar w:top="1431" w:right="1160" w:bottom="1456" w:left="1482" w:header="0" w:footer="1090" w:gutter="0"/>
          <w:cols w:space="720" w:num="1"/>
        </w:sectPr>
      </w:pPr>
    </w:p>
    <w:p w14:paraId="6606837E">
      <w:pPr>
        <w:spacing w:line="355" w:lineRule="auto"/>
        <w:rPr>
          <w:rFonts w:ascii="Arial"/>
          <w:sz w:val="21"/>
        </w:rPr>
      </w:pPr>
    </w:p>
    <w:p w14:paraId="2676474F">
      <w:pPr>
        <w:spacing w:line="356" w:lineRule="auto"/>
        <w:rPr>
          <w:rFonts w:ascii="Arial"/>
          <w:sz w:val="21"/>
        </w:rPr>
      </w:pPr>
    </w:p>
    <w:p w14:paraId="64230BD0">
      <w:pPr>
        <w:pStyle w:val="2"/>
        <w:spacing w:before="101" w:line="357" w:lineRule="auto"/>
        <w:ind w:left="53" w:right="71" w:hanging="37"/>
      </w:pPr>
      <w:r>
        <w:rPr>
          <w:spacing w:val="9"/>
        </w:rPr>
        <w:t>严格按照市、县教育主管部门规定要求规范办好学校食堂，做到</w:t>
      </w:r>
      <w:r>
        <w:rPr>
          <w:spacing w:val="5"/>
        </w:rPr>
        <w:t>了师生满意、家长满意、社会满意。</w:t>
      </w:r>
    </w:p>
    <w:p w14:paraId="387419C5">
      <w:pPr>
        <w:spacing w:line="226" w:lineRule="auto"/>
        <w:ind w:left="648"/>
        <w:outlineLvl w:val="0"/>
        <w:rPr>
          <w:rFonts w:ascii="黑体" w:hAnsi="黑体" w:eastAsia="黑体" w:cs="黑体"/>
          <w:sz w:val="31"/>
          <w:szCs w:val="31"/>
        </w:rPr>
      </w:pPr>
      <w:r>
        <w:rPr>
          <w:rFonts w:ascii="黑体" w:hAnsi="黑体" w:eastAsia="黑体" w:cs="黑体"/>
          <w:spacing w:val="6"/>
          <w:sz w:val="31"/>
          <w:szCs w:val="31"/>
        </w:rPr>
        <w:t>二、部门概况</w:t>
      </w:r>
    </w:p>
    <w:p w14:paraId="1880C3CE">
      <w:pPr>
        <w:pStyle w:val="2"/>
        <w:spacing w:before="167" w:line="371" w:lineRule="auto"/>
        <w:ind w:left="14" w:right="71" w:firstLine="643"/>
        <w:jc w:val="both"/>
      </w:pPr>
      <w:r>
        <w:rPr>
          <w:spacing w:val="9"/>
        </w:rPr>
        <w:t>井研县研经镇中心小学校是全额拨款的一级预算</w:t>
      </w:r>
      <w:r>
        <w:rPr>
          <w:spacing w:val="8"/>
        </w:rPr>
        <w:t>单位，独立</w:t>
      </w:r>
      <w:r>
        <w:rPr>
          <w:spacing w:val="2"/>
        </w:rPr>
        <w:t>编制机构数</w:t>
      </w:r>
      <w:r>
        <w:rPr>
          <w:spacing w:val="-37"/>
        </w:rPr>
        <w:t xml:space="preserve"> </w:t>
      </w:r>
      <w:r>
        <w:rPr>
          <w:spacing w:val="2"/>
        </w:rPr>
        <w:t>1</w:t>
      </w:r>
      <w:r>
        <w:rPr>
          <w:spacing w:val="-52"/>
        </w:rPr>
        <w:t xml:space="preserve"> </w:t>
      </w:r>
      <w:r>
        <w:rPr>
          <w:spacing w:val="2"/>
        </w:rPr>
        <w:t>个，独立核算机构数</w:t>
      </w:r>
      <w:r>
        <w:rPr>
          <w:spacing w:val="-39"/>
        </w:rPr>
        <w:t xml:space="preserve"> </w:t>
      </w:r>
      <w:r>
        <w:rPr>
          <w:spacing w:val="2"/>
        </w:rPr>
        <w:t>1</w:t>
      </w:r>
      <w:r>
        <w:rPr>
          <w:spacing w:val="-52"/>
        </w:rPr>
        <w:t xml:space="preserve"> </w:t>
      </w:r>
      <w:r>
        <w:rPr>
          <w:spacing w:val="2"/>
        </w:rPr>
        <w:t>个，</w:t>
      </w:r>
      <w:r>
        <w:rPr>
          <w:spacing w:val="-88"/>
        </w:rPr>
        <w:t xml:space="preserve"> </w:t>
      </w:r>
      <w:r>
        <w:rPr>
          <w:spacing w:val="2"/>
        </w:rPr>
        <w:t>内设教导处、总务处两</w:t>
      </w:r>
      <w:r>
        <w:rPr>
          <w:spacing w:val="12"/>
        </w:rPr>
        <w:t>个机构。核定编制人数22</w:t>
      </w:r>
      <w:r>
        <w:rPr>
          <w:spacing w:val="-48"/>
        </w:rPr>
        <w:t xml:space="preserve"> </w:t>
      </w:r>
      <w:r>
        <w:rPr>
          <w:spacing w:val="12"/>
        </w:rPr>
        <w:t>人，实际在岗在编人数25</w:t>
      </w:r>
      <w:r>
        <w:rPr>
          <w:spacing w:val="-48"/>
        </w:rPr>
        <w:t xml:space="preserve"> </w:t>
      </w:r>
      <w:r>
        <w:rPr>
          <w:spacing w:val="12"/>
        </w:rPr>
        <w:t>人。</w:t>
      </w:r>
    </w:p>
    <w:p w14:paraId="5000F447">
      <w:pPr>
        <w:spacing w:before="55" w:line="227" w:lineRule="auto"/>
        <w:ind w:left="649"/>
        <w:outlineLvl w:val="0"/>
        <w:rPr>
          <w:rFonts w:ascii="黑体" w:hAnsi="黑体" w:eastAsia="黑体" w:cs="黑体"/>
          <w:sz w:val="31"/>
          <w:szCs w:val="31"/>
        </w:rPr>
      </w:pPr>
      <w:r>
        <w:rPr>
          <w:rFonts w:ascii="黑体" w:hAnsi="黑体" w:eastAsia="黑体" w:cs="黑体"/>
          <w:spacing w:val="7"/>
          <w:sz w:val="31"/>
          <w:szCs w:val="31"/>
        </w:rPr>
        <w:t>三、收支预算总体情况</w:t>
      </w:r>
    </w:p>
    <w:p w14:paraId="5D9B2B9B">
      <w:pPr>
        <w:pStyle w:val="2"/>
        <w:spacing w:before="221" w:line="357" w:lineRule="auto"/>
        <w:ind w:left="17" w:firstLine="629"/>
        <w:jc w:val="both"/>
      </w:pPr>
      <w:r>
        <w:rPr>
          <w:spacing w:val="9"/>
        </w:rPr>
        <w:t>按照综合预算的原则，研经小学所有收入和支出均纳入部门</w:t>
      </w:r>
      <w:r>
        <w:t>预算管理。</w:t>
      </w:r>
      <w:r>
        <w:rPr>
          <w:rFonts w:hint="eastAsia"/>
          <w:lang w:eastAsia="zh-CN"/>
        </w:rPr>
        <w:t>2026</w:t>
      </w:r>
      <w:r>
        <w:rPr>
          <w:spacing w:val="-47"/>
        </w:rPr>
        <w:t xml:space="preserve"> </w:t>
      </w:r>
      <w:r>
        <w:t>年研经小学收入预算总额为</w:t>
      </w:r>
      <w:r>
        <w:rPr>
          <w:rFonts w:hint="eastAsia"/>
          <w:lang w:val="en-US" w:eastAsia="zh-CN"/>
        </w:rPr>
        <w:t>487.43</w:t>
      </w:r>
      <w:r>
        <w:t>万元。其中：</w:t>
      </w:r>
      <w:r>
        <w:rPr>
          <w:spacing w:val="4"/>
        </w:rPr>
        <w:t>当年财政拨款收入</w:t>
      </w:r>
      <w:r>
        <w:rPr>
          <w:spacing w:val="-42"/>
        </w:rPr>
        <w:t xml:space="preserve"> </w:t>
      </w:r>
      <w:r>
        <w:rPr>
          <w:rFonts w:hint="eastAsia"/>
          <w:spacing w:val="4"/>
          <w:lang w:val="en-US" w:eastAsia="zh-CN"/>
        </w:rPr>
        <w:t>456.03</w:t>
      </w:r>
      <w:r>
        <w:rPr>
          <w:spacing w:val="4"/>
        </w:rPr>
        <w:t>万元，其他收入</w:t>
      </w:r>
      <w:r>
        <w:rPr>
          <w:rFonts w:hint="eastAsia"/>
          <w:spacing w:val="4"/>
          <w:lang w:val="en-US" w:eastAsia="zh-CN"/>
        </w:rPr>
        <w:t>22</w:t>
      </w:r>
      <w:r>
        <w:rPr>
          <w:spacing w:val="4"/>
        </w:rPr>
        <w:t>万元。相应安排支</w:t>
      </w:r>
      <w:r>
        <w:rPr>
          <w:spacing w:val="-10"/>
        </w:rPr>
        <w:t>出预算</w:t>
      </w:r>
      <w:r>
        <w:rPr>
          <w:spacing w:val="-64"/>
        </w:rPr>
        <w:t xml:space="preserve"> </w:t>
      </w:r>
      <w:r>
        <w:rPr>
          <w:rFonts w:hint="eastAsia"/>
          <w:spacing w:val="-10"/>
          <w:lang w:val="en-US" w:eastAsia="zh-CN"/>
        </w:rPr>
        <w:t>487.43</w:t>
      </w:r>
      <w:r>
        <w:rPr>
          <w:spacing w:val="-10"/>
        </w:rPr>
        <w:t>万元，其中：基本支出</w:t>
      </w:r>
      <w:r>
        <w:rPr>
          <w:rFonts w:hint="eastAsia"/>
          <w:spacing w:val="-10"/>
          <w:lang w:val="en-US" w:eastAsia="zh-CN"/>
        </w:rPr>
        <w:t>435.06</w:t>
      </w:r>
      <w:r>
        <w:rPr>
          <w:spacing w:val="-10"/>
        </w:rPr>
        <w:t>万元，项目支出</w:t>
      </w:r>
      <w:r>
        <w:rPr>
          <w:spacing w:val="-52"/>
        </w:rPr>
        <w:t xml:space="preserve"> </w:t>
      </w:r>
      <w:r>
        <w:rPr>
          <w:rFonts w:hint="eastAsia"/>
          <w:spacing w:val="-10"/>
          <w:lang w:val="en-US" w:eastAsia="zh-CN"/>
        </w:rPr>
        <w:t>52.36</w:t>
      </w:r>
      <w:r>
        <w:rPr>
          <w:spacing w:val="-3"/>
        </w:rPr>
        <w:t>万元。</w:t>
      </w:r>
    </w:p>
    <w:p w14:paraId="1FC9C6A2">
      <w:pPr>
        <w:spacing w:line="227" w:lineRule="auto"/>
        <w:ind w:left="662"/>
        <w:outlineLvl w:val="0"/>
        <w:rPr>
          <w:rFonts w:ascii="黑体" w:hAnsi="黑体" w:eastAsia="黑体" w:cs="黑体"/>
          <w:sz w:val="31"/>
          <w:szCs w:val="31"/>
        </w:rPr>
      </w:pPr>
      <w:r>
        <w:rPr>
          <w:rFonts w:ascii="黑体" w:hAnsi="黑体" w:eastAsia="黑体" w:cs="黑体"/>
          <w:spacing w:val="7"/>
          <w:sz w:val="31"/>
          <w:szCs w:val="31"/>
        </w:rPr>
        <w:t>四、财政拨款支出预算安排情况</w:t>
      </w:r>
    </w:p>
    <w:p w14:paraId="0D9F332A">
      <w:pPr>
        <w:pStyle w:val="2"/>
        <w:spacing w:before="221" w:line="357" w:lineRule="auto"/>
        <w:ind w:left="20" w:right="69" w:firstLine="617"/>
        <w:jc w:val="both"/>
      </w:pPr>
      <w:r>
        <w:rPr>
          <w:spacing w:val="5"/>
        </w:rPr>
        <w:t>研经小学</w:t>
      </w:r>
      <w:r>
        <w:rPr>
          <w:spacing w:val="-50"/>
        </w:rPr>
        <w:t xml:space="preserve"> </w:t>
      </w:r>
      <w:r>
        <w:rPr>
          <w:rFonts w:hint="eastAsia"/>
          <w:spacing w:val="5"/>
          <w:lang w:eastAsia="zh-CN"/>
        </w:rPr>
        <w:t>2026</w:t>
      </w:r>
      <w:r>
        <w:rPr>
          <w:spacing w:val="-58"/>
        </w:rPr>
        <w:t xml:space="preserve"> </w:t>
      </w:r>
      <w:r>
        <w:rPr>
          <w:spacing w:val="5"/>
        </w:rPr>
        <w:t>年财政拨款收支总预算</w:t>
      </w:r>
      <w:r>
        <w:rPr>
          <w:spacing w:val="-52"/>
        </w:rPr>
        <w:t xml:space="preserve"> </w:t>
      </w:r>
      <w:r>
        <w:rPr>
          <w:rFonts w:hint="eastAsia"/>
          <w:spacing w:val="5"/>
          <w:lang w:val="en-US" w:eastAsia="zh-CN"/>
        </w:rPr>
        <w:t>487.43</w:t>
      </w:r>
      <w:r>
        <w:rPr>
          <w:spacing w:val="-47"/>
        </w:rPr>
        <w:t xml:space="preserve"> </w:t>
      </w:r>
      <w:r>
        <w:rPr>
          <w:spacing w:val="5"/>
        </w:rPr>
        <w:t>万元，主要用</w:t>
      </w:r>
      <w:r>
        <w:rPr>
          <w:spacing w:val="9"/>
        </w:rPr>
        <w:t>于保障该部门机构正常运转、完成日常工作任务以及承担研</w:t>
      </w:r>
      <w:r>
        <w:rPr>
          <w:spacing w:val="8"/>
        </w:rPr>
        <w:t>经小</w:t>
      </w:r>
      <w:r>
        <w:rPr>
          <w:spacing w:val="6"/>
        </w:rPr>
        <w:t>学事业发展相关工作。其中：</w:t>
      </w:r>
    </w:p>
    <w:p w14:paraId="6E08CCD1">
      <w:pPr>
        <w:pStyle w:val="2"/>
        <w:spacing w:before="2" w:line="357" w:lineRule="auto"/>
        <w:ind w:right="71" w:firstLine="640"/>
      </w:pPr>
      <w:r>
        <w:rPr>
          <w:spacing w:val="9"/>
        </w:rPr>
        <w:t>基本支出，是用于保障研经小学正常运转的日常支出，包括</w:t>
      </w:r>
      <w:r>
        <w:rPr>
          <w:spacing w:val="7"/>
        </w:rPr>
        <w:t>基本工资、津贴补贴等人员经费以及办公费、</w:t>
      </w:r>
      <w:r>
        <w:rPr>
          <w:spacing w:val="-83"/>
        </w:rPr>
        <w:t xml:space="preserve"> </w:t>
      </w:r>
      <w:r>
        <w:rPr>
          <w:spacing w:val="7"/>
        </w:rPr>
        <w:t>印刷费、水电费、</w:t>
      </w:r>
      <w:r>
        <w:rPr>
          <w:spacing w:val="8"/>
        </w:rPr>
        <w:t>办公设备购置等日常公用经费。</w:t>
      </w:r>
    </w:p>
    <w:p w14:paraId="584598FA">
      <w:pPr>
        <w:pStyle w:val="2"/>
        <w:spacing w:before="1" w:line="357" w:lineRule="auto"/>
        <w:ind w:left="5" w:right="69" w:firstLine="644"/>
      </w:pPr>
      <w:r>
        <w:rPr>
          <w:spacing w:val="9"/>
        </w:rPr>
        <w:t>项目支出，是用于保障研经小学为完成特定的行政工作任务或事业发展目标，用于专项业务工作的经费支</w:t>
      </w:r>
      <w:r>
        <w:rPr>
          <w:spacing w:val="8"/>
        </w:rPr>
        <w:t>出。</w:t>
      </w:r>
    </w:p>
    <w:p w14:paraId="3C646CB1">
      <w:pPr>
        <w:spacing w:line="357" w:lineRule="auto"/>
        <w:sectPr>
          <w:footerReference r:id="rId9" w:type="default"/>
          <w:pgSz w:w="11906" w:h="16839"/>
          <w:pgMar w:top="1431" w:right="1404" w:bottom="1456" w:left="1480" w:header="0" w:footer="1092" w:gutter="0"/>
          <w:cols w:space="720" w:num="1"/>
        </w:sectPr>
      </w:pPr>
    </w:p>
    <w:p w14:paraId="7CFEEE25">
      <w:pPr>
        <w:spacing w:line="355" w:lineRule="auto"/>
        <w:rPr>
          <w:rFonts w:ascii="Arial"/>
          <w:sz w:val="21"/>
        </w:rPr>
      </w:pPr>
    </w:p>
    <w:p w14:paraId="1D61485A">
      <w:pPr>
        <w:spacing w:line="356" w:lineRule="auto"/>
        <w:rPr>
          <w:rFonts w:ascii="Arial"/>
          <w:sz w:val="21"/>
        </w:rPr>
      </w:pPr>
    </w:p>
    <w:p w14:paraId="2B300DCE">
      <w:pPr>
        <w:spacing w:before="100" w:line="226" w:lineRule="auto"/>
        <w:ind w:left="656"/>
        <w:outlineLvl w:val="0"/>
        <w:rPr>
          <w:rFonts w:ascii="黑体" w:hAnsi="黑体" w:eastAsia="黑体" w:cs="黑体"/>
          <w:sz w:val="31"/>
          <w:szCs w:val="31"/>
        </w:rPr>
      </w:pPr>
      <w:r>
        <w:rPr>
          <w:rFonts w:ascii="黑体" w:hAnsi="黑体" w:eastAsia="黑体" w:cs="黑体"/>
          <w:spacing w:val="8"/>
          <w:sz w:val="31"/>
          <w:szCs w:val="31"/>
        </w:rPr>
        <w:t>五、一般公共预算当年拨款情况说明</w:t>
      </w:r>
    </w:p>
    <w:p w14:paraId="3605A870">
      <w:pPr>
        <w:spacing w:before="219" w:line="231" w:lineRule="auto"/>
        <w:ind w:left="671"/>
        <w:outlineLvl w:val="1"/>
        <w:rPr>
          <w:rFonts w:ascii="楷体" w:hAnsi="楷体" w:eastAsia="楷体" w:cs="楷体"/>
          <w:sz w:val="31"/>
          <w:szCs w:val="31"/>
        </w:rPr>
      </w:pPr>
      <w:r>
        <w:rPr>
          <w:rFonts w:ascii="楷体" w:hAnsi="楷体" w:eastAsia="楷体" w:cs="楷体"/>
          <w:sz w:val="31"/>
          <w:szCs w:val="31"/>
        </w:rPr>
        <w:t>（一）一般公共预算当年拨款规模及变化情</w:t>
      </w:r>
      <w:r>
        <w:rPr>
          <w:rFonts w:ascii="楷体" w:hAnsi="楷体" w:eastAsia="楷体" w:cs="楷体"/>
          <w:spacing w:val="-1"/>
          <w:sz w:val="31"/>
          <w:szCs w:val="31"/>
        </w:rPr>
        <w:t>况。</w:t>
      </w:r>
    </w:p>
    <w:p w14:paraId="4B76FD65">
      <w:pPr>
        <w:pStyle w:val="2"/>
        <w:spacing w:before="213" w:line="357" w:lineRule="auto"/>
        <w:ind w:left="13" w:right="83" w:firstLine="628"/>
      </w:pPr>
      <w:r>
        <w:rPr>
          <w:spacing w:val="5"/>
        </w:rPr>
        <w:t>研经小学</w:t>
      </w:r>
      <w:r>
        <w:rPr>
          <w:spacing w:val="-51"/>
        </w:rPr>
        <w:t xml:space="preserve"> </w:t>
      </w:r>
      <w:r>
        <w:rPr>
          <w:rFonts w:hint="eastAsia"/>
          <w:spacing w:val="5"/>
          <w:lang w:eastAsia="zh-CN"/>
        </w:rPr>
        <w:t>2026</w:t>
      </w:r>
      <w:r>
        <w:rPr>
          <w:spacing w:val="-58"/>
        </w:rPr>
        <w:t xml:space="preserve"> </w:t>
      </w:r>
      <w:r>
        <w:rPr>
          <w:spacing w:val="5"/>
        </w:rPr>
        <w:t>年一般公共预算当年拨款</w:t>
      </w:r>
      <w:r>
        <w:rPr>
          <w:spacing w:val="-52"/>
        </w:rPr>
        <w:t xml:space="preserve"> </w:t>
      </w:r>
      <w:r>
        <w:rPr>
          <w:rFonts w:hint="eastAsia"/>
          <w:spacing w:val="5"/>
          <w:lang w:val="en-US" w:eastAsia="zh-CN"/>
        </w:rPr>
        <w:t>465.43</w:t>
      </w:r>
      <w:r>
        <w:rPr>
          <w:spacing w:val="5"/>
        </w:rPr>
        <w:t>万</w:t>
      </w:r>
      <w:r>
        <w:rPr>
          <w:spacing w:val="4"/>
        </w:rPr>
        <w:t>元，较上</w:t>
      </w:r>
      <w:r>
        <w:rPr>
          <w:spacing w:val="5"/>
        </w:rPr>
        <w:t>年预算数</w:t>
      </w:r>
      <w:r>
        <w:rPr>
          <w:rFonts w:hint="eastAsia"/>
          <w:spacing w:val="5"/>
          <w:lang w:val="en-US" w:eastAsia="zh-CN"/>
        </w:rPr>
        <w:t>增加</w:t>
      </w:r>
      <w:r>
        <w:rPr>
          <w:spacing w:val="-39"/>
        </w:rPr>
        <w:t xml:space="preserve"> </w:t>
      </w:r>
      <w:r>
        <w:rPr>
          <w:rFonts w:hint="eastAsia"/>
          <w:spacing w:val="5"/>
          <w:lang w:val="en-US" w:eastAsia="zh-CN"/>
        </w:rPr>
        <w:t>7.11</w:t>
      </w:r>
      <w:r>
        <w:rPr>
          <w:spacing w:val="-44"/>
        </w:rPr>
        <w:t xml:space="preserve"> </w:t>
      </w:r>
      <w:r>
        <w:rPr>
          <w:spacing w:val="5"/>
        </w:rPr>
        <w:t>万元。主要是因为预算</w:t>
      </w:r>
      <w:r>
        <w:rPr>
          <w:rFonts w:hint="eastAsia"/>
          <w:spacing w:val="5"/>
          <w:lang w:val="en-US" w:eastAsia="zh-CN"/>
        </w:rPr>
        <w:t>增加</w:t>
      </w:r>
      <w:r>
        <w:rPr>
          <w:spacing w:val="5"/>
        </w:rPr>
        <w:t>。</w:t>
      </w:r>
    </w:p>
    <w:p w14:paraId="619FFE50">
      <w:pPr>
        <w:spacing w:before="1" w:line="230" w:lineRule="auto"/>
        <w:ind w:left="671"/>
        <w:outlineLvl w:val="1"/>
        <w:rPr>
          <w:rFonts w:ascii="楷体" w:hAnsi="楷体" w:eastAsia="楷体" w:cs="楷体"/>
          <w:sz w:val="31"/>
          <w:szCs w:val="31"/>
        </w:rPr>
      </w:pPr>
      <w:r>
        <w:rPr>
          <w:rFonts w:ascii="楷体" w:hAnsi="楷体" w:eastAsia="楷体" w:cs="楷体"/>
          <w:spacing w:val="-2"/>
          <w:sz w:val="31"/>
          <w:szCs w:val="31"/>
        </w:rPr>
        <w:t>（二）一般公共预算当年拨款结构情况。</w:t>
      </w:r>
    </w:p>
    <w:p w14:paraId="2DE32CF7">
      <w:pPr>
        <w:pStyle w:val="2"/>
        <w:spacing w:before="214" w:line="357" w:lineRule="auto"/>
        <w:ind w:left="24" w:right="83" w:firstLine="625"/>
        <w:jc w:val="both"/>
      </w:pPr>
      <w:r>
        <w:rPr>
          <w:spacing w:val="9"/>
        </w:rPr>
        <w:t xml:space="preserve">教育支出 </w:t>
      </w:r>
      <w:r>
        <w:rPr>
          <w:rFonts w:hint="eastAsia"/>
          <w:spacing w:val="9"/>
          <w:lang w:val="en-US" w:eastAsia="zh-CN"/>
        </w:rPr>
        <w:t>346.15</w:t>
      </w:r>
      <w:r>
        <w:rPr>
          <w:spacing w:val="9"/>
        </w:rPr>
        <w:t>万元，</w:t>
      </w:r>
      <w:r>
        <w:rPr>
          <w:spacing w:val="-57"/>
        </w:rPr>
        <w:t xml:space="preserve"> </w:t>
      </w:r>
      <w:r>
        <w:rPr>
          <w:spacing w:val="9"/>
        </w:rPr>
        <w:t>占</w:t>
      </w:r>
      <w:r>
        <w:rPr>
          <w:spacing w:val="-24"/>
        </w:rPr>
        <w:t xml:space="preserve"> </w:t>
      </w:r>
      <w:r>
        <w:rPr>
          <w:rFonts w:hint="eastAsia"/>
          <w:spacing w:val="9"/>
          <w:lang w:val="en-US" w:eastAsia="zh-CN"/>
        </w:rPr>
        <w:t>74.37</w:t>
      </w:r>
      <w:r>
        <w:rPr>
          <w:spacing w:val="9"/>
        </w:rPr>
        <w:t>%；</w:t>
      </w:r>
      <w:r>
        <w:rPr>
          <w:spacing w:val="-82"/>
        </w:rPr>
        <w:t xml:space="preserve"> </w:t>
      </w:r>
      <w:r>
        <w:rPr>
          <w:spacing w:val="9"/>
        </w:rPr>
        <w:t>社会保障和就</w:t>
      </w:r>
      <w:r>
        <w:rPr>
          <w:spacing w:val="8"/>
        </w:rPr>
        <w:t>业支出</w:t>
      </w:r>
      <w:r>
        <w:rPr>
          <w:spacing w:val="-1"/>
        </w:rPr>
        <w:t>61.</w:t>
      </w:r>
      <w:r>
        <w:rPr>
          <w:rFonts w:hint="eastAsia"/>
          <w:spacing w:val="-1"/>
          <w:lang w:val="en-US" w:eastAsia="zh-CN"/>
        </w:rPr>
        <w:t>09</w:t>
      </w:r>
      <w:r>
        <w:rPr>
          <w:spacing w:val="-1"/>
        </w:rPr>
        <w:t>万元，</w:t>
      </w:r>
      <w:r>
        <w:rPr>
          <w:spacing w:val="-78"/>
        </w:rPr>
        <w:t xml:space="preserve"> </w:t>
      </w:r>
      <w:r>
        <w:rPr>
          <w:spacing w:val="-1"/>
        </w:rPr>
        <w:t>占</w:t>
      </w:r>
      <w:r>
        <w:rPr>
          <w:spacing w:val="-43"/>
        </w:rPr>
        <w:t xml:space="preserve"> </w:t>
      </w:r>
      <w:r>
        <w:rPr>
          <w:rFonts w:hint="eastAsia"/>
          <w:spacing w:val="-1"/>
          <w:lang w:val="en-US" w:eastAsia="zh-CN"/>
        </w:rPr>
        <w:t>13.13</w:t>
      </w:r>
      <w:r>
        <w:rPr>
          <w:spacing w:val="-1"/>
        </w:rPr>
        <w:t>%；</w:t>
      </w:r>
      <w:r>
        <w:rPr>
          <w:spacing w:val="-85"/>
        </w:rPr>
        <w:t xml:space="preserve"> </w:t>
      </w:r>
      <w:r>
        <w:rPr>
          <w:spacing w:val="-1"/>
        </w:rPr>
        <w:t>医疗卫生与计划生育支出</w:t>
      </w:r>
      <w:r>
        <w:rPr>
          <w:spacing w:val="-48"/>
        </w:rPr>
        <w:t xml:space="preserve"> </w:t>
      </w:r>
      <w:r>
        <w:rPr>
          <w:rFonts w:hint="eastAsia"/>
          <w:spacing w:val="-1"/>
          <w:lang w:val="en-US" w:eastAsia="zh-CN"/>
        </w:rPr>
        <w:t>22.13</w:t>
      </w:r>
      <w:r>
        <w:rPr>
          <w:spacing w:val="-1"/>
        </w:rPr>
        <w:t>万元，占</w:t>
      </w:r>
      <w:r>
        <w:rPr>
          <w:spacing w:val="-50"/>
        </w:rPr>
        <w:t xml:space="preserve"> </w:t>
      </w:r>
      <w:r>
        <w:rPr>
          <w:rFonts w:hint="eastAsia"/>
          <w:spacing w:val="-1"/>
          <w:lang w:val="en-US" w:eastAsia="zh-CN"/>
        </w:rPr>
        <w:t>4.75</w:t>
      </w:r>
      <w:r>
        <w:rPr>
          <w:spacing w:val="-1"/>
        </w:rPr>
        <w:t>%；住房保障支出</w:t>
      </w:r>
      <w:r>
        <w:rPr>
          <w:spacing w:val="-35"/>
        </w:rPr>
        <w:t xml:space="preserve"> </w:t>
      </w:r>
      <w:r>
        <w:rPr>
          <w:rFonts w:hint="eastAsia"/>
          <w:spacing w:val="-1"/>
          <w:lang w:val="en-US" w:eastAsia="zh-CN"/>
        </w:rPr>
        <w:t>36.05</w:t>
      </w:r>
      <w:r>
        <w:rPr>
          <w:spacing w:val="-47"/>
        </w:rPr>
        <w:t xml:space="preserve"> </w:t>
      </w:r>
      <w:r>
        <w:rPr>
          <w:spacing w:val="-1"/>
        </w:rPr>
        <w:t>万元，</w:t>
      </w:r>
      <w:r>
        <w:rPr>
          <w:spacing w:val="-79"/>
        </w:rPr>
        <w:t xml:space="preserve"> </w:t>
      </w:r>
      <w:r>
        <w:rPr>
          <w:spacing w:val="-1"/>
        </w:rPr>
        <w:t>占</w:t>
      </w:r>
      <w:r>
        <w:rPr>
          <w:spacing w:val="-46"/>
        </w:rPr>
        <w:t xml:space="preserve"> </w:t>
      </w:r>
      <w:r>
        <w:rPr>
          <w:rFonts w:hint="eastAsia"/>
          <w:spacing w:val="-1"/>
          <w:lang w:val="en-US" w:eastAsia="zh-CN"/>
        </w:rPr>
        <w:t>7.75</w:t>
      </w:r>
      <w:r>
        <w:rPr>
          <w:spacing w:val="-2"/>
        </w:rPr>
        <w:t>%。</w:t>
      </w:r>
    </w:p>
    <w:p w14:paraId="342AAE73">
      <w:pPr>
        <w:spacing w:before="1" w:line="230" w:lineRule="auto"/>
        <w:ind w:left="671"/>
        <w:outlineLvl w:val="1"/>
        <w:rPr>
          <w:rFonts w:ascii="楷体" w:hAnsi="楷体" w:eastAsia="楷体" w:cs="楷体"/>
          <w:sz w:val="31"/>
          <w:szCs w:val="31"/>
        </w:rPr>
      </w:pPr>
      <w:r>
        <w:rPr>
          <w:rFonts w:ascii="楷体" w:hAnsi="楷体" w:eastAsia="楷体" w:cs="楷体"/>
          <w:spacing w:val="-1"/>
          <w:sz w:val="31"/>
          <w:szCs w:val="31"/>
        </w:rPr>
        <w:t>（三）一般公共预算当年拨款具体使用情况。</w:t>
      </w:r>
    </w:p>
    <w:p w14:paraId="6E828844">
      <w:pPr>
        <w:pStyle w:val="2"/>
        <w:spacing w:before="211" w:line="324" w:lineRule="auto"/>
        <w:ind w:firstLine="670"/>
      </w:pPr>
      <w:r>
        <w:rPr>
          <w:spacing w:val="4"/>
        </w:rPr>
        <w:t>1.</w:t>
      </w:r>
      <w:r>
        <w:rPr>
          <w:spacing w:val="8"/>
        </w:rPr>
        <w:t xml:space="preserve">  </w:t>
      </w:r>
      <w:r>
        <w:rPr>
          <w:spacing w:val="4"/>
        </w:rPr>
        <w:t>教育支出（</w:t>
      </w:r>
      <w:r>
        <w:rPr>
          <w:spacing w:val="-71"/>
        </w:rPr>
        <w:t xml:space="preserve"> </w:t>
      </w:r>
      <w:r>
        <w:rPr>
          <w:spacing w:val="4"/>
        </w:rPr>
        <w:t>类</w:t>
      </w:r>
      <w:r>
        <w:rPr>
          <w:spacing w:val="-59"/>
        </w:rPr>
        <w:t xml:space="preserve"> </w:t>
      </w:r>
      <w:r>
        <w:rPr>
          <w:spacing w:val="4"/>
        </w:rPr>
        <w:t>）普通教育（款）小学教育（</w:t>
      </w:r>
      <w:r>
        <w:rPr>
          <w:spacing w:val="-85"/>
        </w:rPr>
        <w:t xml:space="preserve"> </w:t>
      </w:r>
      <w:r>
        <w:rPr>
          <w:spacing w:val="4"/>
        </w:rPr>
        <w:t>项）:</w:t>
      </w:r>
      <w:r>
        <w:rPr>
          <w:rFonts w:hint="eastAsia"/>
          <w:spacing w:val="4"/>
          <w:lang w:eastAsia="zh-CN"/>
        </w:rPr>
        <w:t>2026</w:t>
      </w:r>
      <w:r>
        <w:rPr>
          <w:spacing w:val="4"/>
        </w:rPr>
        <w:t>年预算数为</w:t>
      </w:r>
      <w:r>
        <w:rPr>
          <w:spacing w:val="-31"/>
        </w:rPr>
        <w:t xml:space="preserve"> </w:t>
      </w:r>
      <w:r>
        <w:rPr>
          <w:rFonts w:hint="eastAsia"/>
          <w:spacing w:val="4"/>
          <w:lang w:val="en-US" w:eastAsia="zh-CN"/>
        </w:rPr>
        <w:t>324.65</w:t>
      </w:r>
      <w:r>
        <w:rPr>
          <w:spacing w:val="4"/>
        </w:rPr>
        <w:t>万元，主要用于：学校正常运转的基本支出，</w:t>
      </w:r>
      <w:r>
        <w:rPr>
          <w:spacing w:val="7"/>
        </w:rPr>
        <w:t>包括基本工资、津贴补贴等人员经费以及办公费、</w:t>
      </w:r>
      <w:r>
        <w:rPr>
          <w:spacing w:val="-78"/>
        </w:rPr>
        <w:t xml:space="preserve"> </w:t>
      </w:r>
      <w:r>
        <w:rPr>
          <w:spacing w:val="7"/>
        </w:rPr>
        <w:t>印刷费、水电</w:t>
      </w:r>
      <w:r>
        <w:rPr>
          <w:spacing w:val="8"/>
        </w:rPr>
        <w:t>费等日常公用经费。</w:t>
      </w:r>
    </w:p>
    <w:p w14:paraId="342B0BD5">
      <w:pPr>
        <w:pStyle w:val="2"/>
        <w:spacing w:before="227" w:line="324" w:lineRule="auto"/>
        <w:ind w:left="4" w:right="83" w:firstLine="658"/>
      </w:pPr>
      <w:r>
        <w:rPr>
          <w:spacing w:val="8"/>
        </w:rPr>
        <w:t>2.</w:t>
      </w:r>
      <w:r>
        <w:rPr>
          <w:spacing w:val="1"/>
        </w:rPr>
        <w:t xml:space="preserve">  </w:t>
      </w:r>
      <w:r>
        <w:rPr>
          <w:spacing w:val="8"/>
        </w:rPr>
        <w:t>教育支出（类）普通教育（款）学前教育（项</w:t>
      </w:r>
      <w:r>
        <w:rPr>
          <w:spacing w:val="1"/>
        </w:rPr>
        <w:t>）：</w:t>
      </w:r>
      <w:r>
        <w:rPr>
          <w:rFonts w:hint="eastAsia"/>
          <w:spacing w:val="8"/>
          <w:lang w:eastAsia="zh-CN"/>
        </w:rPr>
        <w:t>2026</w:t>
      </w:r>
      <w:r>
        <w:rPr>
          <w:spacing w:val="12"/>
        </w:rPr>
        <w:t>年预算数为</w:t>
      </w:r>
      <w:r>
        <w:rPr>
          <w:spacing w:val="-41"/>
        </w:rPr>
        <w:t xml:space="preserve"> </w:t>
      </w:r>
      <w:r>
        <w:rPr>
          <w:rFonts w:hint="eastAsia"/>
          <w:spacing w:val="12"/>
          <w:lang w:val="en-US" w:eastAsia="zh-CN"/>
        </w:rPr>
        <w:t>17.08</w:t>
      </w:r>
      <w:r>
        <w:rPr>
          <w:spacing w:val="12"/>
        </w:rPr>
        <w:t>万元，主要用于：机关事业单位附属幼儿</w:t>
      </w:r>
      <w:r>
        <w:rPr>
          <w:spacing w:val="11"/>
        </w:rPr>
        <w:t>园的</w:t>
      </w:r>
      <w:r>
        <w:rPr>
          <w:spacing w:val="9"/>
        </w:rPr>
        <w:t>基本保教费支出，包括办公费、幼儿食品费、幼儿教师的劳务费</w:t>
      </w:r>
      <w:r>
        <w:rPr>
          <w:spacing w:val="5"/>
        </w:rPr>
        <w:t>等经费。</w:t>
      </w:r>
    </w:p>
    <w:p w14:paraId="1D654855">
      <w:pPr>
        <w:pStyle w:val="2"/>
        <w:spacing w:before="224" w:line="312" w:lineRule="auto"/>
        <w:ind w:left="22" w:right="12" w:firstLine="653"/>
      </w:pPr>
      <w:r>
        <w:rPr>
          <w:spacing w:val="-14"/>
        </w:rPr>
        <w:t>3.  教育支出（类）普通教育（款）农村中小学</w:t>
      </w:r>
      <w:r>
        <w:rPr>
          <w:spacing w:val="-15"/>
        </w:rPr>
        <w:t>教学设施（项</w:t>
      </w:r>
      <w:r>
        <w:rPr>
          <w:spacing w:val="-77"/>
          <w:w w:val="87"/>
        </w:rPr>
        <w:t>）：</w:t>
      </w:r>
      <w:r>
        <w:rPr>
          <w:spacing w:val="5"/>
        </w:rPr>
        <w:t xml:space="preserve"> </w:t>
      </w:r>
      <w:r>
        <w:rPr>
          <w:rFonts w:hint="eastAsia"/>
          <w:spacing w:val="3"/>
          <w:lang w:eastAsia="zh-CN"/>
        </w:rPr>
        <w:t>2026</w:t>
      </w:r>
      <w:r>
        <w:rPr>
          <w:spacing w:val="-56"/>
        </w:rPr>
        <w:t xml:space="preserve"> </w:t>
      </w:r>
      <w:r>
        <w:rPr>
          <w:spacing w:val="3"/>
        </w:rPr>
        <w:t>年预算数为</w:t>
      </w:r>
      <w:r>
        <w:rPr>
          <w:spacing w:val="-50"/>
        </w:rPr>
        <w:t xml:space="preserve"> </w:t>
      </w:r>
      <w:r>
        <w:rPr>
          <w:rFonts w:hint="eastAsia"/>
          <w:spacing w:val="3"/>
          <w:lang w:val="en-US" w:eastAsia="zh-CN"/>
        </w:rPr>
        <w:t>4.42</w:t>
      </w:r>
      <w:r>
        <w:rPr>
          <w:spacing w:val="-47"/>
        </w:rPr>
        <w:t xml:space="preserve"> </w:t>
      </w:r>
      <w:r>
        <w:rPr>
          <w:spacing w:val="3"/>
        </w:rPr>
        <w:t>万元，主要用于：学校校舍及基础教学设施</w:t>
      </w:r>
      <w:r>
        <w:rPr>
          <w:spacing w:val="7"/>
        </w:rPr>
        <w:t>的维修维护以及教学设备的购置。</w:t>
      </w:r>
    </w:p>
    <w:p w14:paraId="2C00CD05">
      <w:pPr>
        <w:pStyle w:val="2"/>
        <w:spacing w:before="229" w:line="289" w:lineRule="auto"/>
        <w:ind w:left="23" w:right="81" w:firstLine="638"/>
      </w:pPr>
      <w:r>
        <w:rPr>
          <w:spacing w:val="8"/>
        </w:rPr>
        <w:t>4.社会保障和就业（类）行政事业单位离退休（款）机关事</w:t>
      </w:r>
      <w:r>
        <w:rPr>
          <w:spacing w:val="3"/>
        </w:rPr>
        <w:t>业单位基本养老保险缴费支出（项</w:t>
      </w:r>
      <w:r>
        <w:rPr>
          <w:spacing w:val="2"/>
        </w:rPr>
        <w:t>）：</w:t>
      </w:r>
      <w:r>
        <w:rPr>
          <w:rFonts w:hint="eastAsia"/>
          <w:spacing w:val="3"/>
          <w:lang w:eastAsia="zh-CN"/>
        </w:rPr>
        <w:t>2026</w:t>
      </w:r>
      <w:r>
        <w:rPr>
          <w:spacing w:val="-59"/>
        </w:rPr>
        <w:t xml:space="preserve"> </w:t>
      </w:r>
      <w:r>
        <w:rPr>
          <w:spacing w:val="3"/>
        </w:rPr>
        <w:t>年预算数为</w:t>
      </w:r>
      <w:r>
        <w:rPr>
          <w:rFonts w:hint="eastAsia"/>
          <w:spacing w:val="-49"/>
          <w:lang w:val="en-US" w:eastAsia="zh-CN"/>
        </w:rPr>
        <w:t>40.73</w:t>
      </w:r>
      <w:r>
        <w:rPr>
          <w:spacing w:val="-47"/>
        </w:rPr>
        <w:t xml:space="preserve"> </w:t>
      </w:r>
      <w:r>
        <w:rPr>
          <w:spacing w:val="3"/>
        </w:rPr>
        <w:t>万</w:t>
      </w:r>
    </w:p>
    <w:p w14:paraId="274825F0">
      <w:pPr>
        <w:spacing w:line="289" w:lineRule="auto"/>
        <w:sectPr>
          <w:footerReference r:id="rId10" w:type="default"/>
          <w:pgSz w:w="11906" w:h="16839"/>
          <w:pgMar w:top="1431" w:right="1391" w:bottom="1456" w:left="1476" w:header="0" w:footer="1092" w:gutter="0"/>
          <w:cols w:space="720" w:num="1"/>
        </w:sectPr>
      </w:pPr>
    </w:p>
    <w:p w14:paraId="22A85444">
      <w:pPr>
        <w:spacing w:line="355" w:lineRule="auto"/>
        <w:rPr>
          <w:rFonts w:ascii="Arial"/>
          <w:sz w:val="21"/>
        </w:rPr>
      </w:pPr>
    </w:p>
    <w:p w14:paraId="2AA26592">
      <w:pPr>
        <w:spacing w:line="356" w:lineRule="auto"/>
        <w:rPr>
          <w:rFonts w:ascii="Arial"/>
          <w:sz w:val="21"/>
        </w:rPr>
      </w:pPr>
    </w:p>
    <w:p w14:paraId="643FBC90">
      <w:pPr>
        <w:pStyle w:val="2"/>
        <w:spacing w:before="101" w:line="221" w:lineRule="auto"/>
        <w:ind w:left="14"/>
      </w:pPr>
      <w:r>
        <w:rPr>
          <w:spacing w:val="8"/>
        </w:rPr>
        <w:t>元，主要用于：单位教师养老保险缴费支出。</w:t>
      </w:r>
    </w:p>
    <w:p w14:paraId="3DFA3BC6">
      <w:pPr>
        <w:pStyle w:val="2"/>
        <w:spacing w:before="226" w:line="324" w:lineRule="auto"/>
        <w:ind w:left="7" w:right="95" w:firstLine="653"/>
      </w:pPr>
      <w:r>
        <w:rPr>
          <w:spacing w:val="8"/>
        </w:rPr>
        <w:t>5.社会保障和就业（类）行政事业单位离退休（款）机关事业单位职业年金缴费支出（项）:</w:t>
      </w:r>
      <w:r>
        <w:rPr>
          <w:rFonts w:hint="eastAsia"/>
          <w:spacing w:val="8"/>
          <w:lang w:eastAsia="zh-CN"/>
        </w:rPr>
        <w:t>2026</w:t>
      </w:r>
      <w:r>
        <w:rPr>
          <w:spacing w:val="-56"/>
        </w:rPr>
        <w:t xml:space="preserve"> </w:t>
      </w:r>
      <w:r>
        <w:rPr>
          <w:spacing w:val="8"/>
        </w:rPr>
        <w:t>年预算数为</w:t>
      </w:r>
      <w:r>
        <w:rPr>
          <w:rFonts w:hint="eastAsia"/>
          <w:spacing w:val="-46"/>
          <w:lang w:val="en-US" w:eastAsia="zh-CN"/>
        </w:rPr>
        <w:t>20.36</w:t>
      </w:r>
      <w:r>
        <w:rPr>
          <w:spacing w:val="7"/>
        </w:rPr>
        <w:t>万元，</w:t>
      </w:r>
      <w:r>
        <w:rPr>
          <w:spacing w:val="9"/>
        </w:rPr>
        <w:t>主要用于：实施养老保险制度后，部门按规定由单位缴纳的职业</w:t>
      </w:r>
      <w:r>
        <w:rPr>
          <w:spacing w:val="4"/>
        </w:rPr>
        <w:t>年金支出。</w:t>
      </w:r>
    </w:p>
    <w:p w14:paraId="37AA5A75">
      <w:pPr>
        <w:pStyle w:val="2"/>
        <w:spacing w:before="225" w:line="312" w:lineRule="auto"/>
        <w:ind w:right="97" w:firstLine="659"/>
      </w:pPr>
      <w:r>
        <w:rPr>
          <w:spacing w:val="8"/>
        </w:rPr>
        <w:t>6.医疗卫生与计划生育（类）行政事业单位医疗（款）事业单位医疗（项）:</w:t>
      </w:r>
      <w:r>
        <w:rPr>
          <w:rFonts w:hint="eastAsia"/>
          <w:spacing w:val="8"/>
          <w:lang w:eastAsia="zh-CN"/>
        </w:rPr>
        <w:t>2026</w:t>
      </w:r>
      <w:r>
        <w:rPr>
          <w:spacing w:val="-56"/>
        </w:rPr>
        <w:t xml:space="preserve"> </w:t>
      </w:r>
      <w:r>
        <w:rPr>
          <w:spacing w:val="8"/>
        </w:rPr>
        <w:t>年预算数为</w:t>
      </w:r>
      <w:r>
        <w:rPr>
          <w:spacing w:val="-38"/>
        </w:rPr>
        <w:t xml:space="preserve"> </w:t>
      </w:r>
      <w:r>
        <w:rPr>
          <w:rFonts w:hint="eastAsia"/>
          <w:spacing w:val="8"/>
          <w:lang w:val="en-US" w:eastAsia="zh-CN"/>
        </w:rPr>
        <w:t>15.65</w:t>
      </w:r>
      <w:r>
        <w:rPr>
          <w:spacing w:val="-43"/>
        </w:rPr>
        <w:t xml:space="preserve"> </w:t>
      </w:r>
      <w:r>
        <w:rPr>
          <w:spacing w:val="8"/>
        </w:rPr>
        <w:t>万元</w:t>
      </w:r>
      <w:r>
        <w:rPr>
          <w:spacing w:val="7"/>
        </w:rPr>
        <w:t>，主要用于：机关</w:t>
      </w:r>
      <w:r>
        <w:rPr>
          <w:spacing w:val="9"/>
        </w:rPr>
        <w:t>及参公管理事业单位基本医疗保险缴费支出。</w:t>
      </w:r>
    </w:p>
    <w:p w14:paraId="637EB872">
      <w:pPr>
        <w:pStyle w:val="2"/>
        <w:spacing w:before="228" w:line="312" w:lineRule="auto"/>
        <w:ind w:left="3" w:right="97" w:firstLine="655"/>
      </w:pPr>
      <w:r>
        <w:rPr>
          <w:spacing w:val="8"/>
        </w:rPr>
        <w:t>7.医疗卫生与计划生育（类）行政事业单位医疗（款）其他行政事业单位医疗支出（项）：</w:t>
      </w:r>
      <w:r>
        <w:rPr>
          <w:rFonts w:hint="eastAsia"/>
          <w:spacing w:val="8"/>
          <w:lang w:eastAsia="zh-CN"/>
        </w:rPr>
        <w:t>2026</w:t>
      </w:r>
      <w:r>
        <w:rPr>
          <w:spacing w:val="-55"/>
        </w:rPr>
        <w:t xml:space="preserve"> </w:t>
      </w:r>
      <w:r>
        <w:rPr>
          <w:spacing w:val="8"/>
        </w:rPr>
        <w:t>年预算数为</w:t>
      </w:r>
      <w:r>
        <w:rPr>
          <w:spacing w:val="-43"/>
        </w:rPr>
        <w:t xml:space="preserve"> </w:t>
      </w:r>
      <w:r>
        <w:rPr>
          <w:spacing w:val="8"/>
        </w:rPr>
        <w:t>6.</w:t>
      </w:r>
      <w:r>
        <w:rPr>
          <w:rFonts w:hint="eastAsia"/>
          <w:spacing w:val="8"/>
          <w:lang w:val="en-US" w:eastAsia="zh-CN"/>
        </w:rPr>
        <w:t>48</w:t>
      </w:r>
      <w:r>
        <w:rPr>
          <w:spacing w:val="-42"/>
        </w:rPr>
        <w:t xml:space="preserve"> </w:t>
      </w:r>
      <w:r>
        <w:rPr>
          <w:spacing w:val="8"/>
        </w:rPr>
        <w:t>万元，主要用于：公务员医疗补助和补充医疗保险的支出。</w:t>
      </w:r>
    </w:p>
    <w:p w14:paraId="697310E2">
      <w:pPr>
        <w:pStyle w:val="2"/>
        <w:spacing w:before="231" w:line="323" w:lineRule="auto"/>
        <w:ind w:left="3" w:right="95" w:firstLine="655"/>
      </w:pPr>
      <w:r>
        <w:rPr>
          <w:spacing w:val="-8"/>
        </w:rPr>
        <w:t>8.住房保障（类）住房改革支出（款）住房公积金（项）:</w:t>
      </w:r>
      <w:r>
        <w:rPr>
          <w:rFonts w:hint="eastAsia"/>
          <w:spacing w:val="-8"/>
          <w:lang w:eastAsia="zh-CN"/>
        </w:rPr>
        <w:t>2026</w:t>
      </w:r>
      <w:r>
        <w:rPr>
          <w:spacing w:val="6"/>
        </w:rPr>
        <w:t>年预算数为</w:t>
      </w:r>
      <w:r>
        <w:rPr>
          <w:spacing w:val="-26"/>
        </w:rPr>
        <w:t xml:space="preserve"> </w:t>
      </w:r>
      <w:r>
        <w:rPr>
          <w:spacing w:val="6"/>
        </w:rPr>
        <w:t>36.</w:t>
      </w:r>
      <w:r>
        <w:rPr>
          <w:rFonts w:hint="eastAsia"/>
          <w:spacing w:val="6"/>
          <w:lang w:val="en-US" w:eastAsia="zh-CN"/>
        </w:rPr>
        <w:t>05</w:t>
      </w:r>
      <w:r>
        <w:rPr>
          <w:spacing w:val="-44"/>
        </w:rPr>
        <w:t xml:space="preserve"> </w:t>
      </w:r>
      <w:r>
        <w:rPr>
          <w:spacing w:val="6"/>
        </w:rPr>
        <w:t>万元，主要用于：部门按人力资源和社会保障</w:t>
      </w:r>
      <w:r>
        <w:rPr>
          <w:spacing w:val="9"/>
        </w:rPr>
        <w:t>部、财政部规定的基本工资和津贴补贴以及规定比例为职工缴纳</w:t>
      </w:r>
      <w:r>
        <w:rPr>
          <w:spacing w:val="7"/>
        </w:rPr>
        <w:t>的住房公积金支出。</w:t>
      </w:r>
    </w:p>
    <w:p w14:paraId="38B8BF4B">
      <w:pPr>
        <w:spacing w:before="227" w:line="226" w:lineRule="auto"/>
        <w:ind w:left="652"/>
        <w:outlineLvl w:val="0"/>
        <w:rPr>
          <w:rFonts w:ascii="黑体" w:hAnsi="黑体" w:eastAsia="黑体" w:cs="黑体"/>
          <w:sz w:val="31"/>
          <w:szCs w:val="31"/>
        </w:rPr>
      </w:pPr>
      <w:r>
        <w:rPr>
          <w:rFonts w:ascii="黑体" w:hAnsi="黑体" w:eastAsia="黑体" w:cs="黑体"/>
          <w:spacing w:val="8"/>
          <w:sz w:val="31"/>
          <w:szCs w:val="31"/>
        </w:rPr>
        <w:t>六、一般公共预算基本支出情况说明</w:t>
      </w:r>
    </w:p>
    <w:p w14:paraId="6A092230">
      <w:pPr>
        <w:pStyle w:val="2"/>
        <w:spacing w:before="221" w:line="222" w:lineRule="auto"/>
        <w:jc w:val="right"/>
      </w:pPr>
      <w:r>
        <w:rPr>
          <w:spacing w:val="-3"/>
        </w:rPr>
        <w:t>研经小学</w:t>
      </w:r>
      <w:r>
        <w:rPr>
          <w:spacing w:val="-51"/>
        </w:rPr>
        <w:t xml:space="preserve"> </w:t>
      </w:r>
      <w:r>
        <w:rPr>
          <w:rFonts w:hint="eastAsia"/>
          <w:spacing w:val="-3"/>
          <w:lang w:eastAsia="zh-CN"/>
        </w:rPr>
        <w:t>2026</w:t>
      </w:r>
      <w:r>
        <w:rPr>
          <w:spacing w:val="-58"/>
        </w:rPr>
        <w:t xml:space="preserve"> </w:t>
      </w:r>
      <w:r>
        <w:rPr>
          <w:spacing w:val="-3"/>
        </w:rPr>
        <w:t>年一般公共预算基本支出</w:t>
      </w:r>
      <w:r>
        <w:rPr>
          <w:spacing w:val="-50"/>
        </w:rPr>
        <w:t xml:space="preserve"> </w:t>
      </w:r>
      <w:r>
        <w:rPr>
          <w:rFonts w:hint="eastAsia"/>
          <w:spacing w:val="-3"/>
          <w:lang w:val="en-US" w:eastAsia="zh-CN"/>
        </w:rPr>
        <w:t>435.06</w:t>
      </w:r>
      <w:r>
        <w:rPr>
          <w:spacing w:val="-44"/>
        </w:rPr>
        <w:t xml:space="preserve"> </w:t>
      </w:r>
      <w:r>
        <w:rPr>
          <w:spacing w:val="-3"/>
        </w:rPr>
        <w:t>万元，其</w:t>
      </w:r>
      <w:r>
        <w:rPr>
          <w:spacing w:val="-4"/>
        </w:rPr>
        <w:t>中：</w:t>
      </w:r>
    </w:p>
    <w:p w14:paraId="4D076255">
      <w:pPr>
        <w:pStyle w:val="2"/>
        <w:spacing w:before="230" w:line="357" w:lineRule="auto"/>
        <w:ind w:left="6" w:firstLine="640"/>
      </w:pPr>
      <w:r>
        <w:rPr>
          <w:spacing w:val="6"/>
        </w:rPr>
        <w:t>人员经费</w:t>
      </w:r>
      <w:r>
        <w:rPr>
          <w:spacing w:val="-39"/>
        </w:rPr>
        <w:t xml:space="preserve"> </w:t>
      </w:r>
      <w:r>
        <w:rPr>
          <w:rFonts w:hint="eastAsia"/>
          <w:spacing w:val="6"/>
          <w:lang w:val="en-US" w:eastAsia="zh-CN"/>
        </w:rPr>
        <w:t>427.89</w:t>
      </w:r>
      <w:r>
        <w:rPr>
          <w:spacing w:val="-45"/>
        </w:rPr>
        <w:t xml:space="preserve"> </w:t>
      </w:r>
      <w:r>
        <w:rPr>
          <w:spacing w:val="6"/>
        </w:rPr>
        <w:t>万元，主要包括：基本工资、津贴补贴、奖</w:t>
      </w:r>
      <w:r>
        <w:rPr>
          <w:spacing w:val="2"/>
        </w:rPr>
        <w:t>金、社会保险缴费、绩效工资、机关事业单</w:t>
      </w:r>
      <w:r>
        <w:rPr>
          <w:spacing w:val="1"/>
        </w:rPr>
        <w:t>位基本养老保险缴费、</w:t>
      </w:r>
      <w:r>
        <w:rPr>
          <w:spacing w:val="9"/>
        </w:rPr>
        <w:t>职业年金缴费、其他工资福利支出、离休费、住房公积金、其他</w:t>
      </w:r>
      <w:r>
        <w:rPr>
          <w:spacing w:val="7"/>
        </w:rPr>
        <w:t>对个人和家庭的补助支出。</w:t>
      </w:r>
    </w:p>
    <w:p w14:paraId="40E875AD">
      <w:pPr>
        <w:pStyle w:val="2"/>
        <w:spacing w:before="1" w:line="219" w:lineRule="auto"/>
        <w:ind w:left="643"/>
      </w:pPr>
      <w:r>
        <w:rPr>
          <w:spacing w:val="9"/>
        </w:rPr>
        <w:t>公用经费</w:t>
      </w:r>
      <w:r>
        <w:rPr>
          <w:spacing w:val="-34"/>
        </w:rPr>
        <w:t xml:space="preserve"> </w:t>
      </w:r>
      <w:r>
        <w:rPr>
          <w:rFonts w:hint="eastAsia"/>
          <w:spacing w:val="9"/>
          <w:lang w:val="en-US" w:eastAsia="zh-CN"/>
        </w:rPr>
        <w:t>7.17</w:t>
      </w:r>
      <w:r>
        <w:rPr>
          <w:spacing w:val="-37"/>
        </w:rPr>
        <w:t xml:space="preserve"> </w:t>
      </w:r>
      <w:r>
        <w:rPr>
          <w:spacing w:val="9"/>
        </w:rPr>
        <w:t>万元（</w:t>
      </w:r>
      <w:r>
        <w:rPr>
          <w:spacing w:val="-84"/>
        </w:rPr>
        <w:t xml:space="preserve"> </w:t>
      </w:r>
      <w:r>
        <w:rPr>
          <w:spacing w:val="9"/>
        </w:rPr>
        <w:t>注：义务教育生均公用经费在上级专</w:t>
      </w:r>
    </w:p>
    <w:p w14:paraId="7CAA49A3">
      <w:pPr>
        <w:spacing w:line="219" w:lineRule="auto"/>
        <w:sectPr>
          <w:footerReference r:id="rId11" w:type="default"/>
          <w:pgSz w:w="11906" w:h="16839"/>
          <w:pgMar w:top="1431" w:right="1378" w:bottom="1456" w:left="1482" w:header="0" w:footer="1092" w:gutter="0"/>
          <w:cols w:space="720" w:num="1"/>
        </w:sectPr>
      </w:pPr>
    </w:p>
    <w:p w14:paraId="796FE88B">
      <w:pPr>
        <w:spacing w:line="355" w:lineRule="auto"/>
        <w:rPr>
          <w:rFonts w:ascii="Arial"/>
          <w:sz w:val="21"/>
        </w:rPr>
      </w:pPr>
    </w:p>
    <w:p w14:paraId="71C80335">
      <w:pPr>
        <w:spacing w:line="356" w:lineRule="auto"/>
        <w:rPr>
          <w:rFonts w:ascii="Arial"/>
          <w:sz w:val="21"/>
        </w:rPr>
      </w:pPr>
    </w:p>
    <w:p w14:paraId="64B6F41D">
      <w:pPr>
        <w:pStyle w:val="2"/>
        <w:spacing w:before="101" w:line="222" w:lineRule="auto"/>
        <w:ind w:left="12"/>
      </w:pPr>
      <w:r>
        <w:rPr>
          <w:spacing w:val="7"/>
        </w:rPr>
        <w:t>款解决,未纳入部门预算</w:t>
      </w:r>
      <w:r>
        <w:rPr>
          <w:spacing w:val="26"/>
        </w:rPr>
        <w:t>），</w:t>
      </w:r>
      <w:r>
        <w:rPr>
          <w:spacing w:val="7"/>
        </w:rPr>
        <w:t>主要是工会经费支出。</w:t>
      </w:r>
    </w:p>
    <w:p w14:paraId="3ED1E8F0">
      <w:pPr>
        <w:spacing w:before="226" w:line="226" w:lineRule="auto"/>
        <w:ind w:left="647"/>
        <w:outlineLvl w:val="0"/>
        <w:rPr>
          <w:rFonts w:ascii="黑体" w:hAnsi="黑体" w:eastAsia="黑体" w:cs="黑体"/>
          <w:sz w:val="31"/>
          <w:szCs w:val="31"/>
        </w:rPr>
      </w:pPr>
      <w:r>
        <w:rPr>
          <w:rFonts w:ascii="黑体" w:hAnsi="黑体" w:eastAsia="黑体" w:cs="黑体"/>
          <w:spacing w:val="9"/>
          <w:sz w:val="31"/>
          <w:szCs w:val="31"/>
        </w:rPr>
        <w:t>七、政府性基金预算支出规模及变化情况说明</w:t>
      </w:r>
    </w:p>
    <w:p w14:paraId="546F9E3B">
      <w:pPr>
        <w:spacing w:before="176" w:line="220" w:lineRule="auto"/>
        <w:ind w:left="781"/>
        <w:rPr>
          <w:rFonts w:ascii="宋体" w:hAnsi="宋体" w:eastAsia="宋体" w:cs="宋体"/>
          <w:sz w:val="30"/>
          <w:szCs w:val="30"/>
        </w:rPr>
      </w:pPr>
      <w:r>
        <w:rPr>
          <w:rFonts w:ascii="宋体" w:hAnsi="宋体" w:eastAsia="宋体" w:cs="宋体"/>
          <w:sz w:val="30"/>
          <w:szCs w:val="30"/>
        </w:rPr>
        <w:t>无</w:t>
      </w:r>
    </w:p>
    <w:p w14:paraId="58B7B05E">
      <w:pPr>
        <w:spacing w:before="310" w:line="226" w:lineRule="auto"/>
        <w:ind w:left="648"/>
        <w:outlineLvl w:val="0"/>
        <w:rPr>
          <w:rFonts w:ascii="黑体" w:hAnsi="黑体" w:eastAsia="黑体" w:cs="黑体"/>
          <w:sz w:val="31"/>
          <w:szCs w:val="31"/>
        </w:rPr>
      </w:pPr>
      <w:r>
        <w:rPr>
          <w:rFonts w:ascii="黑体" w:hAnsi="黑体" w:eastAsia="黑体" w:cs="黑体"/>
          <w:spacing w:val="9"/>
          <w:sz w:val="31"/>
          <w:szCs w:val="31"/>
        </w:rPr>
        <w:t>八、国有资本经营预算支出情况说明</w:t>
      </w:r>
    </w:p>
    <w:p w14:paraId="7C286125">
      <w:pPr>
        <w:pStyle w:val="2"/>
        <w:spacing w:before="169" w:line="225" w:lineRule="auto"/>
        <w:ind w:left="706"/>
      </w:pPr>
      <w:r>
        <w:rPr>
          <w:spacing w:val="-7"/>
        </w:rPr>
        <w:t>无。</w:t>
      </w:r>
    </w:p>
    <w:p w14:paraId="2B8D357A">
      <w:pPr>
        <w:spacing w:before="297" w:line="226" w:lineRule="auto"/>
        <w:ind w:left="655"/>
        <w:outlineLvl w:val="0"/>
        <w:rPr>
          <w:rFonts w:ascii="黑体" w:hAnsi="黑体" w:eastAsia="黑体" w:cs="黑体"/>
          <w:sz w:val="31"/>
          <w:szCs w:val="31"/>
        </w:rPr>
      </w:pPr>
      <w:r>
        <w:rPr>
          <w:rFonts w:ascii="黑体" w:hAnsi="黑体" w:eastAsia="黑体" w:cs="黑体"/>
          <w:spacing w:val="-2"/>
          <w:sz w:val="31"/>
          <w:szCs w:val="31"/>
        </w:rPr>
        <w:t>九、“三公”经费预算安排情况说明</w:t>
      </w:r>
    </w:p>
    <w:p w14:paraId="17957E0C">
      <w:pPr>
        <w:spacing w:before="177" w:line="220" w:lineRule="auto"/>
        <w:ind w:left="642"/>
        <w:rPr>
          <w:rFonts w:ascii="宋体" w:hAnsi="宋体" w:eastAsia="宋体" w:cs="宋体"/>
          <w:sz w:val="30"/>
          <w:szCs w:val="30"/>
        </w:rPr>
      </w:pPr>
      <w:r>
        <w:rPr>
          <w:rFonts w:ascii="宋体" w:hAnsi="宋体" w:eastAsia="宋体" w:cs="宋体"/>
          <w:sz w:val="30"/>
          <w:szCs w:val="30"/>
        </w:rPr>
        <w:t>无</w:t>
      </w:r>
    </w:p>
    <w:p w14:paraId="30E11AD0">
      <w:pPr>
        <w:spacing w:before="310" w:line="226" w:lineRule="auto"/>
        <w:ind w:left="652"/>
        <w:outlineLvl w:val="0"/>
        <w:rPr>
          <w:rFonts w:ascii="黑体" w:hAnsi="黑体" w:eastAsia="黑体" w:cs="黑体"/>
          <w:sz w:val="31"/>
          <w:szCs w:val="31"/>
        </w:rPr>
      </w:pPr>
      <w:r>
        <w:rPr>
          <w:rFonts w:ascii="黑体" w:hAnsi="黑体" w:eastAsia="黑体" w:cs="黑体"/>
          <w:spacing w:val="8"/>
          <w:sz w:val="31"/>
          <w:szCs w:val="31"/>
        </w:rPr>
        <w:t>十、其他重要事项的情况说明</w:t>
      </w:r>
    </w:p>
    <w:p w14:paraId="28A17295">
      <w:pPr>
        <w:spacing w:before="220" w:line="231" w:lineRule="auto"/>
        <w:ind w:left="671"/>
        <w:outlineLvl w:val="1"/>
        <w:rPr>
          <w:rFonts w:ascii="楷体" w:hAnsi="楷体" w:eastAsia="楷体" w:cs="楷体"/>
          <w:sz w:val="31"/>
          <w:szCs w:val="31"/>
        </w:rPr>
      </w:pPr>
      <w:r>
        <w:rPr>
          <w:rFonts w:ascii="楷体" w:hAnsi="楷体" w:eastAsia="楷体" w:cs="楷体"/>
          <w:spacing w:val="-11"/>
          <w:sz w:val="31"/>
          <w:szCs w:val="31"/>
        </w:rPr>
        <w:t>（一）机关运行经费。</w:t>
      </w:r>
    </w:p>
    <w:p w14:paraId="2D770189">
      <w:pPr>
        <w:pStyle w:val="2"/>
        <w:spacing w:before="216" w:line="357" w:lineRule="auto"/>
        <w:ind w:firstLine="663"/>
        <w:jc w:val="both"/>
      </w:pPr>
      <w:r>
        <w:rPr>
          <w:rFonts w:hint="eastAsia"/>
          <w:spacing w:val="5"/>
          <w:lang w:eastAsia="zh-CN"/>
        </w:rPr>
        <w:t>2026</w:t>
      </w:r>
      <w:r>
        <w:rPr>
          <w:spacing w:val="-58"/>
        </w:rPr>
        <w:t xml:space="preserve"> </w:t>
      </w:r>
      <w:r>
        <w:rPr>
          <w:spacing w:val="5"/>
        </w:rPr>
        <w:t>年，井研县研经镇中心小学校为保障单位运</w:t>
      </w:r>
      <w:r>
        <w:rPr>
          <w:spacing w:val="4"/>
        </w:rPr>
        <w:t>行，安排的</w:t>
      </w:r>
      <w:r>
        <w:rPr>
          <w:spacing w:val="6"/>
        </w:rPr>
        <w:t>包括办公及印刷费、邮电费、差旅费、会议费、福利费、</w:t>
      </w:r>
      <w:r>
        <w:rPr>
          <w:spacing w:val="-48"/>
        </w:rPr>
        <w:t xml:space="preserve"> </w:t>
      </w:r>
      <w:r>
        <w:rPr>
          <w:spacing w:val="6"/>
        </w:rPr>
        <w:t>日常维</w:t>
      </w:r>
      <w:r>
        <w:rPr>
          <w:spacing w:val="10"/>
        </w:rPr>
        <w:t>修费、专用材料及一般设备购置费、办公用房</w:t>
      </w:r>
      <w:r>
        <w:rPr>
          <w:spacing w:val="9"/>
        </w:rPr>
        <w:t>水电费、办公用房</w:t>
      </w:r>
      <w:r>
        <w:rPr>
          <w:spacing w:val="10"/>
        </w:rPr>
        <w:t>取暖费、办公用房物业管理费、公务用车运行</w:t>
      </w:r>
      <w:r>
        <w:rPr>
          <w:spacing w:val="9"/>
        </w:rPr>
        <w:t>维护费以及其他费</w:t>
      </w:r>
      <w:r>
        <w:rPr>
          <w:spacing w:val="-3"/>
        </w:rPr>
        <w:t>用等机关运行经费预算为</w:t>
      </w:r>
      <w:r>
        <w:rPr>
          <w:spacing w:val="-35"/>
        </w:rPr>
        <w:t xml:space="preserve"> </w:t>
      </w:r>
      <w:r>
        <w:rPr>
          <w:rFonts w:hint="eastAsia"/>
          <w:spacing w:val="-3"/>
          <w:lang w:val="en-US" w:eastAsia="zh-CN"/>
        </w:rPr>
        <w:t>12.18</w:t>
      </w:r>
      <w:r>
        <w:rPr>
          <w:spacing w:val="-3"/>
        </w:rPr>
        <w:t>万元，较上年预算增加</w:t>
      </w:r>
      <w:r>
        <w:rPr>
          <w:spacing w:val="-43"/>
        </w:rPr>
        <w:t xml:space="preserve"> </w:t>
      </w:r>
      <w:r>
        <w:rPr>
          <w:rFonts w:hint="eastAsia"/>
          <w:spacing w:val="-43"/>
          <w:lang w:val="en-US" w:eastAsia="zh-CN"/>
        </w:rPr>
        <w:t>4.93</w:t>
      </w:r>
      <w:r>
        <w:rPr>
          <w:spacing w:val="-3"/>
        </w:rPr>
        <w:t>万元，</w:t>
      </w:r>
      <w:r>
        <w:rPr>
          <w:spacing w:val="2"/>
        </w:rPr>
        <w:t>增长</w:t>
      </w:r>
      <w:r>
        <w:rPr>
          <w:spacing w:val="-48"/>
        </w:rPr>
        <w:t xml:space="preserve"> </w:t>
      </w:r>
      <w:r>
        <w:rPr>
          <w:rFonts w:hint="eastAsia"/>
          <w:spacing w:val="2"/>
          <w:lang w:val="en-US" w:eastAsia="zh-CN"/>
        </w:rPr>
        <w:t>68</w:t>
      </w:r>
      <w:r>
        <w:rPr>
          <w:spacing w:val="2"/>
        </w:rPr>
        <w:t>%。</w:t>
      </w:r>
    </w:p>
    <w:p w14:paraId="2168D4DD">
      <w:pPr>
        <w:spacing w:line="232" w:lineRule="auto"/>
        <w:ind w:left="671"/>
        <w:outlineLvl w:val="1"/>
        <w:rPr>
          <w:rFonts w:ascii="楷体" w:hAnsi="楷体" w:eastAsia="楷体" w:cs="楷体"/>
          <w:sz w:val="31"/>
          <w:szCs w:val="31"/>
        </w:rPr>
      </w:pPr>
      <w:r>
        <w:rPr>
          <w:rFonts w:ascii="楷体" w:hAnsi="楷体" w:eastAsia="楷体" w:cs="楷体"/>
          <w:spacing w:val="-11"/>
          <w:sz w:val="31"/>
          <w:szCs w:val="31"/>
        </w:rPr>
        <w:t>（二）政府采购情况。</w:t>
      </w:r>
    </w:p>
    <w:p w14:paraId="1EF3A9F8">
      <w:pPr>
        <w:pStyle w:val="2"/>
        <w:spacing w:before="212" w:line="225" w:lineRule="auto"/>
        <w:ind w:left="660"/>
      </w:pPr>
      <w:r>
        <w:t>无</w:t>
      </w:r>
    </w:p>
    <w:p w14:paraId="39377648">
      <w:pPr>
        <w:spacing w:before="219" w:line="229" w:lineRule="auto"/>
        <w:ind w:left="671"/>
        <w:outlineLvl w:val="1"/>
        <w:rPr>
          <w:rFonts w:ascii="楷体" w:hAnsi="楷体" w:eastAsia="楷体" w:cs="楷体"/>
          <w:sz w:val="31"/>
          <w:szCs w:val="31"/>
        </w:rPr>
      </w:pPr>
      <w:r>
        <w:rPr>
          <w:rFonts w:ascii="楷体" w:hAnsi="楷体" w:eastAsia="楷体" w:cs="楷体"/>
          <w:spacing w:val="-5"/>
          <w:sz w:val="31"/>
          <w:szCs w:val="31"/>
        </w:rPr>
        <w:t>（三）国有资产占有使用情况。</w:t>
      </w:r>
    </w:p>
    <w:p w14:paraId="359631F3">
      <w:pPr>
        <w:pStyle w:val="2"/>
        <w:spacing w:before="219" w:line="357" w:lineRule="auto"/>
        <w:ind w:left="9" w:right="83" w:firstLine="645"/>
      </w:pPr>
      <w:r>
        <w:rPr>
          <w:spacing w:val="7"/>
        </w:rPr>
        <w:t>截至去年底，井研县马踏镇黄钵小学校共有车辆</w:t>
      </w:r>
      <w:r>
        <w:rPr>
          <w:spacing w:val="-38"/>
        </w:rPr>
        <w:t xml:space="preserve"> </w:t>
      </w:r>
      <w:r>
        <w:rPr>
          <w:spacing w:val="7"/>
        </w:rPr>
        <w:t>0</w:t>
      </w:r>
      <w:r>
        <w:rPr>
          <w:spacing w:val="-62"/>
        </w:rPr>
        <w:t xml:space="preserve"> </w:t>
      </w:r>
      <w:r>
        <w:rPr>
          <w:spacing w:val="7"/>
        </w:rPr>
        <w:t>辆。单位</w:t>
      </w:r>
      <w:r>
        <w:rPr>
          <w:spacing w:val="-2"/>
        </w:rPr>
        <w:t>价值</w:t>
      </w:r>
      <w:r>
        <w:rPr>
          <w:spacing w:val="-40"/>
        </w:rPr>
        <w:t xml:space="preserve"> </w:t>
      </w:r>
      <w:r>
        <w:rPr>
          <w:spacing w:val="-2"/>
        </w:rPr>
        <w:t>200</w:t>
      </w:r>
      <w:r>
        <w:rPr>
          <w:spacing w:val="-47"/>
        </w:rPr>
        <w:t xml:space="preserve"> </w:t>
      </w:r>
      <w:r>
        <w:rPr>
          <w:spacing w:val="-2"/>
        </w:rPr>
        <w:t>万元以上大型设备</w:t>
      </w:r>
      <w:r>
        <w:rPr>
          <w:spacing w:val="-38"/>
        </w:rPr>
        <w:t xml:space="preserve"> </w:t>
      </w:r>
      <w:r>
        <w:rPr>
          <w:spacing w:val="-2"/>
        </w:rPr>
        <w:t>0 台（套）。</w:t>
      </w:r>
    </w:p>
    <w:p w14:paraId="51ADF471">
      <w:pPr>
        <w:pStyle w:val="2"/>
        <w:spacing w:before="1" w:line="219" w:lineRule="auto"/>
        <w:ind w:left="663"/>
      </w:pPr>
      <w:r>
        <w:rPr>
          <w:rFonts w:hint="eastAsia"/>
          <w:spacing w:val="2"/>
          <w:lang w:eastAsia="zh-CN"/>
        </w:rPr>
        <w:t>2026</w:t>
      </w:r>
      <w:r>
        <w:rPr>
          <w:spacing w:val="-46"/>
        </w:rPr>
        <w:t xml:space="preserve"> </w:t>
      </w:r>
      <w:r>
        <w:rPr>
          <w:spacing w:val="2"/>
        </w:rPr>
        <w:t>年，部门预算安排购置车辆及单位价值</w:t>
      </w:r>
      <w:r>
        <w:rPr>
          <w:spacing w:val="-48"/>
        </w:rPr>
        <w:t xml:space="preserve"> </w:t>
      </w:r>
      <w:r>
        <w:rPr>
          <w:spacing w:val="2"/>
        </w:rPr>
        <w:t>200</w:t>
      </w:r>
      <w:r>
        <w:rPr>
          <w:spacing w:val="-45"/>
        </w:rPr>
        <w:t xml:space="preserve"> </w:t>
      </w:r>
      <w:r>
        <w:rPr>
          <w:spacing w:val="2"/>
        </w:rPr>
        <w:t>万元以上大</w:t>
      </w:r>
    </w:p>
    <w:p w14:paraId="5BE87C03">
      <w:pPr>
        <w:spacing w:line="219" w:lineRule="auto"/>
        <w:sectPr>
          <w:footerReference r:id="rId12" w:type="default"/>
          <w:pgSz w:w="11906" w:h="16839"/>
          <w:pgMar w:top="1431" w:right="1391" w:bottom="1456" w:left="1476" w:header="0" w:footer="1092" w:gutter="0"/>
          <w:cols w:space="720" w:num="1"/>
        </w:sectPr>
      </w:pPr>
    </w:p>
    <w:p w14:paraId="301FB298">
      <w:pPr>
        <w:spacing w:line="355" w:lineRule="auto"/>
        <w:rPr>
          <w:rFonts w:ascii="Arial"/>
          <w:sz w:val="21"/>
        </w:rPr>
      </w:pPr>
    </w:p>
    <w:p w14:paraId="23C0FE4E">
      <w:pPr>
        <w:spacing w:line="356" w:lineRule="auto"/>
        <w:rPr>
          <w:rFonts w:ascii="Arial"/>
          <w:sz w:val="21"/>
        </w:rPr>
      </w:pPr>
    </w:p>
    <w:p w14:paraId="7B86AFAC">
      <w:pPr>
        <w:pStyle w:val="2"/>
        <w:spacing w:before="101" w:line="224" w:lineRule="auto"/>
        <w:ind w:left="16"/>
      </w:pPr>
      <w:r>
        <w:rPr>
          <w:spacing w:val="-6"/>
        </w:rPr>
        <w:t>型设备</w:t>
      </w:r>
      <w:r>
        <w:rPr>
          <w:spacing w:val="-39"/>
        </w:rPr>
        <w:t xml:space="preserve"> </w:t>
      </w:r>
      <w:r>
        <w:rPr>
          <w:spacing w:val="-6"/>
        </w:rPr>
        <w:t>0</w:t>
      </w:r>
      <w:r>
        <w:rPr>
          <w:spacing w:val="-44"/>
        </w:rPr>
        <w:t xml:space="preserve"> </w:t>
      </w:r>
      <w:r>
        <w:rPr>
          <w:spacing w:val="-6"/>
        </w:rPr>
        <w:t>万元。</w:t>
      </w:r>
    </w:p>
    <w:p w14:paraId="38470F59">
      <w:pPr>
        <w:spacing w:before="222" w:line="232" w:lineRule="auto"/>
        <w:ind w:left="664"/>
        <w:outlineLvl w:val="1"/>
        <w:rPr>
          <w:rFonts w:ascii="楷体" w:hAnsi="楷体" w:eastAsia="楷体" w:cs="楷体"/>
          <w:sz w:val="31"/>
          <w:szCs w:val="31"/>
        </w:rPr>
      </w:pPr>
      <w:r>
        <w:rPr>
          <w:rFonts w:ascii="楷体" w:hAnsi="楷体" w:eastAsia="楷体" w:cs="楷体"/>
          <w:spacing w:val="-8"/>
          <w:sz w:val="31"/>
          <w:szCs w:val="31"/>
        </w:rPr>
        <w:t>（四）绩效目标设置情况。</w:t>
      </w:r>
    </w:p>
    <w:p w14:paraId="6CF7CEC7">
      <w:pPr>
        <w:pStyle w:val="2"/>
        <w:spacing w:before="209" w:line="355" w:lineRule="auto"/>
        <w:ind w:left="6" w:right="97" w:firstLine="649"/>
      </w:pPr>
      <w:r>
        <w:rPr>
          <w:rFonts w:hint="eastAsia"/>
          <w:spacing w:val="16"/>
          <w:lang w:eastAsia="zh-CN"/>
        </w:rPr>
        <w:t>2026</w:t>
      </w:r>
      <w:r>
        <w:rPr>
          <w:spacing w:val="-48"/>
        </w:rPr>
        <w:t xml:space="preserve"> </w:t>
      </w:r>
      <w:r>
        <w:rPr>
          <w:spacing w:val="16"/>
        </w:rPr>
        <w:t>年，井研县研经镇中心小学校按要求实行绩效目标管</w:t>
      </w:r>
      <w:r>
        <w:rPr>
          <w:spacing w:val="5"/>
        </w:rPr>
        <w:t>理，开展绩效目标管理的项目</w:t>
      </w:r>
      <w:r>
        <w:rPr>
          <w:spacing w:val="-41"/>
        </w:rPr>
        <w:t xml:space="preserve"> </w:t>
      </w:r>
      <w:r>
        <w:rPr>
          <w:rFonts w:hint="eastAsia"/>
          <w:spacing w:val="5"/>
          <w:lang w:val="en-US" w:eastAsia="zh-CN"/>
        </w:rPr>
        <w:t>8</w:t>
      </w:r>
      <w:r>
        <w:rPr>
          <w:spacing w:val="5"/>
        </w:rPr>
        <w:t xml:space="preserve">个，涉及预算 </w:t>
      </w:r>
      <w:r>
        <w:rPr>
          <w:rFonts w:hint="eastAsia"/>
          <w:spacing w:val="5"/>
          <w:lang w:val="en-US" w:eastAsia="zh-CN"/>
        </w:rPr>
        <w:t>50.13</w:t>
      </w:r>
      <w:r>
        <w:rPr>
          <w:spacing w:val="5"/>
        </w:rPr>
        <w:t>万元。</w:t>
      </w:r>
    </w:p>
    <w:p w14:paraId="26245CD7">
      <w:pPr>
        <w:spacing w:line="253" w:lineRule="auto"/>
        <w:rPr>
          <w:rFonts w:ascii="Arial"/>
          <w:sz w:val="21"/>
        </w:rPr>
      </w:pPr>
    </w:p>
    <w:p w14:paraId="606A26DA">
      <w:pPr>
        <w:spacing w:line="254" w:lineRule="auto"/>
        <w:rPr>
          <w:rFonts w:ascii="Arial"/>
          <w:sz w:val="21"/>
        </w:rPr>
      </w:pPr>
    </w:p>
    <w:p w14:paraId="37F2CAAE">
      <w:pPr>
        <w:pStyle w:val="2"/>
        <w:spacing w:before="101" w:line="357" w:lineRule="auto"/>
        <w:ind w:right="97" w:firstLine="638"/>
      </w:pPr>
      <w:r>
        <w:rPr>
          <w:b/>
          <w:bCs/>
          <w:spacing w:val="19"/>
        </w:rPr>
        <w:t>名词解释（各部门根据实际情况对名词解释进行增加或删</w:t>
      </w:r>
      <w:r>
        <w:rPr>
          <w:b/>
          <w:bCs/>
          <w:spacing w:val="18"/>
        </w:rPr>
        <w:t>减）</w:t>
      </w:r>
    </w:p>
    <w:p w14:paraId="275061CA">
      <w:pPr>
        <w:pStyle w:val="2"/>
        <w:spacing w:before="1" w:line="289" w:lineRule="auto"/>
        <w:ind w:left="29" w:firstLine="628"/>
        <w:outlineLvl w:val="2"/>
      </w:pPr>
      <w:r>
        <w:t>1.财政拨款收支情况：是指一般公共预算、政府性基金预算、</w:t>
      </w:r>
      <w:r>
        <w:rPr>
          <w:spacing w:val="6"/>
        </w:rPr>
        <w:t>国有资本经营预算拨款收支情况。</w:t>
      </w:r>
    </w:p>
    <w:p w14:paraId="585E9EC0">
      <w:pPr>
        <w:pStyle w:val="2"/>
        <w:spacing w:before="227" w:line="222" w:lineRule="auto"/>
        <w:ind w:left="650"/>
        <w:outlineLvl w:val="2"/>
      </w:pPr>
      <w:r>
        <w:rPr>
          <w:spacing w:val="8"/>
        </w:rPr>
        <w:t>2.一般公共预算拨款收入：指县级财政当年拨付的资金。</w:t>
      </w:r>
    </w:p>
    <w:p w14:paraId="2DE7CEAC">
      <w:pPr>
        <w:pStyle w:val="2"/>
        <w:spacing w:before="227" w:line="289" w:lineRule="auto"/>
        <w:ind w:left="20" w:right="95" w:firstLine="643"/>
        <w:outlineLvl w:val="2"/>
      </w:pPr>
      <w:r>
        <w:rPr>
          <w:spacing w:val="2"/>
        </w:rPr>
        <w:t>3.政府性基金预算:指通过向社会征收以及出让土地、发行彩</w:t>
      </w:r>
      <w:r>
        <w:rPr>
          <w:spacing w:val="9"/>
        </w:rPr>
        <w:t>票等方式取得收入，并专项用于特定基础设施建</w:t>
      </w:r>
      <w:r>
        <w:rPr>
          <w:spacing w:val="8"/>
        </w:rPr>
        <w:t>设和社会事业发</w:t>
      </w:r>
    </w:p>
    <w:p w14:paraId="1FC90980">
      <w:pPr>
        <w:pStyle w:val="2"/>
        <w:spacing w:before="230" w:line="222" w:lineRule="auto"/>
        <w:ind w:left="3"/>
      </w:pPr>
      <w:r>
        <w:rPr>
          <w:spacing w:val="7"/>
        </w:rPr>
        <w:t>展的财政收支预算。</w:t>
      </w:r>
    </w:p>
    <w:p w14:paraId="72CCB389">
      <w:pPr>
        <w:pStyle w:val="2"/>
        <w:spacing w:before="227" w:line="290" w:lineRule="auto"/>
        <w:ind w:left="7" w:right="97" w:firstLine="642"/>
        <w:outlineLvl w:val="2"/>
      </w:pPr>
      <w:r>
        <w:rPr>
          <w:spacing w:val="9"/>
        </w:rPr>
        <w:t>4.事业收入：指事业单位开展专业业务活</w:t>
      </w:r>
      <w:r>
        <w:rPr>
          <w:spacing w:val="8"/>
        </w:rPr>
        <w:t>动及辅助活动所取</w:t>
      </w:r>
      <w:r>
        <w:rPr>
          <w:spacing w:val="4"/>
        </w:rPr>
        <w:t>得的收入。</w:t>
      </w:r>
    </w:p>
    <w:p w14:paraId="38B9E536">
      <w:pPr>
        <w:pStyle w:val="2"/>
        <w:spacing w:before="225" w:line="290" w:lineRule="auto"/>
        <w:ind w:left="20" w:right="97" w:firstLine="634"/>
        <w:outlineLvl w:val="2"/>
      </w:pPr>
      <w:r>
        <w:rPr>
          <w:spacing w:val="8"/>
        </w:rPr>
        <w:t>5.事业单位经营收入：指事业单位在专业业务活动及其辅助活动之外开展非独立核算经营活动取得的收入。</w:t>
      </w:r>
    </w:p>
    <w:p w14:paraId="6F43A500">
      <w:pPr>
        <w:pStyle w:val="2"/>
        <w:spacing w:before="228" w:line="289" w:lineRule="auto"/>
        <w:ind w:left="26" w:firstLine="627"/>
        <w:outlineLvl w:val="2"/>
      </w:pPr>
      <w:r>
        <w:rPr>
          <w:spacing w:val="1"/>
        </w:rPr>
        <w:t>6.其他收入：指除上述</w:t>
      </w:r>
      <w:r>
        <w:rPr>
          <w:spacing w:val="-88"/>
        </w:rPr>
        <w:t xml:space="preserve"> </w:t>
      </w:r>
      <w:r>
        <w:rPr>
          <w:spacing w:val="1"/>
        </w:rPr>
        <w:t>“</w:t>
      </w:r>
      <w:r>
        <w:rPr>
          <w:spacing w:val="-120"/>
        </w:rPr>
        <w:t xml:space="preserve"> </w:t>
      </w:r>
      <w:r>
        <w:rPr>
          <w:spacing w:val="1"/>
        </w:rPr>
        <w:t>一般公共预算拨款收入”</w:t>
      </w:r>
      <w:r>
        <w:rPr>
          <w:spacing w:val="-116"/>
        </w:rPr>
        <w:t xml:space="preserve"> </w:t>
      </w:r>
      <w:r>
        <w:rPr>
          <w:spacing w:val="1"/>
        </w:rPr>
        <w:t>、</w:t>
      </w:r>
      <w:r>
        <w:rPr>
          <w:spacing w:val="-91"/>
        </w:rPr>
        <w:t xml:space="preserve"> </w:t>
      </w:r>
      <w:r>
        <w:rPr>
          <w:spacing w:val="1"/>
        </w:rPr>
        <w:t>“事业收入”、“事业单位经营收入”等以外的收入。主要是利息收</w:t>
      </w:r>
      <w:r>
        <w:t>入、</w:t>
      </w:r>
    </w:p>
    <w:p w14:paraId="36D4D874">
      <w:pPr>
        <w:pStyle w:val="2"/>
        <w:spacing w:before="229" w:line="222" w:lineRule="auto"/>
        <w:ind w:left="29"/>
      </w:pPr>
      <w:r>
        <w:rPr>
          <w:spacing w:val="4"/>
        </w:rPr>
        <w:t>国有资产出租收入等。</w:t>
      </w:r>
    </w:p>
    <w:p w14:paraId="064C90D2">
      <w:pPr>
        <w:pStyle w:val="2"/>
        <w:spacing w:before="226" w:line="290" w:lineRule="auto"/>
        <w:ind w:left="46" w:right="97" w:firstLine="607"/>
        <w:outlineLvl w:val="2"/>
      </w:pPr>
      <w:r>
        <w:rPr>
          <w:spacing w:val="8"/>
        </w:rPr>
        <w:t>7.用事业基金弥补收支差额：指事业单位在当年的收入不足以安排当年会出的情况下，使用以前年度积累的事业</w:t>
      </w:r>
      <w:r>
        <w:rPr>
          <w:spacing w:val="7"/>
        </w:rPr>
        <w:t>基金（事业</w:t>
      </w:r>
    </w:p>
    <w:p w14:paraId="35321B71">
      <w:pPr>
        <w:spacing w:line="290" w:lineRule="auto"/>
        <w:sectPr>
          <w:footerReference r:id="rId13" w:type="default"/>
          <w:pgSz w:w="11906" w:h="16839"/>
          <w:pgMar w:top="1431" w:right="1378" w:bottom="1456" w:left="1483" w:header="0" w:footer="1092" w:gutter="0"/>
          <w:cols w:space="720" w:num="1"/>
        </w:sectPr>
      </w:pPr>
    </w:p>
    <w:p w14:paraId="5E79C7B9">
      <w:pPr>
        <w:spacing w:line="356" w:lineRule="auto"/>
        <w:rPr>
          <w:rFonts w:ascii="Arial"/>
          <w:sz w:val="21"/>
        </w:rPr>
      </w:pPr>
    </w:p>
    <w:p w14:paraId="4C958E8D">
      <w:pPr>
        <w:spacing w:line="356" w:lineRule="auto"/>
        <w:rPr>
          <w:rFonts w:ascii="Arial"/>
          <w:sz w:val="21"/>
        </w:rPr>
      </w:pPr>
    </w:p>
    <w:p w14:paraId="3C68E2F4">
      <w:pPr>
        <w:pStyle w:val="2"/>
        <w:spacing w:before="101" w:line="357" w:lineRule="auto"/>
        <w:ind w:left="12" w:right="2"/>
      </w:pPr>
      <w:r>
        <w:rPr>
          <w:spacing w:val="9"/>
        </w:rPr>
        <w:t>单位当年收支相抵后按国家规定提取、用于弥补以后年度收支差</w:t>
      </w:r>
      <w:r>
        <w:rPr>
          <w:spacing w:val="8"/>
        </w:rPr>
        <w:t>额的基金）弥补本年度收支缺口的资金。</w:t>
      </w:r>
    </w:p>
    <w:p w14:paraId="4A08DE0D">
      <w:pPr>
        <w:pStyle w:val="2"/>
        <w:spacing w:before="3" w:line="289" w:lineRule="auto"/>
        <w:ind w:left="5" w:right="2" w:firstLine="650"/>
        <w:outlineLvl w:val="2"/>
      </w:pPr>
      <w:r>
        <w:rPr>
          <w:spacing w:val="8"/>
        </w:rPr>
        <w:t>8.上年结转：指以前年度尚未完成，结转到本年仍按原规定</w:t>
      </w:r>
      <w:r>
        <w:rPr>
          <w:spacing w:val="7"/>
        </w:rPr>
        <w:t>用途继续使用的资金。</w:t>
      </w:r>
    </w:p>
    <w:p w14:paraId="78676222">
      <w:pPr>
        <w:pStyle w:val="2"/>
        <w:spacing w:before="225" w:line="289" w:lineRule="auto"/>
        <w:ind w:right="2" w:firstLine="656"/>
        <w:outlineLvl w:val="2"/>
      </w:pPr>
      <w:r>
        <w:rPr>
          <w:spacing w:val="8"/>
        </w:rPr>
        <w:t>9.社会保障和就业（类）行政事业单位离退休（款）事业单</w:t>
      </w:r>
      <w:r>
        <w:rPr>
          <w:spacing w:val="7"/>
        </w:rPr>
        <w:t>位离退休（项</w:t>
      </w:r>
      <w:r>
        <w:rPr>
          <w:spacing w:val="23"/>
        </w:rPr>
        <w:t>）：</w:t>
      </w:r>
      <w:r>
        <w:rPr>
          <w:spacing w:val="7"/>
        </w:rPr>
        <w:t>指离退休人员的支出。</w:t>
      </w:r>
    </w:p>
    <w:p w14:paraId="6465FCB8">
      <w:pPr>
        <w:pStyle w:val="2"/>
        <w:spacing w:before="229" w:line="289" w:lineRule="auto"/>
        <w:ind w:left="6" w:firstLine="654"/>
        <w:outlineLvl w:val="2"/>
      </w:pPr>
      <w:r>
        <w:t>10.社会保障和就业（类）行政事业单位离退休（款）未归</w:t>
      </w:r>
      <w:r>
        <w:rPr>
          <w:spacing w:val="-81"/>
        </w:rPr>
        <w:t xml:space="preserve"> </w:t>
      </w:r>
      <w:r>
        <w:t>口</w:t>
      </w:r>
      <w:r>
        <w:rPr>
          <w:spacing w:val="8"/>
        </w:rPr>
        <w:t>管理的行政单位离退休（项</w:t>
      </w:r>
      <w:r>
        <w:rPr>
          <w:spacing w:val="18"/>
        </w:rPr>
        <w:t>）：</w:t>
      </w:r>
      <w:r>
        <w:rPr>
          <w:spacing w:val="8"/>
        </w:rPr>
        <w:t>指离退休人员的支出。</w:t>
      </w:r>
    </w:p>
    <w:p w14:paraId="30C2965F">
      <w:pPr>
        <w:pStyle w:val="2"/>
        <w:spacing w:before="230" w:line="289" w:lineRule="auto"/>
        <w:ind w:left="18" w:firstLine="642"/>
        <w:outlineLvl w:val="2"/>
      </w:pPr>
      <w:r>
        <w:rPr>
          <w:spacing w:val="2"/>
        </w:rPr>
        <w:t>11.社会保障和就业（类）行政事业单位离退休（款）机关事</w:t>
      </w:r>
      <w:r>
        <w:rPr>
          <w:spacing w:val="8"/>
        </w:rPr>
        <w:t>业单位基本养老保险缴费支出（项</w:t>
      </w:r>
      <w:r>
        <w:rPr>
          <w:spacing w:val="20"/>
        </w:rPr>
        <w:t>）：</w:t>
      </w:r>
      <w:r>
        <w:rPr>
          <w:spacing w:val="8"/>
        </w:rPr>
        <w:t>指部门实施养老保险制度</w:t>
      </w:r>
    </w:p>
    <w:p w14:paraId="4390FFB2">
      <w:pPr>
        <w:pStyle w:val="2"/>
        <w:spacing w:before="229" w:line="221" w:lineRule="auto"/>
        <w:ind w:left="48"/>
      </w:pPr>
      <w:r>
        <w:rPr>
          <w:spacing w:val="5"/>
        </w:rPr>
        <w:t>由单位缴纳的养老保险费的支出。</w:t>
      </w:r>
    </w:p>
    <w:p w14:paraId="3DE13446">
      <w:pPr>
        <w:pStyle w:val="2"/>
        <w:spacing w:before="229" w:line="289" w:lineRule="auto"/>
        <w:ind w:left="18" w:firstLine="642"/>
        <w:outlineLvl w:val="2"/>
      </w:pPr>
      <w:r>
        <w:rPr>
          <w:spacing w:val="2"/>
        </w:rPr>
        <w:t>12.社会保障和就业（类）行政事业单位离退休（款）机关事</w:t>
      </w:r>
      <w:r>
        <w:rPr>
          <w:spacing w:val="8"/>
        </w:rPr>
        <w:t>业单位职业年金缴费支出（项</w:t>
      </w:r>
      <w:r>
        <w:rPr>
          <w:spacing w:val="20"/>
        </w:rPr>
        <w:t>）：</w:t>
      </w:r>
      <w:r>
        <w:rPr>
          <w:spacing w:val="8"/>
        </w:rPr>
        <w:t>指部门实施养老保险制度由单</w:t>
      </w:r>
    </w:p>
    <w:p w14:paraId="35930163">
      <w:pPr>
        <w:pStyle w:val="2"/>
        <w:spacing w:before="229" w:line="222" w:lineRule="auto"/>
      </w:pPr>
      <w:r>
        <w:rPr>
          <w:spacing w:val="8"/>
        </w:rPr>
        <w:t>位缴纳的职业年金的支出。</w:t>
      </w:r>
    </w:p>
    <w:p w14:paraId="5DDCA014">
      <w:pPr>
        <w:pStyle w:val="2"/>
        <w:spacing w:before="228" w:line="289" w:lineRule="auto"/>
        <w:ind w:left="10" w:firstLine="650"/>
        <w:outlineLvl w:val="2"/>
      </w:pPr>
      <w:r>
        <w:rPr>
          <w:spacing w:val="2"/>
        </w:rPr>
        <w:t>13.社会保障和就业（类）其他社会保障和就业（款）其他社</w:t>
      </w:r>
      <w:r>
        <w:rPr>
          <w:spacing w:val="8"/>
        </w:rPr>
        <w:t>会保障和就业支出（项</w:t>
      </w:r>
      <w:r>
        <w:rPr>
          <w:spacing w:val="24"/>
        </w:rPr>
        <w:t>）：</w:t>
      </w:r>
      <w:r>
        <w:rPr>
          <w:spacing w:val="8"/>
        </w:rPr>
        <w:t>指除上述项目外，其他用于行政事业</w:t>
      </w:r>
    </w:p>
    <w:p w14:paraId="71202731">
      <w:pPr>
        <w:pStyle w:val="2"/>
        <w:spacing w:before="230" w:line="220" w:lineRule="auto"/>
        <w:ind w:left="12"/>
      </w:pPr>
      <w:r>
        <w:rPr>
          <w:spacing w:val="7"/>
        </w:rPr>
        <w:t>单位离退休方面的支出。</w:t>
      </w:r>
    </w:p>
    <w:p w14:paraId="2E9E85DB">
      <w:pPr>
        <w:pStyle w:val="2"/>
        <w:spacing w:before="230" w:line="289" w:lineRule="auto"/>
        <w:ind w:left="12" w:right="2" w:firstLine="648"/>
        <w:outlineLvl w:val="2"/>
      </w:pPr>
      <w:r>
        <w:rPr>
          <w:spacing w:val="2"/>
        </w:rPr>
        <w:t>14.医疗卫生与计划生育（类）行政事业单位医疗（款）行政</w:t>
      </w:r>
      <w:r>
        <w:rPr>
          <w:spacing w:val="8"/>
        </w:rPr>
        <w:t>单位医疗（项</w:t>
      </w:r>
      <w:r>
        <w:rPr>
          <w:spacing w:val="23"/>
        </w:rPr>
        <w:t>）：</w:t>
      </w:r>
      <w:r>
        <w:rPr>
          <w:spacing w:val="8"/>
        </w:rPr>
        <w:t>指行政单位及参公管理事业单位用于缴纳单位</w:t>
      </w:r>
    </w:p>
    <w:p w14:paraId="7F5216AF">
      <w:pPr>
        <w:pStyle w:val="2"/>
        <w:spacing w:before="229" w:line="221" w:lineRule="auto"/>
      </w:pPr>
      <w:r>
        <w:rPr>
          <w:spacing w:val="7"/>
        </w:rPr>
        <w:t>基本医疗保险支出。</w:t>
      </w:r>
    </w:p>
    <w:p w14:paraId="5AC0B328">
      <w:pPr>
        <w:pStyle w:val="2"/>
        <w:spacing w:before="230" w:line="289" w:lineRule="auto"/>
        <w:ind w:left="12" w:right="2" w:firstLine="648"/>
        <w:outlineLvl w:val="2"/>
      </w:pPr>
      <w:r>
        <w:rPr>
          <w:spacing w:val="2"/>
        </w:rPr>
        <w:t>15.医疗卫生与计划生育（类）行政事业单位医疗（款）事业</w:t>
      </w:r>
      <w:r>
        <w:rPr>
          <w:spacing w:val="8"/>
        </w:rPr>
        <w:t>单位医疗（项</w:t>
      </w:r>
      <w:r>
        <w:rPr>
          <w:spacing w:val="20"/>
        </w:rPr>
        <w:t>）：</w:t>
      </w:r>
      <w:r>
        <w:rPr>
          <w:spacing w:val="8"/>
        </w:rPr>
        <w:t>指事业单位用于缴纳单位基本医疗保险支出。</w:t>
      </w:r>
    </w:p>
    <w:p w14:paraId="68D5B65D">
      <w:pPr>
        <w:spacing w:line="289" w:lineRule="auto"/>
        <w:sectPr>
          <w:footerReference r:id="rId14" w:type="default"/>
          <w:pgSz w:w="11906" w:h="16839"/>
          <w:pgMar w:top="1431" w:right="1473" w:bottom="1456" w:left="1480" w:header="0" w:footer="1092" w:gutter="0"/>
          <w:cols w:space="720" w:num="1"/>
        </w:sectPr>
      </w:pPr>
    </w:p>
    <w:p w14:paraId="305BBED0">
      <w:pPr>
        <w:spacing w:line="356" w:lineRule="auto"/>
        <w:rPr>
          <w:rFonts w:ascii="Arial"/>
          <w:sz w:val="21"/>
        </w:rPr>
      </w:pPr>
    </w:p>
    <w:p w14:paraId="11ADED6B">
      <w:pPr>
        <w:spacing w:line="356" w:lineRule="auto"/>
        <w:rPr>
          <w:rFonts w:ascii="Arial"/>
          <w:sz w:val="21"/>
        </w:rPr>
      </w:pPr>
    </w:p>
    <w:p w14:paraId="2E709B1E">
      <w:pPr>
        <w:pStyle w:val="2"/>
        <w:spacing w:before="101" w:line="289" w:lineRule="auto"/>
        <w:ind w:left="26" w:right="69" w:firstLine="632"/>
        <w:outlineLvl w:val="2"/>
      </w:pPr>
      <w:r>
        <w:rPr>
          <w:spacing w:val="2"/>
        </w:rPr>
        <w:t>16.医疗卫生与计划生育（类）行政事业单位医疗（款）公务</w:t>
      </w:r>
      <w:r>
        <w:rPr>
          <w:spacing w:val="8"/>
        </w:rPr>
        <w:t>员医疗补助（项</w:t>
      </w:r>
      <w:r>
        <w:rPr>
          <w:spacing w:val="17"/>
        </w:rPr>
        <w:t>）：</w:t>
      </w:r>
      <w:r>
        <w:rPr>
          <w:spacing w:val="8"/>
        </w:rPr>
        <w:t>指行政单位及参公管理事业单位用</w:t>
      </w:r>
      <w:r>
        <w:rPr>
          <w:spacing w:val="7"/>
        </w:rPr>
        <w:t>于集中缴</w:t>
      </w:r>
    </w:p>
    <w:p w14:paraId="3FC07E66">
      <w:pPr>
        <w:pStyle w:val="2"/>
        <w:spacing w:before="228" w:line="222" w:lineRule="auto"/>
        <w:ind w:left="11"/>
      </w:pPr>
      <w:r>
        <w:rPr>
          <w:spacing w:val="7"/>
        </w:rPr>
        <w:t>纳公务员医疗补助支出。</w:t>
      </w:r>
    </w:p>
    <w:p w14:paraId="23D142F9">
      <w:pPr>
        <w:pStyle w:val="2"/>
        <w:spacing w:before="229" w:line="288" w:lineRule="auto"/>
        <w:ind w:left="6" w:firstLine="652"/>
        <w:outlineLvl w:val="2"/>
      </w:pPr>
      <w:r>
        <w:rPr>
          <w:spacing w:val="8"/>
        </w:rPr>
        <w:t>17.住房保障（类）住房改革支出（款）住房公积金（项</w:t>
      </w:r>
      <w:r>
        <w:rPr>
          <w:spacing w:val="-64"/>
        </w:rPr>
        <w:t xml:space="preserve"> </w:t>
      </w:r>
      <w:r>
        <w:rPr>
          <w:spacing w:val="-79"/>
        </w:rPr>
        <w:t>）：</w:t>
      </w:r>
      <w:r>
        <w:rPr>
          <w:spacing w:val="8"/>
        </w:rPr>
        <w:t>指由单位及其在职职工按规定缴存的住房公积金支出。</w:t>
      </w:r>
    </w:p>
    <w:p w14:paraId="1F49B4CF">
      <w:pPr>
        <w:pStyle w:val="2"/>
        <w:spacing w:before="232" w:line="290" w:lineRule="auto"/>
        <w:ind w:left="2" w:right="66" w:firstLine="656"/>
        <w:outlineLvl w:val="2"/>
      </w:pPr>
      <w:r>
        <w:rPr>
          <w:spacing w:val="2"/>
        </w:rPr>
        <w:t>18.基本支出：指为保证机构正常运转，完成日常工作任务而</w:t>
      </w:r>
      <w:r>
        <w:rPr>
          <w:spacing w:val="8"/>
        </w:rPr>
        <w:t>发生的人员支出和公用支出。</w:t>
      </w:r>
    </w:p>
    <w:p w14:paraId="56741EC6">
      <w:pPr>
        <w:pStyle w:val="2"/>
        <w:spacing w:before="224" w:line="290" w:lineRule="auto"/>
        <w:ind w:left="2" w:right="69" w:firstLine="656"/>
        <w:outlineLvl w:val="2"/>
      </w:pPr>
      <w:r>
        <w:rPr>
          <w:spacing w:val="2"/>
        </w:rPr>
        <w:t>19.项目支出：指在基本支出之外为完成特定行政任务和事业</w:t>
      </w:r>
      <w:r>
        <w:rPr>
          <w:spacing w:val="7"/>
        </w:rPr>
        <w:t>发展目标所发生的支出。</w:t>
      </w:r>
    </w:p>
    <w:p w14:paraId="2920C416">
      <w:pPr>
        <w:pStyle w:val="2"/>
        <w:spacing w:before="227" w:line="288" w:lineRule="auto"/>
        <w:ind w:left="29" w:right="69" w:firstLine="621"/>
        <w:outlineLvl w:val="2"/>
      </w:pPr>
      <w:r>
        <w:rPr>
          <w:spacing w:val="1"/>
        </w:rPr>
        <w:t>20.纳入预决算管理的“</w:t>
      </w:r>
      <w:r>
        <w:rPr>
          <w:spacing w:val="-104"/>
        </w:rPr>
        <w:t xml:space="preserve"> </w:t>
      </w:r>
      <w:r>
        <w:rPr>
          <w:spacing w:val="1"/>
        </w:rPr>
        <w:t>三公”经费，是指部门安排的因公出</w:t>
      </w:r>
      <w:r>
        <w:rPr>
          <w:spacing w:val="6"/>
        </w:rPr>
        <w:t>国（境）费、公务用车购置及运行费和公务接待费。其中，</w:t>
      </w:r>
      <w:r>
        <w:rPr>
          <w:spacing w:val="-88"/>
        </w:rPr>
        <w:t xml:space="preserve"> </w:t>
      </w:r>
      <w:r>
        <w:rPr>
          <w:spacing w:val="6"/>
        </w:rPr>
        <w:t>因公</w:t>
      </w:r>
    </w:p>
    <w:p w14:paraId="7E4132FD">
      <w:pPr>
        <w:pStyle w:val="2"/>
        <w:spacing w:before="235" w:line="357" w:lineRule="auto"/>
        <w:ind w:right="66" w:firstLine="43"/>
        <w:jc w:val="both"/>
      </w:pPr>
      <w:r>
        <w:rPr>
          <w:spacing w:val="8"/>
        </w:rPr>
        <w:t>出国（境）费反映单位公务出国（境）的国际旅费、国外</w:t>
      </w:r>
      <w:r>
        <w:rPr>
          <w:spacing w:val="7"/>
        </w:rPr>
        <w:t>城市间</w:t>
      </w:r>
      <w:r>
        <w:rPr>
          <w:spacing w:val="9"/>
        </w:rPr>
        <w:t>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14:paraId="1254D540">
      <w:pPr>
        <w:spacing w:line="272" w:lineRule="auto"/>
        <w:rPr>
          <w:rFonts w:ascii="Arial"/>
          <w:sz w:val="21"/>
        </w:rPr>
      </w:pPr>
    </w:p>
    <w:p w14:paraId="44713598">
      <w:pPr>
        <w:spacing w:line="273" w:lineRule="auto"/>
        <w:rPr>
          <w:rFonts w:ascii="Arial"/>
          <w:sz w:val="21"/>
        </w:rPr>
      </w:pPr>
    </w:p>
    <w:p w14:paraId="52E1A354">
      <w:pPr>
        <w:spacing w:line="273" w:lineRule="auto"/>
        <w:rPr>
          <w:rFonts w:ascii="Arial"/>
          <w:sz w:val="21"/>
        </w:rPr>
      </w:pPr>
    </w:p>
    <w:p w14:paraId="1F52540E">
      <w:pPr>
        <w:spacing w:line="273" w:lineRule="auto"/>
        <w:rPr>
          <w:rFonts w:ascii="Arial"/>
          <w:sz w:val="21"/>
        </w:rPr>
      </w:pPr>
    </w:p>
    <w:p w14:paraId="691DCE8D">
      <w:pPr>
        <w:pStyle w:val="2"/>
        <w:spacing w:before="101" w:line="222" w:lineRule="auto"/>
        <w:ind w:left="5140"/>
      </w:pPr>
      <w:r>
        <w:rPr>
          <w:spacing w:val="6"/>
        </w:rPr>
        <w:t>井研县研经镇中心小学校</w:t>
      </w:r>
    </w:p>
    <w:p w14:paraId="416580F9">
      <w:pPr>
        <w:pStyle w:val="2"/>
        <w:spacing w:before="229" w:line="222" w:lineRule="auto"/>
        <w:ind w:left="5774"/>
      </w:pPr>
      <w:r>
        <w:rPr>
          <w:rFonts w:hint="eastAsia"/>
          <w:spacing w:val="-8"/>
          <w:lang w:eastAsia="zh-CN"/>
        </w:rPr>
        <w:t>2026</w:t>
      </w:r>
      <w:r>
        <w:rPr>
          <w:spacing w:val="-53"/>
        </w:rPr>
        <w:t xml:space="preserve"> </w:t>
      </w:r>
      <w:r>
        <w:rPr>
          <w:spacing w:val="-8"/>
        </w:rPr>
        <w:t>年</w:t>
      </w:r>
      <w:r>
        <w:rPr>
          <w:spacing w:val="-44"/>
        </w:rPr>
        <w:t xml:space="preserve"> </w:t>
      </w:r>
      <w:r>
        <w:rPr>
          <w:rFonts w:hint="eastAsia"/>
          <w:spacing w:val="-44"/>
          <w:lang w:val="en-US" w:eastAsia="zh-CN"/>
        </w:rPr>
        <w:t xml:space="preserve">2 </w:t>
      </w:r>
      <w:r>
        <w:rPr>
          <w:spacing w:val="-8"/>
        </w:rPr>
        <w:t>月</w:t>
      </w:r>
      <w:r>
        <w:rPr>
          <w:spacing w:val="-43"/>
        </w:rPr>
        <w:t xml:space="preserve"> </w:t>
      </w:r>
      <w:r>
        <w:rPr>
          <w:rFonts w:hint="eastAsia"/>
          <w:spacing w:val="-8"/>
          <w:lang w:val="en-US" w:eastAsia="zh-CN"/>
        </w:rPr>
        <w:t>25</w:t>
      </w:r>
      <w:r>
        <w:rPr>
          <w:spacing w:val="-8"/>
        </w:rPr>
        <w:t xml:space="preserve"> 日</w:t>
      </w:r>
    </w:p>
    <w:sectPr>
      <w:footerReference r:id="rId15" w:type="default"/>
      <w:pgSz w:w="11906" w:h="16839"/>
      <w:pgMar w:top="1431" w:right="1406" w:bottom="1456" w:left="1483" w:header="0" w:footer="109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5FE4A7">
    <w:pPr>
      <w:spacing w:line="235" w:lineRule="auto"/>
      <w:jc w:val="right"/>
      <w:rPr>
        <w:rFonts w:ascii="宋体" w:hAnsi="宋体" w:eastAsia="宋体" w:cs="宋体"/>
        <w:sz w:val="28"/>
        <w:szCs w:val="28"/>
      </w:rPr>
    </w:pPr>
    <w:r>
      <w:rPr>
        <w:rFonts w:ascii="宋体" w:hAnsi="宋体" w:eastAsia="宋体" w:cs="宋体"/>
        <w:spacing w:val="-3"/>
        <w:sz w:val="28"/>
        <w:szCs w:val="28"/>
      </w:rPr>
      <w:t>—1—</w: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8136DF">
    <w:pPr>
      <w:spacing w:line="233" w:lineRule="auto"/>
      <w:ind w:left="1"/>
      <w:rPr>
        <w:rFonts w:ascii="宋体" w:hAnsi="宋体" w:eastAsia="宋体" w:cs="宋体"/>
        <w:sz w:val="28"/>
        <w:szCs w:val="28"/>
      </w:rPr>
    </w:pPr>
    <w:r>
      <w:rPr>
        <w:rFonts w:ascii="宋体" w:hAnsi="宋体" w:eastAsia="宋体" w:cs="宋体"/>
        <w:spacing w:val="-2"/>
        <w:sz w:val="28"/>
        <w:szCs w:val="28"/>
      </w:rPr>
      <w:t>—10—</w: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0A4665">
    <w:pPr>
      <w:spacing w:line="235" w:lineRule="auto"/>
      <w:ind w:left="8118"/>
      <w:rPr>
        <w:rFonts w:ascii="宋体" w:hAnsi="宋体" w:eastAsia="宋体" w:cs="宋体"/>
        <w:sz w:val="28"/>
        <w:szCs w:val="28"/>
      </w:rPr>
    </w:pPr>
    <w:r>
      <w:rPr>
        <w:rFonts w:ascii="宋体" w:hAnsi="宋体" w:eastAsia="宋体" w:cs="宋体"/>
        <w:spacing w:val="-3"/>
        <w:sz w:val="28"/>
        <w:szCs w:val="28"/>
      </w:rPr>
      <w:t>—11—</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D1956D">
    <w:pPr>
      <w:spacing w:line="235" w:lineRule="auto"/>
      <w:ind w:left="16"/>
      <w:rPr>
        <w:rFonts w:ascii="宋体" w:hAnsi="宋体" w:eastAsia="宋体" w:cs="宋体"/>
        <w:sz w:val="28"/>
        <w:szCs w:val="28"/>
      </w:rPr>
    </w:pPr>
    <w:r>
      <w:rPr>
        <w:rFonts w:ascii="宋体" w:hAnsi="宋体" w:eastAsia="宋体" w:cs="宋体"/>
        <w:spacing w:val="-3"/>
        <w:sz w:val="28"/>
        <w:szCs w:val="28"/>
      </w:rPr>
      <w:t>—2—</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D50820">
    <w:pPr>
      <w:spacing w:line="233" w:lineRule="auto"/>
      <w:ind w:left="8247"/>
      <w:rPr>
        <w:rFonts w:ascii="宋体" w:hAnsi="宋体" w:eastAsia="宋体" w:cs="宋体"/>
        <w:sz w:val="28"/>
        <w:szCs w:val="28"/>
      </w:rPr>
    </w:pPr>
    <w:r>
      <w:rPr>
        <w:rFonts w:ascii="宋体" w:hAnsi="宋体" w:eastAsia="宋体" w:cs="宋体"/>
        <w:spacing w:val="-3"/>
        <w:sz w:val="28"/>
        <w:szCs w:val="28"/>
      </w:rPr>
      <w:t>—3—</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94A1FE">
    <w:pPr>
      <w:spacing w:line="235" w:lineRule="auto"/>
      <w:rPr>
        <w:rFonts w:ascii="宋体" w:hAnsi="宋体" w:eastAsia="宋体" w:cs="宋体"/>
        <w:sz w:val="28"/>
        <w:szCs w:val="28"/>
      </w:rPr>
    </w:pPr>
    <w:r>
      <w:rPr>
        <w:rFonts w:ascii="宋体" w:hAnsi="宋体" w:eastAsia="宋体" w:cs="宋体"/>
        <w:spacing w:val="-3"/>
        <w:sz w:val="28"/>
        <w:szCs w:val="28"/>
      </w:rPr>
      <w:t>—4—</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716C06">
    <w:pPr>
      <w:spacing w:line="233" w:lineRule="auto"/>
      <w:ind w:left="8259"/>
      <w:rPr>
        <w:rFonts w:ascii="宋体" w:hAnsi="宋体" w:eastAsia="宋体" w:cs="宋体"/>
        <w:sz w:val="28"/>
        <w:szCs w:val="28"/>
      </w:rPr>
    </w:pPr>
    <w:r>
      <w:rPr>
        <w:rFonts w:ascii="宋体" w:hAnsi="宋体" w:eastAsia="宋体" w:cs="宋体"/>
        <w:spacing w:val="-3"/>
        <w:sz w:val="28"/>
        <w:szCs w:val="28"/>
      </w:rPr>
      <w:t>—5—</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6EADBC">
    <w:pPr>
      <w:spacing w:line="233" w:lineRule="auto"/>
      <w:ind w:left="6"/>
      <w:rPr>
        <w:rFonts w:ascii="宋体" w:hAnsi="宋体" w:eastAsia="宋体" w:cs="宋体"/>
        <w:sz w:val="28"/>
        <w:szCs w:val="28"/>
      </w:rPr>
    </w:pPr>
    <w:r>
      <w:rPr>
        <w:rFonts w:ascii="宋体" w:hAnsi="宋体" w:eastAsia="宋体" w:cs="宋体"/>
        <w:spacing w:val="-3"/>
        <w:sz w:val="28"/>
        <w:szCs w:val="28"/>
      </w:rPr>
      <w:t>—6—</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A69C08">
    <w:pPr>
      <w:spacing w:line="233" w:lineRule="auto"/>
      <w:ind w:left="8258"/>
      <w:rPr>
        <w:rFonts w:ascii="宋体" w:hAnsi="宋体" w:eastAsia="宋体" w:cs="宋体"/>
        <w:sz w:val="28"/>
        <w:szCs w:val="28"/>
      </w:rPr>
    </w:pPr>
    <w:r>
      <w:rPr>
        <w:rFonts w:ascii="宋体" w:hAnsi="宋体" w:eastAsia="宋体" w:cs="宋体"/>
        <w:spacing w:val="-3"/>
        <w:sz w:val="28"/>
        <w:szCs w:val="28"/>
      </w:rPr>
      <w:t>—7—</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C282E0">
    <w:pPr>
      <w:spacing w:line="233" w:lineRule="auto"/>
      <w:ind w:left="6"/>
      <w:rPr>
        <w:rFonts w:ascii="宋体" w:hAnsi="宋体" w:eastAsia="宋体" w:cs="宋体"/>
        <w:sz w:val="28"/>
        <w:szCs w:val="28"/>
      </w:rPr>
    </w:pPr>
    <w:r>
      <w:rPr>
        <w:rFonts w:ascii="宋体" w:hAnsi="宋体" w:eastAsia="宋体" w:cs="宋体"/>
        <w:spacing w:val="-3"/>
        <w:sz w:val="28"/>
        <w:szCs w:val="28"/>
      </w:rPr>
      <w:t>—8—</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52AA18">
    <w:pPr>
      <w:spacing w:line="233" w:lineRule="auto"/>
      <w:ind w:left="8257"/>
      <w:rPr>
        <w:rFonts w:ascii="宋体" w:hAnsi="宋体" w:eastAsia="宋体" w:cs="宋体"/>
        <w:sz w:val="28"/>
        <w:szCs w:val="28"/>
      </w:rPr>
    </w:pPr>
    <w:r>
      <w:rPr>
        <w:rFonts w:ascii="宋体" w:hAnsi="宋体" w:eastAsia="宋体" w:cs="宋体"/>
        <w:spacing w:val="-3"/>
        <w:sz w:val="28"/>
        <w:szCs w:val="28"/>
      </w:rPr>
      <w:t>—9—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NotDisplayPageBoundaries w:val="1"/>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rsids>
    <w:rsidRoot w:val="00000000"/>
    <w:rsid w:val="582D32F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semiHidden/>
    <w:qFormat/>
    <w:uiPriority w:val="0"/>
    <w:rPr>
      <w:rFonts w:ascii="仿宋" w:hAnsi="仿宋" w:eastAsia="仿宋" w:cs="仿宋"/>
      <w:sz w:val="31"/>
      <w:szCs w:val="31"/>
      <w:lang w:val="en-US" w:eastAsia="en-US" w:bidi="ar-SA"/>
    </w:rPr>
  </w:style>
  <w:style w:type="table" w:customStyle="1" w:styleId="5">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theme" Target="theme/theme1.xml"/><Relationship Id="rId15" Type="http://schemas.openxmlformats.org/officeDocument/2006/relationships/footer" Target="footer11.xml"/><Relationship Id="rId14" Type="http://schemas.openxmlformats.org/officeDocument/2006/relationships/footer" Target="footer10.xml"/><Relationship Id="rId13" Type="http://schemas.openxmlformats.org/officeDocument/2006/relationships/footer" Target="footer9.xml"/><Relationship Id="rId12" Type="http://schemas.openxmlformats.org/officeDocument/2006/relationships/footer" Target="footer8.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11</Pages>
  <Words>4989</Words>
  <Characters>5229</Characters>
  <TotalTime>22</TotalTime>
  <ScaleCrop>false</ScaleCrop>
  <LinksUpToDate>false</LinksUpToDate>
  <CharactersWithSpaces>5396</CharactersWithSpaces>
  <Application>WPS Office_12.1.0.24657_F1E327BC-269C-435d-A152-05C5408002CA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2025-05-12T23:34:00Z</dcterms:created>
  <dc:creator>李永斌</dc:creator>
  <cp:lastModifiedBy>Rain</cp:lastModifiedBy>
  <dcterms:modified xsi:type="dcterms:W3CDTF">2026-02-25T05:11:15Z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wqlLaW5nc29mdCBQREYgdG8gV1BTIDExNQ</vt:lpwstr>
  </property>
  <property fmtid="{D5CDD505-2E9C-101B-9397-08002B2CF9AE}" pid="3" name="Created">
    <vt:filetime>2026-02-25T12:48:56Z</vt:filetime>
  </property>
  <property fmtid="{D5CDD505-2E9C-101B-9397-08002B2CF9AE}" pid="4" name="KSOTemplateDocerSaveRecord">
    <vt:lpwstr>eyJoZGlkIjoiYzFlYzU0ZWY2OTk0M2IwOGI2OGY0MWEzNDNiOWM4ODYiLCJ1c2VySWQiOiI0Nzk1ODQ5NzAifQ==</vt:lpwstr>
  </property>
  <property fmtid="{D5CDD505-2E9C-101B-9397-08002B2CF9AE}" pid="5" name="KSOProductBuildVer">
    <vt:lpwstr>2052-12.1.0.24657</vt:lpwstr>
  </property>
  <property fmtid="{D5CDD505-2E9C-101B-9397-08002B2CF9AE}" pid="6" name="ICV">
    <vt:lpwstr>D902F49E103541E8AB97C24DA6C99A30_12</vt:lpwstr>
  </property>
</Properties>
</file>