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rPr>
          <w:rFonts w:hint="eastAsia"/>
        </w:rPr>
      </w:pPr>
      <w:r>
        <w:rPr>
          <w:rFonts w:hint="eastAsia"/>
        </w:rPr>
        <w:t>附件4</w:t>
      </w:r>
    </w:p>
    <w:p>
      <w:pPr>
        <w:pStyle w:val="32"/>
      </w:pPr>
      <w:r>
        <w:rPr>
          <w:rFonts w:hint="eastAsia"/>
        </w:rPr>
        <w:t>关于四川省井研县高级职业中学</w:t>
      </w:r>
      <w:r>
        <w:br w:type="textWrapping"/>
      </w:r>
      <w:r>
        <w:rPr>
          <w:rFonts w:hint="eastAsia"/>
          <w:lang w:eastAsia="zh-CN"/>
        </w:rPr>
        <w:t>2026年</w:t>
      </w:r>
      <w:r>
        <w:rPr>
          <w:rFonts w:hint="eastAsia"/>
          <w:lang w:val="en-US" w:eastAsia="zh-CN"/>
        </w:rPr>
        <w:t>单位</w:t>
      </w:r>
      <w:r>
        <w:rPr>
          <w:rFonts w:hint="eastAsia"/>
        </w:rPr>
        <w:t>预算编制的说明</w:t>
      </w:r>
    </w:p>
    <w:p>
      <w:pPr>
        <w:spacing w:line="600" w:lineRule="exact"/>
        <w:ind w:firstLine="640" w:firstLineChars="200"/>
        <w:rPr>
          <w:rFonts w:ascii="仿宋_GB2312" w:eastAsia="仿宋_GB2312"/>
          <w:sz w:val="32"/>
          <w:szCs w:val="32"/>
        </w:rPr>
      </w:pPr>
    </w:p>
    <w:p>
      <w:pPr>
        <w:pStyle w:val="14"/>
      </w:pPr>
      <w:r>
        <w:rPr>
          <w:rFonts w:hint="eastAsia"/>
        </w:rPr>
        <w:t>按照预算管理有关规定，目前部门预算的编制实行综合预算制度，即全部收入和支出都反映在预算中。</w:t>
      </w:r>
    </w:p>
    <w:p>
      <w:pPr>
        <w:pStyle w:val="47"/>
        <w:numPr>
          <w:ilvl w:val="0"/>
          <w:numId w:val="0"/>
        </w:numPr>
        <w:ind w:left="637" w:leftChars="0"/>
      </w:pPr>
      <w:r>
        <w:rPr>
          <w:rFonts w:hint="eastAsia"/>
          <w:lang w:val="en-US" w:eastAsia="zh-CN"/>
        </w:rPr>
        <w:t>一、</w:t>
      </w:r>
      <w:r>
        <w:rPr>
          <w:rFonts w:hint="eastAsia"/>
        </w:rPr>
        <w:t>基本职能及主要工作</w:t>
      </w:r>
    </w:p>
    <w:p>
      <w:pPr>
        <w:pStyle w:val="14"/>
        <w:ind w:firstLine="643"/>
        <w:rPr>
          <w:rFonts w:hint="eastAsia" w:ascii="楷体_GB2312" w:eastAsia="楷体_GB2312"/>
          <w:b/>
        </w:rPr>
      </w:pPr>
      <w:bookmarkStart w:id="0" w:name="OLE_LINK1"/>
      <w:bookmarkStart w:id="1" w:name="OLE_LINK2"/>
      <w:r>
        <w:rPr>
          <w:rFonts w:hint="eastAsia" w:ascii="楷体_GB2312" w:eastAsia="楷体_GB2312"/>
          <w:b/>
        </w:rPr>
        <w:t>（一）</w:t>
      </w:r>
      <w:bookmarkEnd w:id="0"/>
      <w:bookmarkEnd w:id="1"/>
      <w:r>
        <w:rPr>
          <w:rFonts w:hint="eastAsia" w:ascii="楷体_GB2312" w:eastAsia="楷体_GB2312"/>
          <w:b/>
        </w:rPr>
        <w:t>基本职能</w:t>
      </w:r>
    </w:p>
    <w:p>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培养高中学历技术应用人才，提高社会职业素养。计算机技术、机械、电子等高中学历教育，相关职业培训。</w:t>
      </w:r>
    </w:p>
    <w:p>
      <w:pPr>
        <w:pStyle w:val="14"/>
        <w:ind w:firstLine="643"/>
        <w:rPr>
          <w:rFonts w:hint="eastAsia" w:ascii="楷体_GB2312" w:eastAsia="楷体_GB2312"/>
          <w:b/>
        </w:rPr>
      </w:pPr>
      <w:r>
        <w:rPr>
          <w:rFonts w:hint="eastAsia" w:ascii="楷体_GB2312" w:eastAsia="楷体_GB2312"/>
          <w:b/>
        </w:rPr>
        <w:t>（二）</w:t>
      </w:r>
      <w:r>
        <w:rPr>
          <w:rFonts w:hint="eastAsia" w:ascii="楷体_GB2312" w:eastAsia="楷体_GB2312"/>
          <w:b/>
          <w:lang w:eastAsia="zh-CN"/>
        </w:rPr>
        <w:t>2026</w:t>
      </w:r>
      <w:r>
        <w:rPr>
          <w:rFonts w:hint="eastAsia" w:ascii="楷体_GB2312" w:eastAsia="楷体_GB2312"/>
          <w:b/>
        </w:rPr>
        <w:t>年主要工作</w:t>
      </w:r>
    </w:p>
    <w:p>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1.以党建工作带队伍建设，提高政治站位，坚守“为党育人，为国育才”理念。</w:t>
      </w:r>
    </w:p>
    <w:p>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2.立德树人，坚持德育为先，强化德育工作。</w:t>
      </w:r>
    </w:p>
    <w:p>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3.狠抓教育教学管理，提高教学质量，促进学校高品质发展。</w:t>
      </w:r>
    </w:p>
    <w:p>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4.搞好招生就业，扩大办学规模。</w:t>
      </w:r>
    </w:p>
    <w:p>
      <w:pPr>
        <w:pStyle w:val="14"/>
        <w:ind w:firstLine="643"/>
        <w:rPr>
          <w:rFonts w:hint="eastAsia" w:hAnsi="宋体" w:cs="宋体"/>
          <w:kern w:val="0"/>
          <w:sz w:val="32"/>
          <w:szCs w:val="32"/>
          <w:lang w:eastAsia="zh-CN"/>
        </w:rPr>
      </w:pPr>
      <w:r>
        <w:rPr>
          <w:rFonts w:hint="eastAsia" w:ascii="仿宋" w:hAnsi="仿宋" w:eastAsia="仿宋" w:cs="仿宋"/>
          <w:sz w:val="32"/>
          <w:szCs w:val="32"/>
          <w:lang w:val="en-US" w:eastAsia="zh-CN"/>
        </w:rPr>
        <w:t>5.后勤服务规范化、制度化。</w:t>
      </w:r>
    </w:p>
    <w:p>
      <w:pPr>
        <w:pStyle w:val="47"/>
        <w:numPr>
          <w:ilvl w:val="0"/>
          <w:numId w:val="0"/>
        </w:numPr>
        <w:ind w:left="637" w:leftChars="0"/>
      </w:pPr>
      <w:r>
        <w:rPr>
          <w:rFonts w:hint="eastAsia"/>
          <w:lang w:val="en-US" w:eastAsia="zh-CN"/>
        </w:rPr>
        <w:t>二、单位</w:t>
      </w:r>
      <w:r>
        <w:rPr>
          <w:rFonts w:hint="eastAsia"/>
        </w:rPr>
        <w:t>概况</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四川省井研县高级职业中学属二级预算单位，无下属预算单位。</w:t>
      </w:r>
    </w:p>
    <w:p>
      <w:pPr>
        <w:bidi w:val="0"/>
        <w:ind w:firstLine="640" w:firstLineChars="200"/>
        <w:rPr>
          <w:rFonts w:hint="eastAsia" w:ascii="仿宋" w:hAnsi="仿宋" w:eastAsia="仿宋" w:cs="仿宋"/>
          <w:sz w:val="32"/>
          <w:szCs w:val="32"/>
        </w:rPr>
      </w:pPr>
    </w:p>
    <w:p>
      <w:pPr>
        <w:pStyle w:val="47"/>
        <w:numPr>
          <w:ilvl w:val="0"/>
          <w:numId w:val="0"/>
        </w:numPr>
        <w:ind w:left="637" w:leftChars="0"/>
      </w:pPr>
      <w:r>
        <w:rPr>
          <w:rFonts w:hint="eastAsia"/>
          <w:lang w:val="en-US" w:eastAsia="zh-CN"/>
        </w:rPr>
        <w:t>三、</w:t>
      </w:r>
      <w:r>
        <w:rPr>
          <w:rFonts w:hint="eastAsia"/>
        </w:rPr>
        <w:t>收支预算总体情况</w:t>
      </w:r>
    </w:p>
    <w:p>
      <w:pPr>
        <w:pStyle w:val="14"/>
        <w:rPr>
          <w:rFonts w:hint="eastAsia"/>
        </w:rPr>
      </w:pPr>
      <w:r>
        <w:rPr>
          <w:rFonts w:hint="eastAsia"/>
        </w:rPr>
        <w:t>按照综合预算的原则，</w:t>
      </w:r>
      <w:r>
        <w:rPr>
          <w:rFonts w:hint="eastAsia" w:ascii="仿宋" w:hAnsi="仿宋" w:eastAsia="仿宋" w:cs="仿宋"/>
          <w:sz w:val="32"/>
          <w:szCs w:val="32"/>
        </w:rPr>
        <w:t>四川省井研县高级职业中学</w:t>
      </w:r>
      <w:r>
        <w:rPr>
          <w:rFonts w:hint="eastAsia"/>
        </w:rPr>
        <w:t>所有收入和支出均纳入单位预算管理。</w:t>
      </w:r>
      <w:r>
        <w:rPr>
          <w:rFonts w:hint="eastAsia"/>
          <w:lang w:eastAsia="zh-CN"/>
        </w:rPr>
        <w:t>2026</w:t>
      </w:r>
      <w:r>
        <w:rPr>
          <w:rFonts w:hint="eastAsia"/>
        </w:rPr>
        <w:t>年</w:t>
      </w:r>
      <w:r>
        <w:rPr>
          <w:rFonts w:hint="eastAsia" w:ascii="仿宋" w:hAnsi="仿宋" w:eastAsia="仿宋" w:cs="仿宋"/>
          <w:sz w:val="32"/>
          <w:szCs w:val="32"/>
        </w:rPr>
        <w:t>四川省井研县高级职业中学</w:t>
      </w:r>
      <w:r>
        <w:rPr>
          <w:rFonts w:hint="eastAsia"/>
        </w:rPr>
        <w:t>收入预算总额为</w:t>
      </w:r>
      <w:r>
        <w:rPr>
          <w:rFonts w:hint="eastAsia"/>
          <w:b/>
          <w:bCs/>
          <w:color w:val="FF0000"/>
        </w:rPr>
        <w:t>1984.47</w:t>
      </w:r>
      <w:r>
        <w:rPr>
          <w:rFonts w:hint="eastAsia"/>
          <w:lang w:val="en-US" w:eastAsia="zh-CN"/>
        </w:rPr>
        <w:t>.2212.47</w:t>
      </w:r>
      <w:r>
        <w:rPr>
          <w:rFonts w:hint="eastAsia"/>
        </w:rPr>
        <w:t>万元，较上年预算数</w:t>
      </w:r>
      <w:r>
        <w:rPr>
          <w:rFonts w:hint="eastAsia"/>
          <w:lang w:val="en-US" w:eastAsia="zh-CN"/>
        </w:rPr>
        <w:t>增加228万元</w:t>
      </w:r>
      <w:r>
        <w:rPr>
          <w:rFonts w:hint="eastAsia"/>
        </w:rPr>
        <w:t>。其中：当年财政拨款收入</w:t>
      </w:r>
      <w:r>
        <w:rPr>
          <w:rFonts w:hint="eastAsia"/>
          <w:lang w:val="en-US" w:eastAsia="zh-CN"/>
        </w:rPr>
        <w:t>1707.86</w:t>
      </w:r>
      <w:r>
        <w:rPr>
          <w:rFonts w:hint="eastAsia"/>
        </w:rPr>
        <w:t>万元，占</w:t>
      </w:r>
      <w:r>
        <w:rPr>
          <w:rFonts w:hint="eastAsia"/>
          <w:lang w:val="en-US" w:eastAsia="zh-CN"/>
        </w:rPr>
        <w:t>77.19</w:t>
      </w:r>
      <w:r>
        <w:rPr>
          <w:rFonts w:hint="eastAsia"/>
        </w:rPr>
        <w:t>%</w:t>
      </w:r>
      <w:r>
        <w:rPr>
          <w:rFonts w:hint="eastAsia"/>
          <w:lang w:eastAsia="zh-CN"/>
        </w:rPr>
        <w:t>，</w:t>
      </w:r>
      <w:r>
        <w:rPr>
          <w:rFonts w:hint="eastAsia" w:cs="Times New Roman"/>
        </w:rPr>
        <w:t>上年结转</w:t>
      </w:r>
      <w:r>
        <w:rPr>
          <w:rFonts w:hint="eastAsia" w:cs="Times New Roman"/>
          <w:lang w:val="en-US" w:eastAsia="zh-CN"/>
        </w:rPr>
        <w:t>459</w:t>
      </w:r>
      <w:r>
        <w:rPr>
          <w:rFonts w:hint="eastAsia" w:cs="Times New Roman"/>
        </w:rPr>
        <w:t>万元，占</w:t>
      </w:r>
      <w:r>
        <w:rPr>
          <w:rFonts w:hint="eastAsia" w:cs="Times New Roman"/>
          <w:lang w:val="en-US" w:eastAsia="zh-CN"/>
        </w:rPr>
        <w:t>20.75</w:t>
      </w:r>
      <w:r>
        <w:rPr>
          <w:rFonts w:hint="eastAsia" w:cs="Times New Roman"/>
        </w:rPr>
        <w:t>%</w:t>
      </w:r>
      <w:r>
        <w:rPr>
          <w:rFonts w:hint="eastAsia" w:cs="Times New Roman"/>
          <w:lang w:eastAsia="zh-CN"/>
        </w:rPr>
        <w:t>，事业收入</w:t>
      </w:r>
      <w:r>
        <w:rPr>
          <w:rFonts w:hint="eastAsia" w:cs="Times New Roman"/>
          <w:lang w:val="en-US" w:eastAsia="zh-CN"/>
        </w:rPr>
        <w:t>45.60</w:t>
      </w:r>
      <w:r>
        <w:rPr>
          <w:rFonts w:hint="eastAsia" w:cs="Times New Roman"/>
          <w:lang w:eastAsia="zh-CN"/>
        </w:rPr>
        <w:t>万元，占</w:t>
      </w:r>
      <w:r>
        <w:rPr>
          <w:rFonts w:hint="eastAsia" w:cs="Times New Roman"/>
          <w:lang w:val="en-US" w:eastAsia="zh-CN"/>
        </w:rPr>
        <w:t>2.06</w:t>
      </w:r>
      <w:r>
        <w:rPr>
          <w:rFonts w:hint="eastAsia" w:cs="Times New Roman"/>
          <w:lang w:eastAsia="zh-CN"/>
        </w:rPr>
        <w:t>%</w:t>
      </w:r>
      <w:r>
        <w:rPr>
          <w:rFonts w:hint="eastAsia"/>
        </w:rPr>
        <w:t>。相应安排支出预算</w:t>
      </w:r>
      <w:r>
        <w:rPr>
          <w:rFonts w:hint="eastAsia"/>
          <w:lang w:val="en-US" w:eastAsia="zh-CN"/>
        </w:rPr>
        <w:t>2212.47</w:t>
      </w:r>
      <w:r>
        <w:rPr>
          <w:rFonts w:hint="eastAsia"/>
        </w:rPr>
        <w:t>万元，其中：基本支出</w:t>
      </w:r>
      <w:r>
        <w:rPr>
          <w:rFonts w:hint="eastAsia"/>
          <w:lang w:val="en-US" w:eastAsia="zh-CN"/>
        </w:rPr>
        <w:t>1084.64</w:t>
      </w:r>
      <w:r>
        <w:rPr>
          <w:rFonts w:hint="eastAsia"/>
        </w:rPr>
        <w:t>万元，占</w:t>
      </w:r>
      <w:r>
        <w:rPr>
          <w:rFonts w:hint="eastAsia"/>
          <w:lang w:val="en-US" w:eastAsia="zh-CN"/>
        </w:rPr>
        <w:t>49.02</w:t>
      </w:r>
      <w:r>
        <w:rPr>
          <w:rFonts w:hint="eastAsia"/>
        </w:rPr>
        <w:t>%；项目支出</w:t>
      </w:r>
      <w:r>
        <w:rPr>
          <w:rFonts w:hint="eastAsia"/>
          <w:lang w:val="en-US" w:eastAsia="zh-CN"/>
        </w:rPr>
        <w:t>1127.82</w:t>
      </w:r>
      <w:r>
        <w:rPr>
          <w:rFonts w:hint="eastAsia"/>
        </w:rPr>
        <w:t>万元，占</w:t>
      </w:r>
      <w:r>
        <w:rPr>
          <w:rFonts w:hint="eastAsia"/>
          <w:lang w:val="en-US" w:eastAsia="zh-CN"/>
        </w:rPr>
        <w:t>50.98</w:t>
      </w:r>
      <w:r>
        <w:rPr>
          <w:rFonts w:hint="eastAsia"/>
        </w:rPr>
        <w:t>%。</w:t>
      </w:r>
    </w:p>
    <w:p>
      <w:pPr>
        <w:pStyle w:val="47"/>
        <w:numPr>
          <w:ilvl w:val="0"/>
          <w:numId w:val="0"/>
        </w:numPr>
        <w:ind w:left="637" w:leftChars="0"/>
      </w:pPr>
      <w:r>
        <w:rPr>
          <w:rFonts w:hint="eastAsia"/>
          <w:lang w:val="en-US" w:eastAsia="zh-CN"/>
        </w:rPr>
        <w:t>四、</w:t>
      </w:r>
      <w:r>
        <w:rPr>
          <w:rFonts w:hint="eastAsia"/>
        </w:rPr>
        <w:t>财政拨款支出预算安排情况</w:t>
      </w:r>
    </w:p>
    <w:p>
      <w:pPr>
        <w:pStyle w:val="14"/>
      </w:pPr>
      <w:r>
        <w:rPr>
          <w:rFonts w:hint="eastAsia" w:ascii="仿宋" w:hAnsi="仿宋" w:eastAsia="仿宋" w:cs="仿宋"/>
          <w:sz w:val="32"/>
          <w:szCs w:val="32"/>
        </w:rPr>
        <w:t>四川省井研县高级职业中学</w:t>
      </w:r>
      <w:r>
        <w:rPr>
          <w:rFonts w:hint="eastAsia"/>
          <w:lang w:eastAsia="zh-CN"/>
        </w:rPr>
        <w:t>2026年</w:t>
      </w:r>
      <w:r>
        <w:rPr>
          <w:rFonts w:hint="eastAsia"/>
        </w:rPr>
        <w:t>财政拨款收支总预算</w:t>
      </w:r>
      <w:r>
        <w:rPr>
          <w:rFonts w:hint="eastAsia"/>
          <w:lang w:val="en-US" w:eastAsia="zh-CN"/>
        </w:rPr>
        <w:t>2166.86</w:t>
      </w:r>
      <w:r>
        <w:rPr>
          <w:rFonts w:hint="eastAsia"/>
        </w:rPr>
        <w:t>万元，主要用于保障该部门机构正常运转、完成日常工作任务以及承担</w:t>
      </w:r>
      <w:r>
        <w:rPr>
          <w:rFonts w:hint="eastAsia"/>
          <w:lang w:val="en-US" w:eastAsia="zh-CN"/>
        </w:rPr>
        <w:t>单位</w:t>
      </w:r>
      <w:r>
        <w:rPr>
          <w:rFonts w:hint="eastAsia"/>
        </w:rPr>
        <w:t>事业发展相关工作。其中：</w:t>
      </w:r>
    </w:p>
    <w:p>
      <w:pPr>
        <w:pStyle w:val="14"/>
      </w:pPr>
      <w:r>
        <w:rPr>
          <w:rFonts w:hint="eastAsia"/>
        </w:rPr>
        <w:t>基本支出，是用于保障</w:t>
      </w:r>
      <w:r>
        <w:rPr>
          <w:rFonts w:hint="eastAsia" w:ascii="仿宋" w:hAnsi="仿宋" w:eastAsia="仿宋" w:cs="仿宋"/>
          <w:sz w:val="32"/>
          <w:szCs w:val="32"/>
        </w:rPr>
        <w:t>四川省井研县高级职业中学</w:t>
      </w:r>
      <w:r>
        <w:rPr>
          <w:rFonts w:hint="eastAsia"/>
        </w:rPr>
        <w:t>机关、下属事业单位等机构正常运转的日常支出，包括基本工资、津贴补贴等人员经费以及办公费、印刷费、水电费、办公设备购置等日常公用经费。</w:t>
      </w:r>
    </w:p>
    <w:p>
      <w:pPr>
        <w:pStyle w:val="14"/>
        <w:rPr>
          <w:rFonts w:hint="eastAsia"/>
        </w:rPr>
      </w:pPr>
      <w:r>
        <w:rPr>
          <w:rFonts w:hint="eastAsia"/>
        </w:rPr>
        <w:t>项目支出，是用于保障</w:t>
      </w:r>
      <w:r>
        <w:rPr>
          <w:rFonts w:hint="eastAsia" w:ascii="仿宋" w:hAnsi="仿宋" w:eastAsia="仿宋" w:cs="仿宋"/>
          <w:sz w:val="32"/>
          <w:szCs w:val="32"/>
        </w:rPr>
        <w:t>四川省井研县高级职业中学</w:t>
      </w:r>
      <w:r>
        <w:rPr>
          <w:rFonts w:hint="eastAsia"/>
        </w:rPr>
        <w:t>机关、下属事业单位等机构为完成特定的行政工作任务或事业发展目标，用于专项业务工作的经费支出。</w:t>
      </w:r>
    </w:p>
    <w:p>
      <w:pPr>
        <w:pStyle w:val="47"/>
        <w:numPr>
          <w:ilvl w:val="0"/>
          <w:numId w:val="0"/>
        </w:numPr>
        <w:ind w:left="637" w:leftChars="0"/>
        <w:rPr>
          <w:rFonts w:hint="eastAsia"/>
        </w:rPr>
      </w:pPr>
      <w:r>
        <w:rPr>
          <w:rFonts w:hint="eastAsia"/>
          <w:lang w:val="en-US" w:eastAsia="zh-CN"/>
        </w:rPr>
        <w:t>五、</w:t>
      </w:r>
      <w:r>
        <w:rPr>
          <w:rFonts w:hint="eastAsia"/>
        </w:rPr>
        <w:t>一般公共预算当年拨款情况说明</w:t>
      </w:r>
    </w:p>
    <w:p>
      <w:pPr>
        <w:pStyle w:val="46"/>
        <w:numPr>
          <w:ilvl w:val="0"/>
          <w:numId w:val="0"/>
        </w:numPr>
        <w:ind w:firstLine="640" w:firstLineChars="200"/>
        <w:rPr>
          <w:rFonts w:hint="eastAsia"/>
        </w:rPr>
      </w:pPr>
      <w:r>
        <w:rPr>
          <w:rFonts w:hint="eastAsia"/>
          <w:lang w:eastAsia="zh-CN"/>
        </w:rPr>
        <w:t>（</w:t>
      </w:r>
      <w:r>
        <w:rPr>
          <w:rFonts w:hint="eastAsia"/>
          <w:lang w:val="en-US" w:eastAsia="zh-CN"/>
        </w:rPr>
        <w:t>一</w:t>
      </w:r>
      <w:r>
        <w:rPr>
          <w:rFonts w:hint="eastAsia"/>
          <w:lang w:eastAsia="zh-CN"/>
        </w:rPr>
        <w:t>）</w:t>
      </w:r>
      <w:r>
        <w:rPr>
          <w:rFonts w:hint="eastAsia"/>
        </w:rPr>
        <w:t>一般公共预算当年拨款规模及变化情况。</w:t>
      </w:r>
    </w:p>
    <w:p>
      <w:pPr>
        <w:pStyle w:val="14"/>
        <w:rPr>
          <w:rFonts w:hint="eastAsia"/>
        </w:rPr>
      </w:pPr>
      <w:r>
        <w:rPr>
          <w:rFonts w:hint="eastAsia"/>
        </w:rPr>
        <w:t>四川省井研县高级职业中学</w:t>
      </w:r>
      <w:r>
        <w:rPr>
          <w:rFonts w:hint="eastAsia"/>
          <w:lang w:eastAsia="zh-CN"/>
        </w:rPr>
        <w:t>2026</w:t>
      </w:r>
      <w:r>
        <w:rPr>
          <w:rFonts w:hint="eastAsia"/>
        </w:rPr>
        <w:t>年一般公共预算当年拨款</w:t>
      </w:r>
      <w:r>
        <w:rPr>
          <w:rFonts w:hint="eastAsia"/>
          <w:b/>
          <w:bCs/>
          <w:color w:val="FF0000"/>
        </w:rPr>
        <w:t>1479.84</w:t>
      </w:r>
      <w:r>
        <w:rPr>
          <w:rFonts w:hint="eastAsia"/>
          <w:b w:val="0"/>
          <w:bCs w:val="0"/>
          <w:color w:val="auto"/>
          <w:lang w:val="en-US" w:eastAsia="zh-CN"/>
        </w:rPr>
        <w:t>2166.86</w:t>
      </w:r>
      <w:r>
        <w:rPr>
          <w:rFonts w:hint="eastAsia"/>
        </w:rPr>
        <w:t>万元，比2024年预算数</w:t>
      </w:r>
      <w:r>
        <w:rPr>
          <w:rFonts w:hint="eastAsia"/>
          <w:lang w:eastAsia="zh-CN"/>
        </w:rPr>
        <w:t>增加</w:t>
      </w:r>
      <w:r>
        <w:rPr>
          <w:rFonts w:hint="eastAsia"/>
          <w:lang w:val="en-US" w:eastAsia="zh-CN"/>
        </w:rPr>
        <w:t>687.02</w:t>
      </w:r>
      <w:r>
        <w:rPr>
          <w:rFonts w:hint="eastAsia"/>
        </w:rPr>
        <w:t>万元。主要原因是</w:t>
      </w:r>
      <w:r>
        <w:rPr>
          <w:rFonts w:hint="eastAsia"/>
          <w:lang w:val="en-US" w:eastAsia="zh-CN"/>
        </w:rPr>
        <w:t>项目支出预算增加</w:t>
      </w:r>
      <w:r>
        <w:rPr>
          <w:rFonts w:hint="eastAsia"/>
        </w:rPr>
        <w:t>。</w:t>
      </w:r>
    </w:p>
    <w:p>
      <w:pPr>
        <w:pStyle w:val="46"/>
        <w:numPr>
          <w:ilvl w:val="0"/>
          <w:numId w:val="0"/>
        </w:numPr>
        <w:ind w:firstLine="640" w:firstLineChars="200"/>
        <w:rPr>
          <w:rFonts w:hint="eastAsia"/>
        </w:rPr>
      </w:pPr>
      <w:r>
        <w:rPr>
          <w:rFonts w:hint="eastAsia"/>
          <w:lang w:eastAsia="zh-CN"/>
        </w:rPr>
        <w:t>（</w:t>
      </w:r>
      <w:r>
        <w:rPr>
          <w:rFonts w:hint="eastAsia"/>
          <w:lang w:val="en-US" w:eastAsia="zh-CN"/>
        </w:rPr>
        <w:t>二</w:t>
      </w:r>
      <w:r>
        <w:rPr>
          <w:rFonts w:hint="eastAsia"/>
          <w:lang w:eastAsia="zh-CN"/>
        </w:rPr>
        <w:t>）</w:t>
      </w:r>
      <w:r>
        <w:rPr>
          <w:rFonts w:hint="eastAsia"/>
        </w:rPr>
        <w:t>一般公共预算当年拨款结构情况</w:t>
      </w:r>
    </w:p>
    <w:p>
      <w:pPr>
        <w:pStyle w:val="14"/>
        <w:rPr>
          <w:rFonts w:hint="eastAsia"/>
        </w:rPr>
      </w:pPr>
      <w:r>
        <w:rPr>
          <w:rFonts w:hint="eastAsia"/>
        </w:rPr>
        <w:t> 教育支出</w:t>
      </w:r>
      <w:r>
        <w:rPr>
          <w:rFonts w:hint="eastAsia"/>
          <w:lang w:val="en-US" w:eastAsia="zh-CN"/>
        </w:rPr>
        <w:t>1841.09</w:t>
      </w:r>
      <w:r>
        <w:rPr>
          <w:rFonts w:hint="eastAsia"/>
        </w:rPr>
        <w:t>万元，占</w:t>
      </w:r>
      <w:r>
        <w:rPr>
          <w:rFonts w:hint="eastAsia"/>
          <w:lang w:val="en-US" w:eastAsia="zh-CN"/>
        </w:rPr>
        <w:t>84.97</w:t>
      </w:r>
      <w:r>
        <w:rPr>
          <w:rFonts w:hint="eastAsia"/>
        </w:rPr>
        <w:t>%、 卫生健康支出</w:t>
      </w:r>
      <w:r>
        <w:rPr>
          <w:rFonts w:hint="eastAsia"/>
          <w:lang w:val="en-US" w:eastAsia="zh-CN"/>
        </w:rPr>
        <w:t>56.9</w:t>
      </w:r>
      <w:r>
        <w:rPr>
          <w:rFonts w:hint="eastAsia"/>
        </w:rPr>
        <w:t>万元，占</w:t>
      </w:r>
      <w:r>
        <w:rPr>
          <w:rFonts w:hint="eastAsia"/>
          <w:lang w:val="en-US" w:eastAsia="zh-CN"/>
        </w:rPr>
        <w:t>2.63</w:t>
      </w:r>
      <w:r>
        <w:rPr>
          <w:rFonts w:hint="eastAsia"/>
        </w:rPr>
        <w:t>%、 住房保障支出</w:t>
      </w:r>
      <w:r>
        <w:rPr>
          <w:rFonts w:hint="eastAsia"/>
          <w:lang w:val="en-US" w:eastAsia="zh-CN"/>
        </w:rPr>
        <w:t>97.49</w:t>
      </w:r>
      <w:r>
        <w:rPr>
          <w:rFonts w:hint="eastAsia"/>
        </w:rPr>
        <w:t>万元，占</w:t>
      </w:r>
      <w:r>
        <w:rPr>
          <w:rFonts w:hint="eastAsia"/>
          <w:lang w:val="en-US" w:eastAsia="zh-CN"/>
        </w:rPr>
        <w:t>4.50</w:t>
      </w:r>
      <w:r>
        <w:rPr>
          <w:rFonts w:hint="eastAsia"/>
        </w:rPr>
        <w:t>%、 社会保障和就业支出</w:t>
      </w:r>
      <w:r>
        <w:rPr>
          <w:rFonts w:hint="eastAsia"/>
          <w:lang w:val="en-US" w:eastAsia="zh-CN"/>
        </w:rPr>
        <w:t>171.37</w:t>
      </w:r>
      <w:r>
        <w:rPr>
          <w:rFonts w:hint="eastAsia"/>
        </w:rPr>
        <w:t>万元，占</w:t>
      </w:r>
      <w:r>
        <w:rPr>
          <w:rFonts w:hint="eastAsia"/>
          <w:lang w:val="en-US" w:eastAsia="zh-CN"/>
        </w:rPr>
        <w:t>7.91</w:t>
      </w:r>
      <w:r>
        <w:rPr>
          <w:rFonts w:hint="eastAsia"/>
        </w:rPr>
        <w:t>%。</w:t>
      </w:r>
    </w:p>
    <w:p>
      <w:pPr>
        <w:pStyle w:val="46"/>
        <w:numPr>
          <w:ilvl w:val="0"/>
          <w:numId w:val="0"/>
        </w:numPr>
        <w:ind w:firstLine="640" w:firstLineChars="200"/>
        <w:rPr>
          <w:rFonts w:hint="eastAsia"/>
        </w:rPr>
      </w:pPr>
      <w:r>
        <w:rPr>
          <w:rFonts w:hint="eastAsia"/>
          <w:lang w:eastAsia="zh-CN"/>
        </w:rPr>
        <w:t>（</w:t>
      </w:r>
      <w:r>
        <w:rPr>
          <w:rFonts w:hint="eastAsia"/>
          <w:lang w:val="en-US" w:eastAsia="zh-CN"/>
        </w:rPr>
        <w:t>三</w:t>
      </w:r>
      <w:r>
        <w:rPr>
          <w:rFonts w:hint="eastAsia"/>
          <w:lang w:eastAsia="zh-CN"/>
        </w:rPr>
        <w:t>）</w:t>
      </w:r>
      <w:r>
        <w:rPr>
          <w:rFonts w:hint="eastAsia"/>
        </w:rPr>
        <w:t>一般公共预算当年拨款具体使用情况。</w:t>
      </w:r>
    </w:p>
    <w:p>
      <w:pPr>
        <w:pStyle w:val="14"/>
        <w:rPr>
          <w:rFonts w:hint="eastAsia"/>
        </w:rPr>
      </w:pPr>
      <w:r>
        <w:rPr>
          <w:rFonts w:hint="eastAsia"/>
        </w:rPr>
        <w:t>1.教育支出（类）职业教育（款）中等职业教育（项）</w:t>
      </w:r>
      <w:r>
        <w:rPr>
          <w:rFonts w:hint="eastAsia"/>
          <w:lang w:eastAsia="zh-CN"/>
        </w:rPr>
        <w:t>2026</w:t>
      </w:r>
      <w:r>
        <w:rPr>
          <w:rFonts w:hint="eastAsia"/>
        </w:rPr>
        <w:t>年预算数为</w:t>
      </w:r>
      <w:r>
        <w:rPr>
          <w:rFonts w:hint="eastAsia"/>
          <w:lang w:val="en-US" w:eastAsia="zh-CN"/>
        </w:rPr>
        <w:t>1591.09</w:t>
      </w:r>
      <w:r>
        <w:rPr>
          <w:rFonts w:hint="eastAsia"/>
        </w:rPr>
        <w:t>万元，主要用于：各部门（不含人力资源社会保障部门）举办的中等职业教育支出。政府各部门对社会组织等举办的中等职业学校的资助，如捐赠、补贴等，也在本科目中反映。</w:t>
      </w:r>
    </w:p>
    <w:p>
      <w:pPr>
        <w:pStyle w:val="14"/>
        <w:rPr>
          <w:rFonts w:hint="eastAsia"/>
        </w:rPr>
      </w:pPr>
      <w:r>
        <w:rPr>
          <w:rFonts w:hint="eastAsia"/>
        </w:rPr>
        <w:t>2.教育支出（类）教育费附加安排的支出（款）中等职业学校教学设施（项）</w:t>
      </w:r>
      <w:r>
        <w:rPr>
          <w:rFonts w:hint="eastAsia"/>
          <w:lang w:eastAsia="zh-CN"/>
        </w:rPr>
        <w:t>2026</w:t>
      </w:r>
      <w:r>
        <w:rPr>
          <w:rFonts w:hint="eastAsia"/>
        </w:rPr>
        <w:t>年预算数为</w:t>
      </w:r>
      <w:r>
        <w:rPr>
          <w:rFonts w:hint="eastAsia"/>
          <w:lang w:val="en-US" w:eastAsia="zh-CN"/>
        </w:rPr>
        <w:t>250</w:t>
      </w:r>
      <w:r>
        <w:rPr>
          <w:rFonts w:hint="eastAsia"/>
        </w:rPr>
        <w:t>万元，主要用于：教育费附加安排用于中等职业学校教学设施的支出。</w:t>
      </w:r>
    </w:p>
    <w:p>
      <w:pPr>
        <w:pStyle w:val="14"/>
        <w:rPr>
          <w:rFonts w:hint="eastAsia"/>
        </w:rPr>
      </w:pPr>
      <w:r>
        <w:rPr>
          <w:rFonts w:hint="eastAsia"/>
        </w:rPr>
        <w:t>3.社会保障和就业支出（类）行政事业单位养老支出（款）机关事业单位基本养老保险缴费支出（项）</w:t>
      </w:r>
      <w:r>
        <w:rPr>
          <w:rFonts w:hint="eastAsia"/>
          <w:lang w:eastAsia="zh-CN"/>
        </w:rPr>
        <w:t>2026</w:t>
      </w:r>
      <w:r>
        <w:rPr>
          <w:rFonts w:hint="eastAsia"/>
        </w:rPr>
        <w:t>年预算数为</w:t>
      </w:r>
      <w:r>
        <w:rPr>
          <w:rFonts w:hint="eastAsia"/>
          <w:lang w:val="en-US" w:eastAsia="zh-CN"/>
        </w:rPr>
        <w:t>114.25</w:t>
      </w:r>
      <w:r>
        <w:rPr>
          <w:rFonts w:hint="eastAsia"/>
        </w:rPr>
        <w:t>万元，主要用于：机关事业单位实施养老保险制度由单位缴纳的基本养老保险费支出。</w:t>
      </w:r>
    </w:p>
    <w:p>
      <w:pPr>
        <w:pStyle w:val="14"/>
        <w:rPr>
          <w:rFonts w:hint="eastAsia"/>
        </w:rPr>
      </w:pPr>
      <w:r>
        <w:rPr>
          <w:rFonts w:hint="eastAsia"/>
        </w:rPr>
        <w:t>4.社会保障和就业支出（类）行政事业单位养老支出（款）机关事业单位职业年金缴费支出（项）</w:t>
      </w:r>
      <w:r>
        <w:rPr>
          <w:rFonts w:hint="eastAsia"/>
          <w:lang w:eastAsia="zh-CN"/>
        </w:rPr>
        <w:t>2026</w:t>
      </w:r>
      <w:r>
        <w:rPr>
          <w:rFonts w:hint="eastAsia"/>
        </w:rPr>
        <w:t>年预算数为</w:t>
      </w:r>
      <w:r>
        <w:rPr>
          <w:rFonts w:hint="eastAsia"/>
          <w:lang w:val="en-US" w:eastAsia="zh-CN"/>
        </w:rPr>
        <w:t>57.12</w:t>
      </w:r>
      <w:r>
        <w:rPr>
          <w:rFonts w:hint="eastAsia"/>
        </w:rPr>
        <w:t>万元，主要用于：机关事业单位实施养老保险制度由单位实际缴纳的职业年金支出。</w:t>
      </w:r>
    </w:p>
    <w:p>
      <w:pPr>
        <w:pStyle w:val="14"/>
        <w:rPr>
          <w:rFonts w:hint="eastAsia"/>
        </w:rPr>
      </w:pPr>
      <w:r>
        <w:rPr>
          <w:rFonts w:hint="eastAsia"/>
        </w:rPr>
        <w:t>5.卫生健康支出（类）行政事业单位医疗（款）事业单位医疗（项）</w:t>
      </w:r>
      <w:r>
        <w:rPr>
          <w:rFonts w:hint="eastAsia"/>
          <w:lang w:eastAsia="zh-CN"/>
        </w:rPr>
        <w:t>2026</w:t>
      </w:r>
      <w:r>
        <w:rPr>
          <w:rFonts w:hint="eastAsia"/>
        </w:rPr>
        <w:t>年预算数为</w:t>
      </w:r>
      <w:r>
        <w:rPr>
          <w:rFonts w:hint="eastAsia"/>
          <w:lang w:val="en-US" w:eastAsia="zh-CN"/>
        </w:rPr>
        <w:t>49.16</w:t>
      </w:r>
      <w:r>
        <w:rPr>
          <w:rFonts w:hint="eastAsia"/>
        </w:rPr>
        <w:t>万元，主要用于：财政部门安排的事业单位基本医疗保险缴费经费，未参加医疗保险的事业单位的公费医疗经费，按国家规定享受离休人员待遇的医疗经费。</w:t>
      </w:r>
    </w:p>
    <w:p>
      <w:pPr>
        <w:pStyle w:val="14"/>
        <w:rPr>
          <w:rFonts w:hint="eastAsia"/>
        </w:rPr>
      </w:pPr>
      <w:r>
        <w:rPr>
          <w:rFonts w:hint="eastAsia"/>
        </w:rPr>
        <w:t>6.卫生健康支出（类）行政事业单位医疗（款）其他行政事业单位医疗支出（项）</w:t>
      </w:r>
      <w:r>
        <w:rPr>
          <w:rFonts w:hint="eastAsia"/>
          <w:lang w:eastAsia="zh-CN"/>
        </w:rPr>
        <w:t>2026</w:t>
      </w:r>
      <w:r>
        <w:rPr>
          <w:rFonts w:hint="eastAsia"/>
        </w:rPr>
        <w:t>年预算数为</w:t>
      </w:r>
      <w:r>
        <w:rPr>
          <w:rFonts w:hint="eastAsia"/>
          <w:lang w:val="en-US" w:eastAsia="zh-CN"/>
        </w:rPr>
        <w:t>7.74</w:t>
      </w:r>
      <w:r>
        <w:rPr>
          <w:rFonts w:hint="eastAsia"/>
        </w:rPr>
        <w:t>万元，主要用于：除上述项目以外的其他用于行政事业单位医疗方面的支出。</w:t>
      </w:r>
    </w:p>
    <w:p>
      <w:pPr>
        <w:pStyle w:val="14"/>
        <w:rPr>
          <w:rFonts w:hint="eastAsia"/>
        </w:rPr>
      </w:pPr>
      <w:r>
        <w:rPr>
          <w:rFonts w:hint="eastAsia"/>
        </w:rPr>
        <w:t>7.住房保障支出（类）住房改革支出（款）住房公积金（项）</w:t>
      </w:r>
      <w:r>
        <w:rPr>
          <w:rFonts w:hint="eastAsia"/>
          <w:lang w:eastAsia="zh-CN"/>
        </w:rPr>
        <w:t>2026</w:t>
      </w:r>
      <w:r>
        <w:rPr>
          <w:rFonts w:hint="eastAsia"/>
        </w:rPr>
        <w:t>年预算数为</w:t>
      </w:r>
      <w:r>
        <w:rPr>
          <w:rFonts w:hint="eastAsia"/>
          <w:lang w:val="en-US" w:eastAsia="zh-CN"/>
        </w:rPr>
        <w:t>97.49</w:t>
      </w:r>
      <w:r>
        <w:rPr>
          <w:rFonts w:hint="eastAsia"/>
        </w:rPr>
        <w:t>万元，主要用于：行政事业单位按人力资源和社会保障部、财政部规定的基本工资和津贴补贴以及规定比例为职工缴纳的住房公积金。</w:t>
      </w:r>
    </w:p>
    <w:p>
      <w:pPr>
        <w:pStyle w:val="47"/>
        <w:numPr>
          <w:ilvl w:val="0"/>
          <w:numId w:val="0"/>
        </w:numPr>
        <w:ind w:left="637" w:leftChars="0"/>
        <w:rPr>
          <w:rFonts w:hint="eastAsia"/>
        </w:rPr>
      </w:pPr>
      <w:r>
        <w:rPr>
          <w:rFonts w:hint="eastAsia"/>
          <w:lang w:val="en-US" w:eastAsia="zh-CN"/>
        </w:rPr>
        <w:t>六、</w:t>
      </w:r>
      <w:r>
        <w:rPr>
          <w:rFonts w:hint="eastAsia"/>
        </w:rPr>
        <w:t>一般公共预算基本支出情况说明</w:t>
      </w:r>
    </w:p>
    <w:p>
      <w:pPr>
        <w:pStyle w:val="14"/>
        <w:rPr>
          <w:rFonts w:hint="eastAsia"/>
        </w:rPr>
      </w:pPr>
      <w:r>
        <w:rPr>
          <w:rFonts w:hint="eastAsia"/>
        </w:rPr>
        <w:t>四川省井研县高级职业中学</w:t>
      </w:r>
      <w:r>
        <w:rPr>
          <w:rFonts w:hint="eastAsia"/>
          <w:lang w:eastAsia="zh-CN"/>
        </w:rPr>
        <w:t>2026</w:t>
      </w:r>
      <w:r>
        <w:rPr>
          <w:rFonts w:hint="eastAsia"/>
        </w:rPr>
        <w:t>年一般公共预算基本支出</w:t>
      </w:r>
      <w:r>
        <w:rPr>
          <w:rFonts w:hint="eastAsia"/>
          <w:lang w:val="en-US" w:eastAsia="zh-CN"/>
        </w:rPr>
        <w:t>1084.64</w:t>
      </w:r>
      <w:r>
        <w:rPr>
          <w:rFonts w:hint="eastAsia"/>
        </w:rPr>
        <w:t>万元，其中：</w:t>
      </w:r>
    </w:p>
    <w:p>
      <w:pPr>
        <w:pStyle w:val="14"/>
        <w:rPr>
          <w:rFonts w:hint="eastAsia"/>
        </w:rPr>
      </w:pPr>
      <w:r>
        <w:rPr>
          <w:rFonts w:hint="eastAsia"/>
        </w:rPr>
        <w:t>人员经费</w:t>
      </w:r>
      <w:r>
        <w:rPr>
          <w:rFonts w:hint="eastAsia"/>
          <w:lang w:val="en-US" w:eastAsia="zh-CN"/>
        </w:rPr>
        <w:t>1064.52</w:t>
      </w:r>
      <w:r>
        <w:rPr>
          <w:rFonts w:hint="eastAsia"/>
        </w:rPr>
        <w:t>万元，主要包括：基本工资、津贴补贴、伙食补助费、绩效工资、机关事业单位基本养老保险缴费、职业年金缴费、职工基本医疗保险缴费、其他社会保障缴费、住房公积金、奖励金。</w:t>
      </w:r>
    </w:p>
    <w:p>
      <w:pPr>
        <w:pStyle w:val="14"/>
        <w:rPr>
          <w:rFonts w:hint="eastAsia"/>
        </w:rPr>
      </w:pPr>
      <w:r>
        <w:rPr>
          <w:rFonts w:hint="eastAsia"/>
        </w:rPr>
        <w:t xml:space="preserve">公用经费 </w:t>
      </w:r>
      <w:r>
        <w:rPr>
          <w:rFonts w:hint="eastAsia"/>
          <w:lang w:val="en-US" w:eastAsia="zh-CN"/>
        </w:rPr>
        <w:t>20.12</w:t>
      </w:r>
      <w:r>
        <w:rPr>
          <w:rFonts w:hint="eastAsia"/>
        </w:rPr>
        <w:t>万元，主要包括：工会经费、其他商品和服务支出。</w:t>
      </w:r>
    </w:p>
    <w:p>
      <w:pPr>
        <w:pStyle w:val="14"/>
        <w:rPr>
          <w:rFonts w:hint="eastAsia"/>
        </w:rPr>
      </w:pPr>
    </w:p>
    <w:p>
      <w:pPr>
        <w:pStyle w:val="47"/>
        <w:numPr>
          <w:ilvl w:val="0"/>
          <w:numId w:val="0"/>
        </w:numPr>
        <w:ind w:firstLine="640" w:firstLineChars="200"/>
        <w:rPr>
          <w:rFonts w:hint="eastAsia"/>
        </w:rPr>
      </w:pPr>
      <w:r>
        <w:rPr>
          <w:rFonts w:hint="eastAsia"/>
          <w:lang w:val="en-US" w:eastAsia="zh-CN"/>
        </w:rPr>
        <w:t>七、</w:t>
      </w:r>
      <w:r>
        <w:rPr>
          <w:rFonts w:hint="eastAsia"/>
        </w:rPr>
        <w:t>政府性基金预算支出规模及变化情况说明</w:t>
      </w:r>
    </w:p>
    <w:p>
      <w:pPr>
        <w:pStyle w:val="14"/>
        <w:rPr>
          <w:rFonts w:hint="eastAsia"/>
          <w:highlight w:val="yellow"/>
        </w:rPr>
      </w:pPr>
      <w:r>
        <w:rPr>
          <w:rFonts w:hint="eastAsia"/>
        </w:rPr>
        <w:t>四川省井研县高级职业中学</w:t>
      </w:r>
      <w:r>
        <w:rPr>
          <w:rFonts w:hint="eastAsia"/>
          <w:lang w:eastAsia="zh-CN"/>
        </w:rPr>
        <w:t>2026</w:t>
      </w:r>
      <w:r>
        <w:rPr>
          <w:rFonts w:hint="eastAsia"/>
        </w:rPr>
        <w:t>年没有使用政府性基金预算拨款安排的支出。</w:t>
      </w:r>
    </w:p>
    <w:p>
      <w:pPr>
        <w:pStyle w:val="47"/>
        <w:numPr>
          <w:ilvl w:val="0"/>
          <w:numId w:val="0"/>
        </w:numPr>
        <w:ind w:left="637" w:leftChars="0"/>
      </w:pPr>
      <w:r>
        <w:rPr>
          <w:rFonts w:hint="eastAsia"/>
          <w:lang w:val="en-US" w:eastAsia="zh-CN"/>
        </w:rPr>
        <w:t>八、</w:t>
      </w:r>
      <w:r>
        <w:rPr>
          <w:rFonts w:hint="eastAsia"/>
        </w:rPr>
        <w:t>国有资本经营预算支出情况说明</w:t>
      </w:r>
    </w:p>
    <w:p>
      <w:pPr>
        <w:rPr>
          <w:rFonts w:hint="eastAsia" w:ascii="仿宋_GB2312" w:hAnsi="Calibri" w:eastAsia="仿宋_GB2312"/>
          <w:sz w:val="32"/>
          <w:szCs w:val="32"/>
        </w:rPr>
      </w:pPr>
      <w:r>
        <w:rPr>
          <w:rFonts w:hint="eastAsia"/>
        </w:rPr>
        <w:t xml:space="preserve"> </w:t>
      </w:r>
      <w:r>
        <w:t xml:space="preserve"> </w:t>
      </w:r>
      <w:r>
        <w:rPr>
          <w:rFonts w:hint="eastAsia" w:ascii="仿宋" w:hAnsi="仿宋" w:eastAsia="仿宋" w:cs="仿宋"/>
          <w:sz w:val="32"/>
          <w:szCs w:val="32"/>
        </w:rPr>
        <w:t xml:space="preserve"> 四川省井研县高级职业中学</w:t>
      </w:r>
      <w:r>
        <w:rPr>
          <w:rFonts w:hint="eastAsia" w:ascii="仿宋" w:hAnsi="仿宋" w:eastAsia="仿宋" w:cs="仿宋"/>
          <w:sz w:val="32"/>
          <w:szCs w:val="32"/>
          <w:lang w:eastAsia="zh-CN"/>
        </w:rPr>
        <w:t>2026</w:t>
      </w:r>
      <w:r>
        <w:rPr>
          <w:rFonts w:hint="eastAsia" w:ascii="仿宋" w:hAnsi="仿宋" w:eastAsia="仿宋" w:cs="仿宋"/>
          <w:sz w:val="32"/>
          <w:szCs w:val="32"/>
        </w:rPr>
        <w:t>年没有使用国有资本经营预算拨款安排的支出。</w:t>
      </w:r>
    </w:p>
    <w:p>
      <w:pPr>
        <w:pStyle w:val="47"/>
        <w:numPr>
          <w:ilvl w:val="0"/>
          <w:numId w:val="0"/>
        </w:numPr>
        <w:ind w:firstLine="640" w:firstLineChars="200"/>
        <w:rPr>
          <w:rFonts w:hint="eastAsia"/>
        </w:rPr>
      </w:pPr>
      <w:r>
        <w:rPr>
          <w:rFonts w:hint="eastAsia"/>
          <w:lang w:val="en-US" w:eastAsia="zh-CN"/>
        </w:rPr>
        <w:t>九、</w:t>
      </w:r>
      <w:r>
        <w:rPr>
          <w:rFonts w:hint="eastAsia"/>
        </w:rPr>
        <w:t>“三公”经费预算安排情况说明</w:t>
      </w:r>
    </w:p>
    <w:p>
      <w:pPr>
        <w:pStyle w:val="14"/>
        <w:rPr>
          <w:rFonts w:hint="eastAsia"/>
        </w:rPr>
      </w:pPr>
      <w:r>
        <w:rPr>
          <w:rFonts w:hint="eastAsia"/>
        </w:rPr>
        <w:t>四川省井研县高级职业中学</w:t>
      </w:r>
      <w:r>
        <w:rPr>
          <w:rFonts w:hint="eastAsia"/>
          <w:lang w:eastAsia="zh-CN"/>
        </w:rPr>
        <w:t>2026</w:t>
      </w:r>
      <w:r>
        <w:rPr>
          <w:rFonts w:hint="eastAsia"/>
        </w:rPr>
        <w:t>年没有使用财政拨款安排“三公”经费预算。</w:t>
      </w:r>
    </w:p>
    <w:p>
      <w:pPr>
        <w:pStyle w:val="14"/>
        <w:rPr>
          <w:rFonts w:hint="eastAsia"/>
        </w:rPr>
      </w:pPr>
      <w:r>
        <w:rPr>
          <w:rFonts w:hint="eastAsia"/>
        </w:rPr>
        <w:t>1. 因公出国（境）经费较上年预算0万元，与上年持平</w:t>
      </w:r>
    </w:p>
    <w:p>
      <w:pPr>
        <w:pStyle w:val="14"/>
        <w:rPr>
          <w:rFonts w:hint="eastAsia"/>
        </w:rPr>
      </w:pPr>
      <w:r>
        <w:rPr>
          <w:rFonts w:hint="eastAsia"/>
        </w:rPr>
        <w:t>2.公务接待费与202</w:t>
      </w:r>
      <w:r>
        <w:rPr>
          <w:rFonts w:hint="eastAsia"/>
          <w:lang w:val="en-US" w:eastAsia="zh-CN"/>
        </w:rPr>
        <w:t>5</w:t>
      </w:r>
      <w:r>
        <w:rPr>
          <w:rFonts w:hint="eastAsia"/>
        </w:rPr>
        <w:t>年预算数持平。</w:t>
      </w:r>
    </w:p>
    <w:p>
      <w:pPr>
        <w:pStyle w:val="14"/>
      </w:pPr>
      <w:r>
        <w:rPr>
          <w:rFonts w:hint="eastAsia"/>
          <w:lang w:eastAsia="zh-CN"/>
        </w:rPr>
        <w:t>2026</w:t>
      </w:r>
      <w:r>
        <w:rPr>
          <w:rFonts w:hint="eastAsia"/>
        </w:rPr>
        <w:t>年公务接待费计划用于单位按规定开支的各类公务接待（含外宾接待）支出等。</w:t>
      </w:r>
    </w:p>
    <w:p>
      <w:pPr>
        <w:pStyle w:val="14"/>
        <w:rPr>
          <w:rFonts w:hint="eastAsia"/>
        </w:rPr>
      </w:pPr>
      <w:r>
        <w:rPr>
          <w:rFonts w:hint="eastAsia"/>
        </w:rPr>
        <w:t>3.公务用车购置及运行维护费与202</w:t>
      </w:r>
      <w:r>
        <w:rPr>
          <w:rFonts w:hint="eastAsia"/>
          <w:lang w:val="en-US" w:eastAsia="zh-CN"/>
        </w:rPr>
        <w:t>5</w:t>
      </w:r>
      <w:r>
        <w:rPr>
          <w:rFonts w:hint="eastAsia"/>
        </w:rPr>
        <w:t>年预算数持平。</w:t>
      </w:r>
    </w:p>
    <w:p>
      <w:pPr>
        <w:pStyle w:val="14"/>
        <w:rPr>
          <w:rFonts w:hint="eastAsia"/>
        </w:rPr>
      </w:pPr>
      <w:r>
        <w:rPr>
          <w:rFonts w:hint="eastAsia"/>
        </w:rPr>
        <w:t>单位现有公务用车0辆，其中：轿车0辆、旅行车（含商务车）0辆、越野车0辆、大型客、货车0辆。</w:t>
      </w:r>
    </w:p>
    <w:p>
      <w:pPr>
        <w:pStyle w:val="14"/>
        <w:rPr>
          <w:rFonts w:hint="eastAsia"/>
        </w:rPr>
      </w:pPr>
      <w:r>
        <w:rPr>
          <w:rFonts w:hint="eastAsia"/>
          <w:lang w:eastAsia="zh-CN"/>
        </w:rPr>
        <w:t>2026</w:t>
      </w:r>
      <w:r>
        <w:rPr>
          <w:rFonts w:hint="eastAsia"/>
        </w:rPr>
        <w:t>年安排公务用车购置费0万元，拟购置公务用车0辆，其中：轿车0辆、旅行车（含商务车）0辆、越野车0辆、大型客、货车0辆。</w:t>
      </w:r>
    </w:p>
    <w:p>
      <w:pPr>
        <w:pStyle w:val="14"/>
        <w:rPr>
          <w:rFonts w:hint="eastAsia"/>
        </w:rPr>
      </w:pPr>
      <w:r>
        <w:rPr>
          <w:rFonts w:hint="eastAsia"/>
          <w:lang w:eastAsia="zh-CN"/>
        </w:rPr>
        <w:t>2026</w:t>
      </w:r>
      <w:r>
        <w:rPr>
          <w:rFonts w:hint="eastAsia"/>
        </w:rPr>
        <w:t>年安排公务用车运行维护费0万元，用于0辆公务用车燃油、维修、过路过桥费、保险等方面支出。</w:t>
      </w:r>
    </w:p>
    <w:p>
      <w:pPr>
        <w:pStyle w:val="47"/>
        <w:numPr>
          <w:ilvl w:val="0"/>
          <w:numId w:val="0"/>
        </w:numPr>
        <w:ind w:left="637" w:leftChars="0"/>
        <w:rPr>
          <w:rFonts w:hint="eastAsia"/>
        </w:rPr>
      </w:pPr>
      <w:r>
        <w:rPr>
          <w:rFonts w:hint="eastAsia"/>
          <w:lang w:val="en-US" w:eastAsia="zh-CN"/>
        </w:rPr>
        <w:t>十、</w:t>
      </w:r>
      <w:r>
        <w:rPr>
          <w:rFonts w:hint="eastAsia"/>
        </w:rPr>
        <w:t>其他重要事项的情况说明</w:t>
      </w:r>
    </w:p>
    <w:p>
      <w:pPr>
        <w:pStyle w:val="46"/>
        <w:numPr>
          <w:ilvl w:val="0"/>
          <w:numId w:val="0"/>
        </w:numPr>
        <w:ind w:firstLine="640" w:firstLineChars="200"/>
        <w:rPr>
          <w:rFonts w:hint="eastAsia"/>
        </w:rPr>
      </w:pPr>
      <w:r>
        <w:rPr>
          <w:rFonts w:hint="eastAsia"/>
          <w:lang w:eastAsia="zh-CN"/>
        </w:rPr>
        <w:t>（</w:t>
      </w:r>
      <w:r>
        <w:rPr>
          <w:rFonts w:hint="eastAsia"/>
          <w:lang w:val="en-US" w:eastAsia="zh-CN"/>
        </w:rPr>
        <w:t>一</w:t>
      </w:r>
      <w:r>
        <w:rPr>
          <w:rFonts w:hint="eastAsia"/>
          <w:lang w:eastAsia="zh-CN"/>
        </w:rPr>
        <w:t>）</w:t>
      </w:r>
      <w:r>
        <w:rPr>
          <w:rFonts w:hint="eastAsia"/>
        </w:rPr>
        <w:t>机关运行经费。</w:t>
      </w:r>
    </w:p>
    <w:p>
      <w:pPr>
        <w:pStyle w:val="14"/>
        <w:rPr>
          <w:rFonts w:hint="eastAsia"/>
        </w:rPr>
      </w:pPr>
      <w:r>
        <w:rPr>
          <w:rFonts w:hint="eastAsia"/>
        </w:rPr>
        <w:t>四川省井研县高级职业中学</w:t>
      </w:r>
      <w:r>
        <w:rPr>
          <w:rFonts w:hint="eastAsia"/>
          <w:lang w:eastAsia="zh-CN"/>
        </w:rPr>
        <w:t>为事业单位，按规定未使用机关运行的相关科目。</w:t>
      </w:r>
    </w:p>
    <w:p>
      <w:pPr>
        <w:pStyle w:val="46"/>
        <w:numPr>
          <w:ilvl w:val="0"/>
          <w:numId w:val="0"/>
        </w:numPr>
        <w:ind w:firstLine="640" w:firstLineChars="200"/>
        <w:rPr>
          <w:rFonts w:hint="eastAsia"/>
        </w:rPr>
      </w:pPr>
      <w:r>
        <w:rPr>
          <w:rFonts w:hint="eastAsia"/>
          <w:lang w:eastAsia="zh-CN"/>
        </w:rPr>
        <w:t>（</w:t>
      </w:r>
      <w:r>
        <w:rPr>
          <w:rFonts w:hint="eastAsia"/>
          <w:lang w:val="en-US" w:eastAsia="zh-CN"/>
        </w:rPr>
        <w:t>二</w:t>
      </w:r>
      <w:r>
        <w:rPr>
          <w:rFonts w:hint="eastAsia"/>
          <w:lang w:eastAsia="zh-CN"/>
        </w:rPr>
        <w:t>）</w:t>
      </w:r>
      <w:r>
        <w:rPr>
          <w:rFonts w:hint="eastAsia"/>
        </w:rPr>
        <w:t>政府采购情况。</w:t>
      </w:r>
    </w:p>
    <w:p>
      <w:pPr>
        <w:pStyle w:val="14"/>
        <w:rPr>
          <w:rFonts w:hint="eastAsia"/>
          <w:highlight w:val="yellow"/>
        </w:rPr>
      </w:pPr>
      <w:r>
        <w:rPr>
          <w:rFonts w:hint="eastAsia"/>
          <w:lang w:eastAsia="zh-CN"/>
        </w:rPr>
        <w:t>2026年，</w:t>
      </w:r>
      <w:r>
        <w:rPr>
          <w:rFonts w:hint="eastAsia"/>
        </w:rPr>
        <w:t>四川省井研县高级职业中学安排</w:t>
      </w:r>
      <w:r>
        <w:rPr>
          <w:rFonts w:hint="eastAsia"/>
          <w:lang w:val="en-US" w:eastAsia="zh-CN"/>
        </w:rPr>
        <w:t>210万元</w:t>
      </w:r>
      <w:r>
        <w:rPr>
          <w:rFonts w:hint="eastAsia"/>
        </w:rPr>
        <w:t>政府采购预算</w:t>
      </w:r>
      <w:r>
        <w:rPr>
          <w:rFonts w:hint="eastAsia"/>
          <w:lang w:eastAsia="zh-CN"/>
        </w:rPr>
        <w:t>，</w:t>
      </w:r>
      <w:r>
        <w:rPr>
          <w:rFonts w:hint="eastAsia"/>
        </w:rPr>
        <w:t>主要用于采购</w:t>
      </w:r>
      <w:r>
        <w:rPr>
          <w:rFonts w:hint="eastAsia"/>
          <w:lang w:val="en-US" w:eastAsia="zh-CN"/>
        </w:rPr>
        <w:t>办工桌椅、教学辅助桌椅，其他电气设备等</w:t>
      </w:r>
      <w:r>
        <w:rPr>
          <w:rFonts w:hint="eastAsia"/>
        </w:rPr>
        <w:t>。</w:t>
      </w:r>
    </w:p>
    <w:p>
      <w:pPr>
        <w:pStyle w:val="14"/>
        <w:numPr>
          <w:ilvl w:val="0"/>
          <w:numId w:val="0"/>
        </w:numPr>
        <w:ind w:firstLine="640" w:firstLineChars="200"/>
        <w:rPr>
          <w:rFonts w:hint="eastAsia" w:ascii="楷体_GB2312" w:hAnsi="Calibri" w:eastAsia="楷体_GB2312"/>
          <w:kern w:val="2"/>
          <w:sz w:val="32"/>
          <w:szCs w:val="32"/>
          <w:lang w:val="en-US" w:eastAsia="zh-CN" w:bidi="ar-SA"/>
        </w:rPr>
      </w:pPr>
      <w:r>
        <w:rPr>
          <w:rFonts w:hint="eastAsia" w:ascii="楷体_GB2312" w:eastAsia="楷体_GB2312"/>
          <w:kern w:val="2"/>
          <w:sz w:val="32"/>
          <w:szCs w:val="32"/>
          <w:lang w:val="en-US" w:eastAsia="zh-CN" w:bidi="ar-SA"/>
        </w:rPr>
        <w:t>（三）</w:t>
      </w:r>
      <w:r>
        <w:rPr>
          <w:rFonts w:hint="eastAsia" w:ascii="楷体_GB2312" w:hAnsi="Calibri" w:eastAsia="楷体_GB2312"/>
          <w:kern w:val="2"/>
          <w:sz w:val="32"/>
          <w:szCs w:val="32"/>
          <w:lang w:val="en-US" w:eastAsia="zh-CN" w:bidi="ar-SA"/>
        </w:rPr>
        <w:t>政府购买服务情况。</w:t>
      </w:r>
    </w:p>
    <w:p>
      <w:pPr>
        <w:pStyle w:val="14"/>
        <w:rPr>
          <w:rFonts w:hint="default"/>
          <w:highlight w:val="yellow"/>
          <w:lang w:val="en-US" w:eastAsia="zh-CN"/>
        </w:rPr>
      </w:pPr>
      <w:r>
        <w:rPr>
          <w:rFonts w:hint="eastAsia"/>
          <w:lang w:eastAsia="zh-CN"/>
        </w:rPr>
        <w:t>2026年</w:t>
      </w:r>
      <w:r>
        <w:rPr>
          <w:rFonts w:hint="eastAsia"/>
        </w:rPr>
        <w:t>，四川省井研县高级职业中学未安</w:t>
      </w:r>
      <w:r>
        <w:rPr>
          <w:rFonts w:hint="eastAsia"/>
          <w:lang w:val="en-US" w:eastAsia="zh-CN"/>
        </w:rPr>
        <w:t>政府购买服务</w:t>
      </w:r>
      <w:r>
        <w:rPr>
          <w:rFonts w:hint="eastAsia"/>
        </w:rPr>
        <w:t>预算。</w:t>
      </w:r>
    </w:p>
    <w:p>
      <w:pPr>
        <w:pStyle w:val="46"/>
        <w:numPr>
          <w:ilvl w:val="0"/>
          <w:numId w:val="0"/>
        </w:numPr>
        <w:ind w:firstLine="640" w:firstLineChars="200"/>
        <w:rPr>
          <w:rFonts w:hint="eastAsia"/>
        </w:rPr>
      </w:pPr>
      <w:r>
        <w:rPr>
          <w:rFonts w:hint="eastAsia"/>
          <w:lang w:eastAsia="zh-CN"/>
        </w:rPr>
        <w:t>（</w:t>
      </w:r>
      <w:r>
        <w:rPr>
          <w:rFonts w:hint="eastAsia"/>
          <w:lang w:val="en-US" w:eastAsia="zh-CN"/>
        </w:rPr>
        <w:t>四</w:t>
      </w:r>
      <w:r>
        <w:rPr>
          <w:rFonts w:hint="eastAsia"/>
          <w:lang w:eastAsia="zh-CN"/>
        </w:rPr>
        <w:t>）</w:t>
      </w:r>
      <w:r>
        <w:rPr>
          <w:rFonts w:hint="eastAsia"/>
        </w:rPr>
        <w:t>国有资产占有使用情况。</w:t>
      </w:r>
    </w:p>
    <w:p>
      <w:pPr>
        <w:pStyle w:val="14"/>
        <w:rPr>
          <w:rFonts w:hint="eastAsia"/>
        </w:rPr>
      </w:pPr>
      <w:r>
        <w:rPr>
          <w:rFonts w:hint="eastAsia"/>
        </w:rPr>
        <w:t>截至</w:t>
      </w:r>
      <w:r>
        <w:rPr>
          <w:rFonts w:hint="eastAsia"/>
          <w:lang w:val="en-US" w:eastAsia="zh-CN"/>
        </w:rPr>
        <w:t>去</w:t>
      </w:r>
      <w:r>
        <w:rPr>
          <w:rFonts w:hint="eastAsia"/>
        </w:rPr>
        <w:t>年底，四川省井研县高级职业中学所属各预算单位共有车辆0辆，其中省部级领导干部用车0辆、定向保障用车0辆、执法执勤用车0辆。单位价值200万元以上大型设备0台（套）。</w:t>
      </w:r>
    </w:p>
    <w:p>
      <w:pPr>
        <w:pStyle w:val="14"/>
        <w:rPr>
          <w:rFonts w:hint="eastAsia"/>
          <w:highlight w:val="yellow"/>
        </w:rPr>
      </w:pPr>
      <w:r>
        <w:rPr>
          <w:rFonts w:hint="eastAsia"/>
          <w:lang w:eastAsia="zh-CN"/>
        </w:rPr>
        <w:t>2026</w:t>
      </w:r>
      <w:r>
        <w:rPr>
          <w:rFonts w:hint="eastAsia"/>
        </w:rPr>
        <w:t>年单位预算未安排购置车辆及单位价值200万元以上大型设备。</w:t>
      </w:r>
    </w:p>
    <w:p>
      <w:pPr>
        <w:pStyle w:val="46"/>
        <w:numPr>
          <w:ilvl w:val="0"/>
          <w:numId w:val="0"/>
        </w:numPr>
        <w:ind w:firstLine="640" w:firstLineChars="200"/>
        <w:rPr>
          <w:rFonts w:hint="eastAsia"/>
        </w:rPr>
      </w:pPr>
      <w:r>
        <w:rPr>
          <w:rFonts w:hint="eastAsia"/>
          <w:lang w:eastAsia="zh-CN"/>
        </w:rPr>
        <w:t>（</w:t>
      </w:r>
      <w:r>
        <w:rPr>
          <w:rFonts w:hint="eastAsia"/>
          <w:lang w:val="en-US" w:eastAsia="zh-CN"/>
        </w:rPr>
        <w:t>五</w:t>
      </w:r>
      <w:r>
        <w:rPr>
          <w:rFonts w:hint="eastAsia"/>
          <w:lang w:eastAsia="zh-CN"/>
        </w:rPr>
        <w:t>）</w:t>
      </w:r>
      <w:r>
        <w:rPr>
          <w:rFonts w:hint="eastAsia"/>
        </w:rPr>
        <w:t>绩效目标设置情况。</w:t>
      </w:r>
    </w:p>
    <w:p>
      <w:pPr>
        <w:pStyle w:val="14"/>
        <w:rPr>
          <w:rFonts w:hint="eastAsia"/>
        </w:rPr>
      </w:pPr>
      <w:r>
        <w:rPr>
          <w:rFonts w:hint="eastAsia"/>
          <w:lang w:eastAsia="zh-CN"/>
        </w:rPr>
        <w:t>2026年，</w:t>
      </w:r>
      <w:r>
        <w:rPr>
          <w:rFonts w:hint="eastAsia"/>
        </w:rPr>
        <w:t>四川省井研县高级职业中</w:t>
      </w:r>
      <w:bookmarkStart w:id="2" w:name="_GoBack"/>
      <w:bookmarkEnd w:id="2"/>
      <w:r>
        <w:rPr>
          <w:rFonts w:hint="eastAsia"/>
        </w:rPr>
        <w:t>学</w:t>
      </w:r>
      <w:r>
        <w:rPr>
          <w:rFonts w:hint="eastAsia"/>
          <w:lang w:eastAsia="zh-CN"/>
        </w:rPr>
        <w:t>按要求实行绩效目标管理，开展绩效目标管理的项目</w:t>
      </w:r>
      <w:r>
        <w:rPr>
          <w:rFonts w:hint="eastAsia"/>
          <w:lang w:val="en-US" w:eastAsia="zh-CN"/>
        </w:rPr>
        <w:t>8</w:t>
      </w:r>
      <w:r>
        <w:rPr>
          <w:rFonts w:hint="eastAsia"/>
          <w:lang w:eastAsia="zh-CN"/>
        </w:rPr>
        <w:t>个，涉及预算</w:t>
      </w:r>
      <w:r>
        <w:rPr>
          <w:rFonts w:hint="eastAsia"/>
          <w:lang w:val="en-US" w:eastAsia="zh-CN"/>
        </w:rPr>
        <w:t>688.95</w:t>
      </w:r>
      <w:r>
        <w:rPr>
          <w:rFonts w:hint="eastAsia"/>
          <w:lang w:eastAsia="zh-CN"/>
        </w:rPr>
        <w:t>万元。</w:t>
      </w:r>
    </w:p>
    <w:p>
      <w:pPr>
        <w:pStyle w:val="14"/>
        <w:rPr>
          <w:rFonts w:hint="eastAsia"/>
        </w:rPr>
      </w:pPr>
    </w:p>
    <w:p>
      <w:pPr>
        <w:pStyle w:val="14"/>
        <w:rPr>
          <w:rFonts w:hint="eastAsia"/>
        </w:rPr>
      </w:pPr>
    </w:p>
    <w:p>
      <w:pPr>
        <w:pStyle w:val="47"/>
        <w:numPr>
          <w:ilvl w:val="0"/>
          <w:numId w:val="0"/>
        </w:numPr>
        <w:ind w:firstLine="320" w:firstLineChars="100"/>
        <w:rPr>
          <w:rFonts w:hint="eastAsia"/>
        </w:rPr>
      </w:pPr>
      <w:r>
        <w:rPr>
          <w:rFonts w:hint="eastAsia"/>
        </w:rPr>
        <w:t>十一、名词解释</w:t>
      </w:r>
    </w:p>
    <w:p>
      <w:pPr>
        <w:pStyle w:val="14"/>
        <w:rPr>
          <w:rFonts w:hint="eastAsia" w:ascii="仿宋" w:hAnsi="仿宋" w:eastAsia="仿宋" w:cs="仿宋"/>
          <w:sz w:val="32"/>
          <w:szCs w:val="32"/>
        </w:rPr>
      </w:pPr>
      <w:r>
        <w:rPr>
          <w:rFonts w:hint="eastAsia" w:ascii="仿宋" w:hAnsi="仿宋" w:eastAsia="仿宋" w:cs="仿宋"/>
          <w:sz w:val="32"/>
          <w:szCs w:val="32"/>
        </w:rPr>
        <w:t xml:space="preserve">1.一般公共预算拨款收入：指省级财政当年拨付的资金。 </w:t>
      </w:r>
    </w:p>
    <w:p>
      <w:pPr>
        <w:pStyle w:val="14"/>
        <w:rPr>
          <w:rFonts w:hint="eastAsia" w:ascii="仿宋" w:hAnsi="仿宋" w:eastAsia="仿宋" w:cs="仿宋"/>
          <w:sz w:val="32"/>
          <w:szCs w:val="32"/>
        </w:rPr>
      </w:pPr>
      <w:r>
        <w:rPr>
          <w:rFonts w:hint="eastAsia" w:ascii="仿宋" w:hAnsi="仿宋" w:eastAsia="仿宋" w:cs="仿宋"/>
          <w:sz w:val="32"/>
          <w:szCs w:val="32"/>
        </w:rPr>
        <w:t>2.教育支出（类）职业教育（款）中等职业教育（项）：反映各部门（不含人力资源社会保障部门）举办的中等职业教育支出。政府各部门对社会组织等举办的中等职业学校的资助，如捐赠、补贴等，也在本科目中反映。</w:t>
      </w:r>
    </w:p>
    <w:p>
      <w:pPr>
        <w:pStyle w:val="14"/>
        <w:rPr>
          <w:rFonts w:hint="eastAsia" w:ascii="仿宋" w:hAnsi="仿宋" w:eastAsia="仿宋" w:cs="仿宋"/>
          <w:sz w:val="32"/>
          <w:szCs w:val="32"/>
        </w:rPr>
      </w:pPr>
      <w:r>
        <w:rPr>
          <w:rFonts w:hint="eastAsia" w:ascii="仿宋" w:hAnsi="仿宋" w:eastAsia="仿宋" w:cs="仿宋"/>
          <w:sz w:val="32"/>
          <w:szCs w:val="32"/>
        </w:rPr>
        <w:t>3.教育支出（类）教育费附加安排的支出（款）中等职业学校教学设施（项）：反映教育费附加安排用于中等职业学校教学设施的支出。</w:t>
      </w:r>
    </w:p>
    <w:p>
      <w:pPr>
        <w:pStyle w:val="14"/>
        <w:rPr>
          <w:rFonts w:hint="eastAsia" w:ascii="仿宋" w:hAnsi="仿宋" w:eastAsia="仿宋" w:cs="仿宋"/>
          <w:sz w:val="32"/>
          <w:szCs w:val="32"/>
        </w:rPr>
      </w:pPr>
      <w:r>
        <w:rPr>
          <w:rFonts w:hint="eastAsia" w:ascii="仿宋" w:hAnsi="仿宋" w:eastAsia="仿宋" w:cs="仿宋"/>
          <w:sz w:val="32"/>
          <w:szCs w:val="32"/>
        </w:rPr>
        <w:t>4.社会保障和就业支出（类）行政事业单位养老支出（款）机关事业单位基本养老保险缴费支出（项）：反映机关事业单位实施养老保险制度由单位缴纳的基本养老保险费支出。</w:t>
      </w:r>
    </w:p>
    <w:p>
      <w:pPr>
        <w:pStyle w:val="14"/>
        <w:rPr>
          <w:rFonts w:hint="eastAsia" w:ascii="仿宋" w:hAnsi="仿宋" w:eastAsia="仿宋" w:cs="仿宋"/>
          <w:sz w:val="32"/>
          <w:szCs w:val="32"/>
        </w:rPr>
      </w:pPr>
      <w:r>
        <w:rPr>
          <w:rFonts w:hint="eastAsia" w:ascii="仿宋" w:hAnsi="仿宋" w:eastAsia="仿宋" w:cs="仿宋"/>
          <w:sz w:val="32"/>
          <w:szCs w:val="32"/>
        </w:rPr>
        <w:t>5.社会保障和就业支出（类）行政事业单位养老支出（款）机关事业单位职业年金缴费支出（项）：反映机关事业单位实施养老保险制度由单位实际缴纳的职业年金支出。</w:t>
      </w:r>
    </w:p>
    <w:p>
      <w:pPr>
        <w:pStyle w:val="14"/>
        <w:rPr>
          <w:rFonts w:hint="eastAsia" w:ascii="仿宋" w:hAnsi="仿宋" w:eastAsia="仿宋" w:cs="仿宋"/>
          <w:sz w:val="32"/>
          <w:szCs w:val="32"/>
        </w:rPr>
      </w:pPr>
      <w:r>
        <w:rPr>
          <w:rFonts w:hint="eastAsia" w:ascii="仿宋" w:hAnsi="仿宋" w:eastAsia="仿宋" w:cs="仿宋"/>
          <w:sz w:val="32"/>
          <w:szCs w:val="32"/>
        </w:rPr>
        <w:t>6.卫生健康支出（类）行政事业单位医疗（款）事业单位医疗（项）：反映财政部门安排的事业单位基本医疗保险缴费经费，未参加医疗保险的事业单位的公费医疗经费，按国家规定享受离休人员待遇的医疗经费。</w:t>
      </w:r>
    </w:p>
    <w:p>
      <w:pPr>
        <w:pStyle w:val="14"/>
        <w:rPr>
          <w:rFonts w:hint="eastAsia" w:ascii="仿宋" w:hAnsi="仿宋" w:eastAsia="仿宋" w:cs="仿宋"/>
          <w:sz w:val="32"/>
          <w:szCs w:val="32"/>
        </w:rPr>
      </w:pPr>
      <w:r>
        <w:rPr>
          <w:rFonts w:hint="eastAsia" w:ascii="仿宋" w:hAnsi="仿宋" w:eastAsia="仿宋" w:cs="仿宋"/>
          <w:sz w:val="32"/>
          <w:szCs w:val="32"/>
        </w:rPr>
        <w:t>7.卫生健康支出（类）行政事业单位医疗（款）其他行政事业单位医疗支出（项）：反映除上述项目以外的其他用于行政事业单位医疗方面的支出。</w:t>
      </w:r>
    </w:p>
    <w:p>
      <w:pPr>
        <w:pStyle w:val="14"/>
        <w:rPr>
          <w:rFonts w:hint="eastAsia" w:ascii="仿宋" w:hAnsi="仿宋" w:eastAsia="仿宋" w:cs="仿宋"/>
          <w:sz w:val="32"/>
          <w:szCs w:val="32"/>
        </w:rPr>
      </w:pPr>
      <w:r>
        <w:rPr>
          <w:rFonts w:hint="eastAsia" w:ascii="仿宋" w:hAnsi="仿宋" w:eastAsia="仿宋" w:cs="仿宋"/>
          <w:sz w:val="32"/>
          <w:szCs w:val="32"/>
        </w:rPr>
        <w:t>8.住房保障支出（类）住房改革支出（款）住房公积金（项）：反映行政事业单位按人力资源和社会保障部、财政部规定的基本工资和津贴补贴以及规定比例为职工缴纳的住房公积金。</w:t>
      </w:r>
    </w:p>
    <w:p>
      <w:pPr>
        <w:pStyle w:val="14"/>
        <w:rPr>
          <w:rFonts w:hint="eastAsia" w:ascii="仿宋" w:hAnsi="仿宋" w:eastAsia="仿宋" w:cs="仿宋"/>
          <w:sz w:val="32"/>
          <w:szCs w:val="32"/>
        </w:rPr>
      </w:pPr>
      <w:r>
        <w:rPr>
          <w:rFonts w:hint="eastAsia" w:ascii="仿宋" w:hAnsi="仿宋" w:eastAsia="仿宋" w:cs="仿宋"/>
          <w:sz w:val="32"/>
          <w:szCs w:val="32"/>
        </w:rPr>
        <w:t xml:space="preserve"> </w:t>
      </w:r>
    </w:p>
    <w:p>
      <w:pPr>
        <w:pStyle w:val="14"/>
        <w:rPr>
          <w:rFonts w:hint="eastAsia" w:ascii="仿宋" w:hAnsi="仿宋" w:eastAsia="仿宋" w:cs="仿宋"/>
          <w:sz w:val="32"/>
          <w:szCs w:val="32"/>
        </w:rPr>
      </w:pPr>
      <w:r>
        <w:rPr>
          <w:rFonts w:hint="eastAsia" w:ascii="仿宋" w:hAnsi="仿宋" w:eastAsia="仿宋" w:cs="仿宋"/>
          <w:sz w:val="32"/>
          <w:szCs w:val="32"/>
        </w:rPr>
        <w:t>9.基本支出：指为保证机构正常运转，完成日常工作任务而发生的人员支出和公用支出。</w:t>
      </w:r>
    </w:p>
    <w:p>
      <w:pPr>
        <w:pStyle w:val="14"/>
        <w:rPr>
          <w:rFonts w:hint="eastAsia" w:ascii="仿宋" w:hAnsi="仿宋" w:eastAsia="仿宋" w:cs="仿宋"/>
          <w:sz w:val="32"/>
          <w:szCs w:val="32"/>
        </w:rPr>
      </w:pPr>
      <w:r>
        <w:rPr>
          <w:rFonts w:hint="eastAsia" w:ascii="仿宋" w:hAnsi="仿宋" w:eastAsia="仿宋" w:cs="仿宋"/>
          <w:sz w:val="32"/>
          <w:szCs w:val="32"/>
        </w:rPr>
        <w:t>10.项目支出：指在基本支出之外为完成特定行政任务和事业发展目标所发生的支出。</w:t>
      </w:r>
    </w:p>
    <w:p>
      <w:pPr>
        <w:pStyle w:val="14"/>
        <w:rPr>
          <w:rFonts w:hint="eastAsia" w:ascii="仿宋" w:hAnsi="仿宋" w:eastAsia="仿宋" w:cs="仿宋"/>
          <w:sz w:val="32"/>
          <w:szCs w:val="32"/>
        </w:rPr>
      </w:pPr>
      <w:r>
        <w:rPr>
          <w:rFonts w:hint="eastAsia" w:ascii="仿宋" w:hAnsi="仿宋" w:eastAsia="仿宋" w:cs="仿宋"/>
          <w:sz w:val="32"/>
          <w:szCs w:val="32"/>
        </w:rPr>
        <w:t>11.“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4"/>
        <w:rPr>
          <w:rFonts w:hint="eastAsia"/>
        </w:rPr>
      </w:pPr>
      <w:r>
        <w:rPr>
          <w:rFonts w:hint="eastAsia" w:ascii="仿宋" w:hAnsi="仿宋" w:eastAsia="仿宋" w:cs="仿宋"/>
          <w:sz w:val="32"/>
          <w:szCs w:val="32"/>
        </w:rPr>
        <w:t>12.机关运行经费：为保障行政单位（包含参照公务员法管理的事业单位）运行用于购买货物和服务的各项资金。包括办公及印刷费、邮电费、差旅费、会议费一般设备购置费等费用开支。</w:t>
      </w:r>
    </w:p>
    <w:p>
      <w:pPr>
        <w:pStyle w:val="14"/>
        <w:rPr>
          <w:rFonts w:hint="eastAsia"/>
        </w:rPr>
      </w:pPr>
    </w:p>
    <w:p>
      <w:pPr>
        <w:pStyle w:val="14"/>
        <w:rPr>
          <w:rFonts w:hint="eastAsia"/>
        </w:rPr>
      </w:pPr>
    </w:p>
    <w:sectPr>
      <w:footerReference r:id="rId3" w:type="default"/>
      <w:footerReference r:id="rId4" w:type="even"/>
      <w:pgSz w:w="11906" w:h="16838"/>
      <w:pgMar w:top="2041" w:right="1474" w:bottom="1588" w:left="1474" w:header="851"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wordWrap w:val="0"/>
    </w:pPr>
    <w:r>
      <w:rPr>
        <w:rFonts w:hint="eastAsia"/>
      </w:rPr>
      <w:t>—</w:t>
    </w:r>
    <w:r>
      <w:fldChar w:fldCharType="begin"/>
    </w:r>
    <w:r>
      <w:instrText xml:space="preserve">PAGE   \* MERGEFORMAT</w:instrText>
    </w:r>
    <w:r>
      <w:fldChar w:fldCharType="separate"/>
    </w:r>
    <w:r>
      <w:rPr>
        <w:lang w:val="zh-CN"/>
      </w:rPr>
      <w:t>1</w:t>
    </w:r>
    <w:r>
      <w:fldChar w:fldCharType="end"/>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jc w:val="left"/>
    </w:pPr>
    <w:r>
      <w:rPr>
        <w:rFonts w:hint="eastAsia"/>
      </w:rPr>
      <w:t>—</w:t>
    </w:r>
    <w:r>
      <w:fldChar w:fldCharType="begin"/>
    </w:r>
    <w:r>
      <w:instrText xml:space="preserve">PAGE   \* MERGEFORMAT</w:instrText>
    </w:r>
    <w:r>
      <w:fldChar w:fldCharType="separate"/>
    </w:r>
    <w:r>
      <w:rPr>
        <w:lang w:val="zh-CN"/>
      </w:rPr>
      <w:t>2</w:t>
    </w:r>
    <w:r>
      <w:fldChar w:fldCharType="end"/>
    </w:r>
    <w:r>
      <w:rPr>
        <w:rFonts w:hint="eastAsia"/>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226B4"/>
    <w:multiLevelType w:val="multilevel"/>
    <w:tmpl w:val="2B5226B4"/>
    <w:lvl w:ilvl="0" w:tentative="0">
      <w:start w:val="1"/>
      <w:numFmt w:val="decimal"/>
      <w:pStyle w:val="44"/>
      <w:suff w:val="nothing"/>
      <w:lvlText w:val="(%1)"/>
      <w:lvlJc w:val="left"/>
      <w:pPr>
        <w:ind w:left="0" w:firstLine="635"/>
      </w:pPr>
      <w:rPr>
        <w:rFonts w:hint="eastAsia"/>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
    <w:nsid w:val="34F85EAF"/>
    <w:multiLevelType w:val="multilevel"/>
    <w:tmpl w:val="34F85EAF"/>
    <w:lvl w:ilvl="0" w:tentative="0">
      <w:start w:val="1"/>
      <w:numFmt w:val="chineseCountingThousand"/>
      <w:pStyle w:val="47"/>
      <w:suff w:val="nothing"/>
      <w:lvlText w:val="%1、"/>
      <w:lvlJc w:val="left"/>
      <w:pPr>
        <w:ind w:left="1057" w:hanging="420"/>
      </w:pPr>
      <w:rPr>
        <w:rFonts w:hint="eastAsia"/>
      </w:rPr>
    </w:lvl>
    <w:lvl w:ilvl="1" w:tentative="0">
      <w:start w:val="1"/>
      <w:numFmt w:val="lowerLetter"/>
      <w:lvlText w:val="%2)"/>
      <w:lvlJc w:val="left"/>
      <w:pPr>
        <w:ind w:left="1477" w:hanging="420"/>
      </w:pPr>
    </w:lvl>
    <w:lvl w:ilvl="2" w:tentative="0">
      <w:start w:val="1"/>
      <w:numFmt w:val="lowerRoman"/>
      <w:lvlText w:val="%3."/>
      <w:lvlJc w:val="right"/>
      <w:pPr>
        <w:ind w:left="1897" w:hanging="420"/>
      </w:pPr>
    </w:lvl>
    <w:lvl w:ilvl="3" w:tentative="0">
      <w:start w:val="1"/>
      <w:numFmt w:val="decimal"/>
      <w:lvlText w:val="%4."/>
      <w:lvlJc w:val="left"/>
      <w:pPr>
        <w:ind w:left="2317" w:hanging="420"/>
      </w:pPr>
    </w:lvl>
    <w:lvl w:ilvl="4" w:tentative="0">
      <w:start w:val="1"/>
      <w:numFmt w:val="lowerLetter"/>
      <w:lvlText w:val="%5)"/>
      <w:lvlJc w:val="left"/>
      <w:pPr>
        <w:ind w:left="2737" w:hanging="420"/>
      </w:pPr>
    </w:lvl>
    <w:lvl w:ilvl="5" w:tentative="0">
      <w:start w:val="1"/>
      <w:numFmt w:val="lowerRoman"/>
      <w:lvlText w:val="%6."/>
      <w:lvlJc w:val="right"/>
      <w:pPr>
        <w:ind w:left="3157" w:hanging="420"/>
      </w:pPr>
    </w:lvl>
    <w:lvl w:ilvl="6" w:tentative="0">
      <w:start w:val="1"/>
      <w:numFmt w:val="decimal"/>
      <w:lvlText w:val="%7."/>
      <w:lvlJc w:val="left"/>
      <w:pPr>
        <w:ind w:left="3577" w:hanging="420"/>
      </w:pPr>
    </w:lvl>
    <w:lvl w:ilvl="7" w:tentative="0">
      <w:start w:val="1"/>
      <w:numFmt w:val="lowerLetter"/>
      <w:lvlText w:val="%8)"/>
      <w:lvlJc w:val="left"/>
      <w:pPr>
        <w:ind w:left="3997" w:hanging="420"/>
      </w:pPr>
    </w:lvl>
    <w:lvl w:ilvl="8" w:tentative="0">
      <w:start w:val="1"/>
      <w:numFmt w:val="lowerRoman"/>
      <w:lvlText w:val="%9."/>
      <w:lvlJc w:val="right"/>
      <w:pPr>
        <w:ind w:left="4417" w:hanging="420"/>
      </w:pPr>
    </w:lvl>
  </w:abstractNum>
  <w:abstractNum w:abstractNumId="2">
    <w:nsid w:val="5B63281F"/>
    <w:multiLevelType w:val="multilevel"/>
    <w:tmpl w:val="5B63281F"/>
    <w:lvl w:ilvl="0" w:tentative="0">
      <w:start w:val="1"/>
      <w:numFmt w:val="decimal"/>
      <w:pStyle w:val="35"/>
      <w:suff w:val="nothing"/>
      <w:lvlText w:val="%1."/>
      <w:lvlJc w:val="left"/>
      <w:pPr>
        <w:ind w:left="0" w:firstLine="635"/>
      </w:pPr>
      <w:rPr>
        <w:rFonts w:hint="eastAsia"/>
      </w:rPr>
    </w:lvl>
    <w:lvl w:ilvl="1" w:tentative="0">
      <w:start w:val="1"/>
      <w:numFmt w:val="lowerLetter"/>
      <w:lvlText w:val="%2)"/>
      <w:lvlJc w:val="left"/>
      <w:pPr>
        <w:ind w:left="1475" w:hanging="420"/>
      </w:pPr>
    </w:lvl>
    <w:lvl w:ilvl="2" w:tentative="0">
      <w:start w:val="1"/>
      <w:numFmt w:val="lowerRoman"/>
      <w:lvlText w:val="%3."/>
      <w:lvlJc w:val="right"/>
      <w:pPr>
        <w:ind w:left="1895" w:hanging="420"/>
      </w:pPr>
    </w:lvl>
    <w:lvl w:ilvl="3" w:tentative="0">
      <w:start w:val="1"/>
      <w:numFmt w:val="decimal"/>
      <w:lvlText w:val="%4."/>
      <w:lvlJc w:val="left"/>
      <w:pPr>
        <w:ind w:left="2315" w:hanging="420"/>
      </w:pPr>
    </w:lvl>
    <w:lvl w:ilvl="4" w:tentative="0">
      <w:start w:val="1"/>
      <w:numFmt w:val="lowerLetter"/>
      <w:lvlText w:val="%5)"/>
      <w:lvlJc w:val="left"/>
      <w:pPr>
        <w:ind w:left="2735" w:hanging="420"/>
      </w:pPr>
    </w:lvl>
    <w:lvl w:ilvl="5" w:tentative="0">
      <w:start w:val="1"/>
      <w:numFmt w:val="lowerRoman"/>
      <w:lvlText w:val="%6."/>
      <w:lvlJc w:val="right"/>
      <w:pPr>
        <w:ind w:left="3155" w:hanging="420"/>
      </w:pPr>
    </w:lvl>
    <w:lvl w:ilvl="6" w:tentative="0">
      <w:start w:val="1"/>
      <w:numFmt w:val="decimal"/>
      <w:lvlText w:val="%7."/>
      <w:lvlJc w:val="left"/>
      <w:pPr>
        <w:ind w:left="3575" w:hanging="420"/>
      </w:pPr>
    </w:lvl>
    <w:lvl w:ilvl="7" w:tentative="0">
      <w:start w:val="1"/>
      <w:numFmt w:val="lowerLetter"/>
      <w:lvlText w:val="%8)"/>
      <w:lvlJc w:val="left"/>
      <w:pPr>
        <w:ind w:left="3995" w:hanging="420"/>
      </w:pPr>
    </w:lvl>
    <w:lvl w:ilvl="8" w:tentative="0">
      <w:start w:val="1"/>
      <w:numFmt w:val="lowerRoman"/>
      <w:lvlText w:val="%9."/>
      <w:lvlJc w:val="right"/>
      <w:pPr>
        <w:ind w:left="4415" w:hanging="420"/>
      </w:pPr>
    </w:lvl>
  </w:abstractNum>
  <w:abstractNum w:abstractNumId="3">
    <w:nsid w:val="7EE55BF3"/>
    <w:multiLevelType w:val="multilevel"/>
    <w:tmpl w:val="7EE55BF3"/>
    <w:lvl w:ilvl="0" w:tentative="0">
      <w:start w:val="1"/>
      <w:numFmt w:val="chineseCountingThousand"/>
      <w:pStyle w:val="46"/>
      <w:suff w:val="nothing"/>
      <w:lvlText w:val="（%1）"/>
      <w:lvlJc w:val="left"/>
      <w:pPr>
        <w:ind w:left="415" w:firstLine="635"/>
      </w:pPr>
      <w:rPr>
        <w:rFonts w:hint="eastAsia"/>
        <w:lang w:val="en-US"/>
      </w:r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ZiMWYwMGE3MzViMzRiNjE4MjkyOGRmMmE3NzgifQ=="/>
  </w:docVars>
  <w:rsids>
    <w:rsidRoot w:val="00276844"/>
    <w:rsid w:val="000043CA"/>
    <w:rsid w:val="00005724"/>
    <w:rsid w:val="00015A97"/>
    <w:rsid w:val="000246D8"/>
    <w:rsid w:val="00030FD9"/>
    <w:rsid w:val="00032E08"/>
    <w:rsid w:val="0004402F"/>
    <w:rsid w:val="000442AD"/>
    <w:rsid w:val="00046E1B"/>
    <w:rsid w:val="00056314"/>
    <w:rsid w:val="000628CE"/>
    <w:rsid w:val="0007360D"/>
    <w:rsid w:val="0007603A"/>
    <w:rsid w:val="00080625"/>
    <w:rsid w:val="00083211"/>
    <w:rsid w:val="00086324"/>
    <w:rsid w:val="000868A9"/>
    <w:rsid w:val="0009028B"/>
    <w:rsid w:val="00094C71"/>
    <w:rsid w:val="00096C14"/>
    <w:rsid w:val="000A1E3E"/>
    <w:rsid w:val="000A47A0"/>
    <w:rsid w:val="000B176D"/>
    <w:rsid w:val="000C6B51"/>
    <w:rsid w:val="000C7E3D"/>
    <w:rsid w:val="000D3373"/>
    <w:rsid w:val="000D6271"/>
    <w:rsid w:val="000D7D67"/>
    <w:rsid w:val="000E354F"/>
    <w:rsid w:val="000F087D"/>
    <w:rsid w:val="000F17A8"/>
    <w:rsid w:val="000F2057"/>
    <w:rsid w:val="000F41A8"/>
    <w:rsid w:val="000F594B"/>
    <w:rsid w:val="001003D6"/>
    <w:rsid w:val="00100DD8"/>
    <w:rsid w:val="00127D9F"/>
    <w:rsid w:val="0013025D"/>
    <w:rsid w:val="0013530A"/>
    <w:rsid w:val="001468C6"/>
    <w:rsid w:val="001500CF"/>
    <w:rsid w:val="00152546"/>
    <w:rsid w:val="00154ED7"/>
    <w:rsid w:val="0015548B"/>
    <w:rsid w:val="00164F3C"/>
    <w:rsid w:val="00166168"/>
    <w:rsid w:val="00172E8D"/>
    <w:rsid w:val="00173835"/>
    <w:rsid w:val="00177FE8"/>
    <w:rsid w:val="00182824"/>
    <w:rsid w:val="00185DDD"/>
    <w:rsid w:val="00194BC1"/>
    <w:rsid w:val="001A0AB3"/>
    <w:rsid w:val="001A3FD5"/>
    <w:rsid w:val="001A6F4B"/>
    <w:rsid w:val="001B3092"/>
    <w:rsid w:val="001B4F19"/>
    <w:rsid w:val="001B66CB"/>
    <w:rsid w:val="001B79A2"/>
    <w:rsid w:val="001C0662"/>
    <w:rsid w:val="001C26AA"/>
    <w:rsid w:val="001C30C7"/>
    <w:rsid w:val="001C32DA"/>
    <w:rsid w:val="001C43DC"/>
    <w:rsid w:val="001C54BA"/>
    <w:rsid w:val="001D3BC4"/>
    <w:rsid w:val="001D4FFF"/>
    <w:rsid w:val="001D514D"/>
    <w:rsid w:val="001E0422"/>
    <w:rsid w:val="001E0ED0"/>
    <w:rsid w:val="001F655E"/>
    <w:rsid w:val="001F72C1"/>
    <w:rsid w:val="002010F4"/>
    <w:rsid w:val="002045EE"/>
    <w:rsid w:val="00206CA0"/>
    <w:rsid w:val="00211B24"/>
    <w:rsid w:val="00213514"/>
    <w:rsid w:val="00216241"/>
    <w:rsid w:val="00220F01"/>
    <w:rsid w:val="002226C1"/>
    <w:rsid w:val="00223451"/>
    <w:rsid w:val="002361B5"/>
    <w:rsid w:val="0023743C"/>
    <w:rsid w:val="00240BA2"/>
    <w:rsid w:val="00241E45"/>
    <w:rsid w:val="00244E39"/>
    <w:rsid w:val="002453C2"/>
    <w:rsid w:val="00253643"/>
    <w:rsid w:val="00254CE5"/>
    <w:rsid w:val="0026597B"/>
    <w:rsid w:val="002660D9"/>
    <w:rsid w:val="00270DD8"/>
    <w:rsid w:val="00275AC3"/>
    <w:rsid w:val="00276844"/>
    <w:rsid w:val="002812A0"/>
    <w:rsid w:val="0028430A"/>
    <w:rsid w:val="00287C8F"/>
    <w:rsid w:val="00291468"/>
    <w:rsid w:val="00293362"/>
    <w:rsid w:val="00297115"/>
    <w:rsid w:val="002A7B6B"/>
    <w:rsid w:val="002B788B"/>
    <w:rsid w:val="002C1E51"/>
    <w:rsid w:val="002C30A5"/>
    <w:rsid w:val="002D70C1"/>
    <w:rsid w:val="002D7861"/>
    <w:rsid w:val="002D7B22"/>
    <w:rsid w:val="002E3BE9"/>
    <w:rsid w:val="002E45AE"/>
    <w:rsid w:val="002E6388"/>
    <w:rsid w:val="002E7C74"/>
    <w:rsid w:val="002F682A"/>
    <w:rsid w:val="0030300D"/>
    <w:rsid w:val="00307A62"/>
    <w:rsid w:val="00311341"/>
    <w:rsid w:val="003146C3"/>
    <w:rsid w:val="00326A5F"/>
    <w:rsid w:val="003336CE"/>
    <w:rsid w:val="003340E2"/>
    <w:rsid w:val="0033474D"/>
    <w:rsid w:val="00335B14"/>
    <w:rsid w:val="003451DE"/>
    <w:rsid w:val="00351E36"/>
    <w:rsid w:val="00353E79"/>
    <w:rsid w:val="00375B59"/>
    <w:rsid w:val="00382D77"/>
    <w:rsid w:val="0038349E"/>
    <w:rsid w:val="0039689D"/>
    <w:rsid w:val="003A240E"/>
    <w:rsid w:val="003A5DCD"/>
    <w:rsid w:val="003A6E96"/>
    <w:rsid w:val="003B3FF6"/>
    <w:rsid w:val="003C02E5"/>
    <w:rsid w:val="003D3F00"/>
    <w:rsid w:val="003E0EF5"/>
    <w:rsid w:val="003E0F17"/>
    <w:rsid w:val="003E2F91"/>
    <w:rsid w:val="003E3B59"/>
    <w:rsid w:val="003E67A0"/>
    <w:rsid w:val="003F6CE7"/>
    <w:rsid w:val="00400F22"/>
    <w:rsid w:val="0040430E"/>
    <w:rsid w:val="004049A0"/>
    <w:rsid w:val="00425DE5"/>
    <w:rsid w:val="00430914"/>
    <w:rsid w:val="00434F5A"/>
    <w:rsid w:val="00437FBF"/>
    <w:rsid w:val="0044017E"/>
    <w:rsid w:val="0044273D"/>
    <w:rsid w:val="00442DAD"/>
    <w:rsid w:val="00453AE7"/>
    <w:rsid w:val="00457A72"/>
    <w:rsid w:val="00464346"/>
    <w:rsid w:val="00467F80"/>
    <w:rsid w:val="00471C7B"/>
    <w:rsid w:val="00473A63"/>
    <w:rsid w:val="0048317D"/>
    <w:rsid w:val="00484328"/>
    <w:rsid w:val="0048614D"/>
    <w:rsid w:val="00486A1E"/>
    <w:rsid w:val="00487863"/>
    <w:rsid w:val="004936DC"/>
    <w:rsid w:val="00494ADC"/>
    <w:rsid w:val="00497355"/>
    <w:rsid w:val="004A41B4"/>
    <w:rsid w:val="004A6F0C"/>
    <w:rsid w:val="004A72BD"/>
    <w:rsid w:val="004B1090"/>
    <w:rsid w:val="004B2344"/>
    <w:rsid w:val="004B31F7"/>
    <w:rsid w:val="004B5438"/>
    <w:rsid w:val="004B73F1"/>
    <w:rsid w:val="004C46E2"/>
    <w:rsid w:val="004D1AD6"/>
    <w:rsid w:val="004E10E8"/>
    <w:rsid w:val="004E7F36"/>
    <w:rsid w:val="004F6BA3"/>
    <w:rsid w:val="005005B3"/>
    <w:rsid w:val="00503C72"/>
    <w:rsid w:val="00512E1A"/>
    <w:rsid w:val="00516D77"/>
    <w:rsid w:val="00520EB9"/>
    <w:rsid w:val="005219DB"/>
    <w:rsid w:val="00525956"/>
    <w:rsid w:val="00525DE2"/>
    <w:rsid w:val="00527FAA"/>
    <w:rsid w:val="00530EEC"/>
    <w:rsid w:val="00536B42"/>
    <w:rsid w:val="005423CC"/>
    <w:rsid w:val="00544B88"/>
    <w:rsid w:val="0055304A"/>
    <w:rsid w:val="0055700C"/>
    <w:rsid w:val="0056054F"/>
    <w:rsid w:val="00566531"/>
    <w:rsid w:val="0058060F"/>
    <w:rsid w:val="005829A7"/>
    <w:rsid w:val="00584712"/>
    <w:rsid w:val="005852B9"/>
    <w:rsid w:val="0058616D"/>
    <w:rsid w:val="005902E0"/>
    <w:rsid w:val="00592A43"/>
    <w:rsid w:val="00595287"/>
    <w:rsid w:val="0059663C"/>
    <w:rsid w:val="005A29A1"/>
    <w:rsid w:val="005A71D7"/>
    <w:rsid w:val="005C757F"/>
    <w:rsid w:val="005D07C0"/>
    <w:rsid w:val="005E5B89"/>
    <w:rsid w:val="005E71AA"/>
    <w:rsid w:val="0060182F"/>
    <w:rsid w:val="00611B54"/>
    <w:rsid w:val="00612A35"/>
    <w:rsid w:val="00615F35"/>
    <w:rsid w:val="00620BC9"/>
    <w:rsid w:val="0062279F"/>
    <w:rsid w:val="00622E21"/>
    <w:rsid w:val="006265A1"/>
    <w:rsid w:val="00632802"/>
    <w:rsid w:val="0063506E"/>
    <w:rsid w:val="0063538E"/>
    <w:rsid w:val="00636565"/>
    <w:rsid w:val="00637822"/>
    <w:rsid w:val="00637F2C"/>
    <w:rsid w:val="00641C82"/>
    <w:rsid w:val="0064274B"/>
    <w:rsid w:val="006465B2"/>
    <w:rsid w:val="00651006"/>
    <w:rsid w:val="00651ED2"/>
    <w:rsid w:val="00667F37"/>
    <w:rsid w:val="00677F2F"/>
    <w:rsid w:val="00696691"/>
    <w:rsid w:val="00697A76"/>
    <w:rsid w:val="006A3953"/>
    <w:rsid w:val="006B1157"/>
    <w:rsid w:val="006B260A"/>
    <w:rsid w:val="006B325C"/>
    <w:rsid w:val="006C64B3"/>
    <w:rsid w:val="006D3419"/>
    <w:rsid w:val="006E59CD"/>
    <w:rsid w:val="006F4840"/>
    <w:rsid w:val="006F59D9"/>
    <w:rsid w:val="006F5E60"/>
    <w:rsid w:val="006F7FFC"/>
    <w:rsid w:val="00703F75"/>
    <w:rsid w:val="00707BF6"/>
    <w:rsid w:val="00712680"/>
    <w:rsid w:val="0071587C"/>
    <w:rsid w:val="00716233"/>
    <w:rsid w:val="00716FC8"/>
    <w:rsid w:val="00727A23"/>
    <w:rsid w:val="0073112F"/>
    <w:rsid w:val="007329D8"/>
    <w:rsid w:val="00735199"/>
    <w:rsid w:val="00751CEA"/>
    <w:rsid w:val="00752D48"/>
    <w:rsid w:val="00770F00"/>
    <w:rsid w:val="00771464"/>
    <w:rsid w:val="00776C5A"/>
    <w:rsid w:val="00777527"/>
    <w:rsid w:val="00781A5C"/>
    <w:rsid w:val="0078518C"/>
    <w:rsid w:val="0079110F"/>
    <w:rsid w:val="007975CB"/>
    <w:rsid w:val="007A2199"/>
    <w:rsid w:val="007A3EA0"/>
    <w:rsid w:val="007A74E6"/>
    <w:rsid w:val="007B2002"/>
    <w:rsid w:val="007B409D"/>
    <w:rsid w:val="007B5885"/>
    <w:rsid w:val="007C04BE"/>
    <w:rsid w:val="007D03B0"/>
    <w:rsid w:val="007D132B"/>
    <w:rsid w:val="007E0DD3"/>
    <w:rsid w:val="007E6485"/>
    <w:rsid w:val="007E7A18"/>
    <w:rsid w:val="007F0FE1"/>
    <w:rsid w:val="007F33F8"/>
    <w:rsid w:val="007F455A"/>
    <w:rsid w:val="007F6313"/>
    <w:rsid w:val="007F6FA3"/>
    <w:rsid w:val="008018C4"/>
    <w:rsid w:val="00804853"/>
    <w:rsid w:val="008229EE"/>
    <w:rsid w:val="008230CE"/>
    <w:rsid w:val="0084524D"/>
    <w:rsid w:val="0085401C"/>
    <w:rsid w:val="008546AE"/>
    <w:rsid w:val="0086057D"/>
    <w:rsid w:val="00863E93"/>
    <w:rsid w:val="00865DC0"/>
    <w:rsid w:val="00870F4D"/>
    <w:rsid w:val="008723E7"/>
    <w:rsid w:val="00872A8E"/>
    <w:rsid w:val="00872E2D"/>
    <w:rsid w:val="00876449"/>
    <w:rsid w:val="00877334"/>
    <w:rsid w:val="008827BF"/>
    <w:rsid w:val="00885273"/>
    <w:rsid w:val="008A1827"/>
    <w:rsid w:val="008A2FB8"/>
    <w:rsid w:val="008B115F"/>
    <w:rsid w:val="008B1A74"/>
    <w:rsid w:val="008B1B74"/>
    <w:rsid w:val="008B6ABD"/>
    <w:rsid w:val="008C2E4B"/>
    <w:rsid w:val="008D05BB"/>
    <w:rsid w:val="008D45FE"/>
    <w:rsid w:val="008E1FDF"/>
    <w:rsid w:val="008E2FED"/>
    <w:rsid w:val="008F0E5B"/>
    <w:rsid w:val="009007DC"/>
    <w:rsid w:val="00902DB5"/>
    <w:rsid w:val="00906270"/>
    <w:rsid w:val="0091571C"/>
    <w:rsid w:val="00917735"/>
    <w:rsid w:val="00920104"/>
    <w:rsid w:val="00923D93"/>
    <w:rsid w:val="00925E81"/>
    <w:rsid w:val="009266F7"/>
    <w:rsid w:val="00932312"/>
    <w:rsid w:val="00933596"/>
    <w:rsid w:val="00934F05"/>
    <w:rsid w:val="00934F8B"/>
    <w:rsid w:val="009377C0"/>
    <w:rsid w:val="009422AF"/>
    <w:rsid w:val="0094619E"/>
    <w:rsid w:val="0095205E"/>
    <w:rsid w:val="00957507"/>
    <w:rsid w:val="00967BBC"/>
    <w:rsid w:val="0097116B"/>
    <w:rsid w:val="0097391B"/>
    <w:rsid w:val="00974375"/>
    <w:rsid w:val="00974E9C"/>
    <w:rsid w:val="00982472"/>
    <w:rsid w:val="00982EA8"/>
    <w:rsid w:val="00995318"/>
    <w:rsid w:val="009A30C5"/>
    <w:rsid w:val="009B120D"/>
    <w:rsid w:val="009C07E9"/>
    <w:rsid w:val="009C4618"/>
    <w:rsid w:val="009D2FD7"/>
    <w:rsid w:val="009D56E7"/>
    <w:rsid w:val="009E1C2A"/>
    <w:rsid w:val="009E2E2D"/>
    <w:rsid w:val="00A0137B"/>
    <w:rsid w:val="00A04383"/>
    <w:rsid w:val="00A11048"/>
    <w:rsid w:val="00A11BBD"/>
    <w:rsid w:val="00A124EC"/>
    <w:rsid w:val="00A227D8"/>
    <w:rsid w:val="00A251BC"/>
    <w:rsid w:val="00A317CE"/>
    <w:rsid w:val="00A32918"/>
    <w:rsid w:val="00A331F9"/>
    <w:rsid w:val="00A37A9D"/>
    <w:rsid w:val="00A41E8A"/>
    <w:rsid w:val="00A4494F"/>
    <w:rsid w:val="00A73AC7"/>
    <w:rsid w:val="00A82C3E"/>
    <w:rsid w:val="00A8519D"/>
    <w:rsid w:val="00A90B73"/>
    <w:rsid w:val="00A973E5"/>
    <w:rsid w:val="00AA1DFE"/>
    <w:rsid w:val="00AA7610"/>
    <w:rsid w:val="00AB22F7"/>
    <w:rsid w:val="00AB35EE"/>
    <w:rsid w:val="00AB7324"/>
    <w:rsid w:val="00AC72E6"/>
    <w:rsid w:val="00AD1E77"/>
    <w:rsid w:val="00AD2C0D"/>
    <w:rsid w:val="00AD4771"/>
    <w:rsid w:val="00AD50A8"/>
    <w:rsid w:val="00AD6823"/>
    <w:rsid w:val="00AF1A5C"/>
    <w:rsid w:val="00AF3B99"/>
    <w:rsid w:val="00B01141"/>
    <w:rsid w:val="00B0146B"/>
    <w:rsid w:val="00B01604"/>
    <w:rsid w:val="00B0641D"/>
    <w:rsid w:val="00B06448"/>
    <w:rsid w:val="00B21111"/>
    <w:rsid w:val="00B278AA"/>
    <w:rsid w:val="00B3180C"/>
    <w:rsid w:val="00B323B9"/>
    <w:rsid w:val="00B3272F"/>
    <w:rsid w:val="00B35590"/>
    <w:rsid w:val="00B41E5B"/>
    <w:rsid w:val="00B52EA2"/>
    <w:rsid w:val="00B55072"/>
    <w:rsid w:val="00B65F9C"/>
    <w:rsid w:val="00B65FD0"/>
    <w:rsid w:val="00B7688E"/>
    <w:rsid w:val="00B76E0D"/>
    <w:rsid w:val="00B8343B"/>
    <w:rsid w:val="00B84457"/>
    <w:rsid w:val="00B84869"/>
    <w:rsid w:val="00B916C6"/>
    <w:rsid w:val="00B93736"/>
    <w:rsid w:val="00BA0C87"/>
    <w:rsid w:val="00BA1665"/>
    <w:rsid w:val="00BA7A5E"/>
    <w:rsid w:val="00BB3F95"/>
    <w:rsid w:val="00BB6842"/>
    <w:rsid w:val="00BC00CA"/>
    <w:rsid w:val="00BD4040"/>
    <w:rsid w:val="00BD43EB"/>
    <w:rsid w:val="00BE1031"/>
    <w:rsid w:val="00BE3C4A"/>
    <w:rsid w:val="00BE5A2F"/>
    <w:rsid w:val="00BE7AE1"/>
    <w:rsid w:val="00BF0EFE"/>
    <w:rsid w:val="00BF7F1C"/>
    <w:rsid w:val="00C0089D"/>
    <w:rsid w:val="00C02AFE"/>
    <w:rsid w:val="00C1015A"/>
    <w:rsid w:val="00C13EAA"/>
    <w:rsid w:val="00C159E1"/>
    <w:rsid w:val="00C16B55"/>
    <w:rsid w:val="00C21FA6"/>
    <w:rsid w:val="00C27754"/>
    <w:rsid w:val="00C348E9"/>
    <w:rsid w:val="00C433AD"/>
    <w:rsid w:val="00C60326"/>
    <w:rsid w:val="00C63F5C"/>
    <w:rsid w:val="00C654AF"/>
    <w:rsid w:val="00C66576"/>
    <w:rsid w:val="00C74034"/>
    <w:rsid w:val="00C7589A"/>
    <w:rsid w:val="00C84B75"/>
    <w:rsid w:val="00C85328"/>
    <w:rsid w:val="00C9063E"/>
    <w:rsid w:val="00C9391B"/>
    <w:rsid w:val="00CA1214"/>
    <w:rsid w:val="00CA360D"/>
    <w:rsid w:val="00CB2AE9"/>
    <w:rsid w:val="00CB6CF3"/>
    <w:rsid w:val="00CC15F3"/>
    <w:rsid w:val="00CC1645"/>
    <w:rsid w:val="00CC6A52"/>
    <w:rsid w:val="00CD101A"/>
    <w:rsid w:val="00CD1115"/>
    <w:rsid w:val="00CD65D9"/>
    <w:rsid w:val="00CE7AE0"/>
    <w:rsid w:val="00CE7F2D"/>
    <w:rsid w:val="00CF17BF"/>
    <w:rsid w:val="00CF2202"/>
    <w:rsid w:val="00D06AA3"/>
    <w:rsid w:val="00D1348F"/>
    <w:rsid w:val="00D140E5"/>
    <w:rsid w:val="00D22E22"/>
    <w:rsid w:val="00D2550E"/>
    <w:rsid w:val="00D30E46"/>
    <w:rsid w:val="00D36FF0"/>
    <w:rsid w:val="00D409BB"/>
    <w:rsid w:val="00D51630"/>
    <w:rsid w:val="00D616A4"/>
    <w:rsid w:val="00D63525"/>
    <w:rsid w:val="00D64CC0"/>
    <w:rsid w:val="00D70D82"/>
    <w:rsid w:val="00D717DE"/>
    <w:rsid w:val="00D755AC"/>
    <w:rsid w:val="00D804AA"/>
    <w:rsid w:val="00D80D1C"/>
    <w:rsid w:val="00D80E02"/>
    <w:rsid w:val="00D8208F"/>
    <w:rsid w:val="00D83AED"/>
    <w:rsid w:val="00DB2359"/>
    <w:rsid w:val="00DC084E"/>
    <w:rsid w:val="00DC1E2B"/>
    <w:rsid w:val="00DC6375"/>
    <w:rsid w:val="00DD0220"/>
    <w:rsid w:val="00DE005B"/>
    <w:rsid w:val="00DE07AD"/>
    <w:rsid w:val="00DE6003"/>
    <w:rsid w:val="00DF3980"/>
    <w:rsid w:val="00E01AB9"/>
    <w:rsid w:val="00E163CD"/>
    <w:rsid w:val="00E17A8F"/>
    <w:rsid w:val="00E21189"/>
    <w:rsid w:val="00E22C44"/>
    <w:rsid w:val="00E25699"/>
    <w:rsid w:val="00E25E10"/>
    <w:rsid w:val="00E26F88"/>
    <w:rsid w:val="00E2729E"/>
    <w:rsid w:val="00E3450B"/>
    <w:rsid w:val="00E36EFB"/>
    <w:rsid w:val="00E429AB"/>
    <w:rsid w:val="00E44849"/>
    <w:rsid w:val="00E5152A"/>
    <w:rsid w:val="00E526C8"/>
    <w:rsid w:val="00E55250"/>
    <w:rsid w:val="00E7105C"/>
    <w:rsid w:val="00E7187C"/>
    <w:rsid w:val="00E76240"/>
    <w:rsid w:val="00E81B87"/>
    <w:rsid w:val="00E81F2E"/>
    <w:rsid w:val="00E85698"/>
    <w:rsid w:val="00E903E8"/>
    <w:rsid w:val="00E90D91"/>
    <w:rsid w:val="00E9223B"/>
    <w:rsid w:val="00E922A9"/>
    <w:rsid w:val="00EB0083"/>
    <w:rsid w:val="00EC2253"/>
    <w:rsid w:val="00EC605F"/>
    <w:rsid w:val="00ED3186"/>
    <w:rsid w:val="00ED5AE9"/>
    <w:rsid w:val="00EE2FE7"/>
    <w:rsid w:val="00EE48C3"/>
    <w:rsid w:val="00EE57C8"/>
    <w:rsid w:val="00EF022F"/>
    <w:rsid w:val="00EF44B2"/>
    <w:rsid w:val="00F00F25"/>
    <w:rsid w:val="00F017D3"/>
    <w:rsid w:val="00F052AD"/>
    <w:rsid w:val="00F061C0"/>
    <w:rsid w:val="00F06FE6"/>
    <w:rsid w:val="00F072C1"/>
    <w:rsid w:val="00F1144B"/>
    <w:rsid w:val="00F147A8"/>
    <w:rsid w:val="00F20407"/>
    <w:rsid w:val="00F2468A"/>
    <w:rsid w:val="00F25630"/>
    <w:rsid w:val="00F34C67"/>
    <w:rsid w:val="00F45D3D"/>
    <w:rsid w:val="00F45DB7"/>
    <w:rsid w:val="00F503CA"/>
    <w:rsid w:val="00F5535E"/>
    <w:rsid w:val="00F56C84"/>
    <w:rsid w:val="00F56DFD"/>
    <w:rsid w:val="00F602E4"/>
    <w:rsid w:val="00F638AD"/>
    <w:rsid w:val="00F726FB"/>
    <w:rsid w:val="00F74826"/>
    <w:rsid w:val="00F8282F"/>
    <w:rsid w:val="00F9507F"/>
    <w:rsid w:val="00FA06F9"/>
    <w:rsid w:val="00FC1CCA"/>
    <w:rsid w:val="00FC58FB"/>
    <w:rsid w:val="00FD2C31"/>
    <w:rsid w:val="00FE2E2D"/>
    <w:rsid w:val="00FF696F"/>
    <w:rsid w:val="00FF7772"/>
    <w:rsid w:val="00FF7A11"/>
    <w:rsid w:val="02B024BC"/>
    <w:rsid w:val="06AB5053"/>
    <w:rsid w:val="14932070"/>
    <w:rsid w:val="15CF2312"/>
    <w:rsid w:val="25BA0D8A"/>
    <w:rsid w:val="35D60973"/>
    <w:rsid w:val="39EE1BD2"/>
    <w:rsid w:val="40241212"/>
    <w:rsid w:val="44444B17"/>
    <w:rsid w:val="519B130F"/>
    <w:rsid w:val="56356D14"/>
    <w:rsid w:val="5F3E56A1"/>
    <w:rsid w:val="61E15597"/>
    <w:rsid w:val="68C8106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8"/>
    <w:qFormat/>
    <w:uiPriority w:val="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59"/>
    <w:unhideWhenUsed/>
    <w:qFormat/>
    <w:uiPriority w:val="9"/>
    <w:pPr>
      <w:keepNext/>
      <w:keepLines/>
      <w:spacing w:before="260" w:after="260" w:line="416" w:lineRule="auto"/>
      <w:outlineLvl w:val="1"/>
    </w:pPr>
    <w:rPr>
      <w:rFonts w:ascii="Calibri Light" w:hAnsi="Calibri Light"/>
      <w:b/>
      <w:bCs/>
      <w:kern w:val="0"/>
      <w:sz w:val="32"/>
      <w:szCs w:val="32"/>
    </w:rPr>
  </w:style>
  <w:style w:type="character" w:default="1" w:styleId="9">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alloon Text"/>
    <w:basedOn w:val="1"/>
    <w:link w:val="60"/>
    <w:qFormat/>
    <w:uiPriority w:val="0"/>
    <w:rPr>
      <w:sz w:val="18"/>
      <w:szCs w:val="18"/>
    </w:rPr>
  </w:style>
  <w:style w:type="paragraph" w:styleId="5">
    <w:name w:val="footer"/>
    <w:basedOn w:val="1"/>
    <w:link w:val="61"/>
    <w:uiPriority w:val="0"/>
    <w:pPr>
      <w:tabs>
        <w:tab w:val="center" w:pos="4153"/>
        <w:tab w:val="right" w:pos="8306"/>
      </w:tabs>
      <w:snapToGrid w:val="0"/>
      <w:jc w:val="left"/>
    </w:pPr>
    <w:rPr>
      <w:sz w:val="18"/>
      <w:szCs w:val="18"/>
    </w:rPr>
  </w:style>
  <w:style w:type="paragraph" w:styleId="6">
    <w:name w:val="header"/>
    <w:basedOn w:val="1"/>
    <w:link w:val="62"/>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qFormat/>
    <w:uiPriority w:val="20"/>
  </w:style>
  <w:style w:type="character" w:styleId="11">
    <w:name w:val="Hyperlink"/>
    <w:qFormat/>
    <w:uiPriority w:val="99"/>
    <w:rPr>
      <w:u w:val="single"/>
    </w:rPr>
  </w:style>
  <w:style w:type="paragraph" w:customStyle="1" w:styleId="12">
    <w:name w:val="〖A02〗签发人姓名"/>
    <w:next w:val="1"/>
    <w:link w:val="63"/>
    <w:qFormat/>
    <w:uiPriority w:val="0"/>
    <w:pPr>
      <w:tabs>
        <w:tab w:val="right" w:pos="8626"/>
      </w:tabs>
      <w:spacing w:line="600" w:lineRule="exact"/>
    </w:pPr>
    <w:rPr>
      <w:rFonts w:ascii="楷体_GB2312" w:hAnsi="Calibri" w:eastAsia="楷体_GB2312" w:cs="Times New Roman"/>
      <w:kern w:val="2"/>
      <w:sz w:val="32"/>
      <w:szCs w:val="21"/>
      <w:lang w:val="en-US" w:eastAsia="zh-CN" w:bidi="ar-SA"/>
    </w:rPr>
  </w:style>
  <w:style w:type="paragraph" w:customStyle="1" w:styleId="13">
    <w:name w:val="〖C02〗发文单位及日期"/>
    <w:basedOn w:val="14"/>
    <w:next w:val="14"/>
    <w:qFormat/>
    <w:uiPriority w:val="0"/>
    <w:pPr>
      <w:tabs>
        <w:tab w:val="center" w:pos="6240"/>
      </w:tabs>
    </w:pPr>
  </w:style>
  <w:style w:type="paragraph" w:customStyle="1" w:styleId="14">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15">
    <w:name w:val="08 正文第二层"/>
    <w:basedOn w:val="1"/>
    <w:next w:val="1"/>
    <w:uiPriority w:val="0"/>
    <w:pPr>
      <w:spacing w:line="600" w:lineRule="exact"/>
      <w:ind w:firstLine="637" w:firstLineChars="200"/>
      <w:outlineLvl w:val="1"/>
    </w:pPr>
    <w:rPr>
      <w:rFonts w:ascii="楷体_GB2312" w:hAnsi="Calibri" w:eastAsia="楷体_GB2312" w:cs="宋体"/>
      <w:sz w:val="32"/>
      <w:szCs w:val="20"/>
    </w:rPr>
  </w:style>
  <w:style w:type="paragraph" w:customStyle="1" w:styleId="16">
    <w:name w:val="11 附件说明1"/>
    <w:basedOn w:val="17"/>
    <w:next w:val="1"/>
    <w:uiPriority w:val="0"/>
    <w:pPr>
      <w:spacing w:before="450" w:beforeLines="150"/>
      <w:ind w:left="1924" w:leftChars="305" w:hanging="1289" w:hangingChars="405"/>
    </w:pPr>
  </w:style>
  <w:style w:type="paragraph" w:customStyle="1" w:styleId="17">
    <w:name w:val="09 正文第三、四层"/>
    <w:basedOn w:val="1"/>
    <w:next w:val="1"/>
    <w:uiPriority w:val="0"/>
    <w:pPr>
      <w:spacing w:line="600" w:lineRule="exact"/>
      <w:ind w:firstLine="637" w:firstLineChars="200"/>
    </w:pPr>
    <w:rPr>
      <w:rFonts w:ascii="仿宋_GB2312" w:hAnsi="Calibri" w:eastAsia="仿宋_GB2312" w:cs="宋体"/>
      <w:sz w:val="32"/>
      <w:szCs w:val="20"/>
    </w:rPr>
  </w:style>
  <w:style w:type="paragraph" w:customStyle="1" w:styleId="18">
    <w:name w:val="〖A01〗公文红头子"/>
    <w:basedOn w:val="14"/>
    <w:next w:val="1"/>
    <w:uiPriority w:val="0"/>
    <w:pPr>
      <w:spacing w:after="1248" w:afterLines="400" w:line="2000" w:lineRule="exact"/>
      <w:ind w:left="210" w:leftChars="100" w:right="210" w:rightChars="100" w:firstLine="0" w:firstLineChars="0"/>
      <w:jc w:val="distribute"/>
    </w:pPr>
    <w:rPr>
      <w:rFonts w:ascii="方正小标宋简体" w:hAnsi="方正小标宋简体" w:eastAsia="方正小标宋简体" w:cs="宋体"/>
      <w:color w:val="FF0000"/>
      <w:w w:val="70"/>
      <w:sz w:val="140"/>
      <w:szCs w:val="20"/>
    </w:rPr>
  </w:style>
  <w:style w:type="paragraph" w:customStyle="1" w:styleId="19">
    <w:name w:val="〖A07〗公文红线"/>
    <w:basedOn w:val="1"/>
    <w:next w:val="1"/>
    <w:uiPriority w:val="0"/>
    <w:pPr>
      <w:spacing w:line="440" w:lineRule="exact"/>
      <w:jc w:val="distribute"/>
    </w:pPr>
    <w:rPr>
      <w:rFonts w:ascii="华文中宋" w:hAnsi="华文中宋" w:eastAsia="华文中宋" w:cs="宋体"/>
      <w:b/>
      <w:bCs/>
      <w:color w:val="FF0000"/>
      <w:sz w:val="88"/>
      <w:szCs w:val="20"/>
    </w:rPr>
  </w:style>
  <w:style w:type="paragraph" w:customStyle="1" w:styleId="20">
    <w:name w:val="〖A11〗页脚（奇数）"/>
    <w:basedOn w:val="5"/>
    <w:qFormat/>
    <w:uiPriority w:val="0"/>
    <w:pPr>
      <w:topLinePunct/>
      <w:jc w:val="right"/>
    </w:pPr>
    <w:rPr>
      <w:rFonts w:ascii="宋体"/>
      <w:kern w:val="0"/>
      <w:sz w:val="28"/>
      <w:szCs w:val="28"/>
    </w:rPr>
  </w:style>
  <w:style w:type="paragraph" w:customStyle="1" w:styleId="21">
    <w:name w:val="〖A10〗版记"/>
    <w:basedOn w:val="1"/>
    <w:qFormat/>
    <w:uiPriority w:val="0"/>
    <w:pPr>
      <w:pBdr>
        <w:top w:val="single" w:color="auto" w:sz="4" w:space="1"/>
        <w:bottom w:val="single" w:color="auto" w:sz="4" w:space="1"/>
        <w:between w:val="single" w:color="auto" w:sz="4" w:space="1"/>
      </w:pBdr>
      <w:tabs>
        <w:tab w:val="left" w:pos="210"/>
        <w:tab w:val="right" w:pos="8610"/>
      </w:tabs>
      <w:topLinePunct/>
      <w:spacing w:line="600" w:lineRule="exact"/>
    </w:pPr>
    <w:rPr>
      <w:rFonts w:ascii="仿宋_GB2312" w:eastAsia="仿宋_GB2312"/>
      <w:sz w:val="28"/>
      <w:szCs w:val="28"/>
    </w:rPr>
  </w:style>
  <w:style w:type="paragraph" w:customStyle="1" w:styleId="22">
    <w:name w:val="〖B09〗附件说明（无顺序号）"/>
    <w:next w:val="1"/>
    <w:qFormat/>
    <w:uiPriority w:val="0"/>
    <w:pPr>
      <w:widowControl w:val="0"/>
      <w:topLinePunct/>
      <w:spacing w:line="600" w:lineRule="exact"/>
      <w:ind w:left="1588" w:hanging="953"/>
    </w:pPr>
    <w:rPr>
      <w:rFonts w:ascii="仿宋_GB2312" w:hAnsi="Calibri" w:eastAsia="仿宋_GB2312" w:cs="Times New Roman"/>
      <w:kern w:val="2"/>
      <w:sz w:val="32"/>
      <w:szCs w:val="32"/>
      <w:lang w:val="en-US" w:eastAsia="zh-CN" w:bidi="ar-SA"/>
    </w:rPr>
  </w:style>
  <w:style w:type="paragraph" w:customStyle="1" w:styleId="23">
    <w:name w:val="〖B10〗附件说明（1）"/>
    <w:next w:val="1"/>
    <w:qFormat/>
    <w:uiPriority w:val="0"/>
    <w:pPr>
      <w:widowControl w:val="0"/>
      <w:spacing w:line="600" w:lineRule="exact"/>
      <w:ind w:left="1905" w:hanging="1270"/>
    </w:pPr>
    <w:rPr>
      <w:rFonts w:ascii="仿宋_GB2312" w:hAnsi="Calibri" w:eastAsia="仿宋_GB2312" w:cs="Times New Roman"/>
      <w:kern w:val="2"/>
      <w:sz w:val="32"/>
      <w:szCs w:val="21"/>
      <w:lang w:val="en-US" w:eastAsia="zh-CN" w:bidi="ar-SA"/>
    </w:rPr>
  </w:style>
  <w:style w:type="paragraph" w:customStyle="1" w:styleId="24">
    <w:name w:val="16 印发机关和印发日期"/>
    <w:basedOn w:val="1"/>
    <w:next w:val="1"/>
    <w:uiPriority w:val="0"/>
    <w:pPr>
      <w:tabs>
        <w:tab w:val="center" w:pos="7904"/>
      </w:tabs>
      <w:spacing w:line="600" w:lineRule="exact"/>
      <w:ind w:left="292" w:leftChars="140" w:right="292" w:rightChars="140"/>
    </w:pPr>
    <w:rPr>
      <w:rFonts w:ascii="仿宋_GB2312" w:hAnsi="Calibri" w:eastAsia="仿宋_GB2312" w:cs="宋体"/>
      <w:sz w:val="28"/>
      <w:szCs w:val="20"/>
    </w:rPr>
  </w:style>
  <w:style w:type="paragraph" w:customStyle="1" w:styleId="25">
    <w:name w:val="〖A01〗函件红头子"/>
    <w:basedOn w:val="1"/>
    <w:next w:val="1"/>
    <w:uiPriority w:val="0"/>
    <w:pPr>
      <w:ind w:right="180" w:rightChars="180" w:firstLine="38" w:firstLineChars="38"/>
      <w:jc w:val="distribute"/>
    </w:pPr>
    <w:rPr>
      <w:rFonts w:ascii="方正小标宋简体" w:eastAsia="方正小标宋简体" w:cs="宋体"/>
      <w:color w:val="FF0000"/>
      <w:w w:val="80"/>
      <w:sz w:val="110"/>
      <w:szCs w:val="20"/>
    </w:rPr>
  </w:style>
  <w:style w:type="paragraph" w:customStyle="1" w:styleId="26">
    <w:name w:val="10 正文图片"/>
    <w:basedOn w:val="17"/>
    <w:next w:val="17"/>
    <w:uiPriority w:val="0"/>
    <w:pPr>
      <w:spacing w:line="240" w:lineRule="auto"/>
      <w:ind w:firstLine="0" w:firstLineChars="0"/>
      <w:jc w:val="center"/>
    </w:pPr>
  </w:style>
  <w:style w:type="paragraph" w:customStyle="1" w:styleId="27">
    <w:name w:val="02  发文机关标志"/>
    <w:basedOn w:val="1"/>
    <w:next w:val="1"/>
    <w:uiPriority w:val="0"/>
    <w:pPr>
      <w:spacing w:after="1200" w:afterLines="400" w:line="2000" w:lineRule="exact"/>
      <w:ind w:left="208" w:leftChars="100" w:right="208" w:rightChars="100"/>
      <w:jc w:val="distribute"/>
    </w:pPr>
    <w:rPr>
      <w:rFonts w:ascii="方正小标宋简体" w:hAnsi="方正小标宋简体" w:eastAsia="方正小标宋简体" w:cs="宋体"/>
      <w:color w:val="FF0000"/>
      <w:w w:val="70"/>
      <w:sz w:val="140"/>
      <w:szCs w:val="20"/>
    </w:rPr>
  </w:style>
  <w:style w:type="paragraph" w:customStyle="1" w:styleId="28">
    <w:name w:val="正文文本1"/>
    <w:uiPriority w:val="0"/>
    <w:pPr>
      <w:widowControl w:val="0"/>
      <w:spacing w:after="120"/>
      <w:ind w:left="100" w:firstLine="200"/>
      <w:jc w:val="both"/>
    </w:pPr>
    <w:rPr>
      <w:rFonts w:ascii="Times New Roman" w:hAnsi="Times New Roman" w:eastAsia="Times New Roman" w:cs="Times New Roman"/>
      <w:color w:val="000000"/>
      <w:kern w:val="2"/>
      <w:sz w:val="21"/>
      <w:szCs w:val="21"/>
      <w:u w:val="none" w:color="000000"/>
      <w:lang w:val="en-US" w:eastAsia="zh-CN" w:bidi="ar-SA"/>
    </w:rPr>
  </w:style>
  <w:style w:type="paragraph" w:customStyle="1" w:styleId="29">
    <w:name w:val="〖A11〗奇数页码，4页以上"/>
    <w:basedOn w:val="5"/>
    <w:qFormat/>
    <w:uiPriority w:val="0"/>
    <w:pPr>
      <w:topLinePunct/>
      <w:ind w:right="134" w:rightChars="134"/>
      <w:jc w:val="right"/>
    </w:pPr>
    <w:rPr>
      <w:rFonts w:ascii="宋体"/>
      <w:kern w:val="0"/>
      <w:sz w:val="28"/>
      <w:szCs w:val="28"/>
    </w:rPr>
  </w:style>
  <w:style w:type="paragraph" w:customStyle="1" w:styleId="30">
    <w:name w:val="05 公文标题"/>
    <w:basedOn w:val="1"/>
    <w:next w:val="1"/>
    <w:uiPriority w:val="0"/>
    <w:pPr>
      <w:spacing w:line="600" w:lineRule="exact"/>
      <w:jc w:val="center"/>
      <w:outlineLvl w:val="0"/>
    </w:pPr>
    <w:rPr>
      <w:rFonts w:ascii="方正小标宋简体" w:hAnsi="Arial" w:eastAsia="方正小标宋简体" w:cs="宋体"/>
      <w:bCs/>
      <w:sz w:val="44"/>
      <w:szCs w:val="44"/>
    </w:rPr>
  </w:style>
  <w:style w:type="paragraph" w:customStyle="1" w:styleId="31">
    <w:name w:val="〖A04〗函件文号"/>
    <w:next w:val="1"/>
    <w:qFormat/>
    <w:uiPriority w:val="0"/>
    <w:pPr>
      <w:spacing w:line="600" w:lineRule="exact"/>
      <w:ind w:left="318" w:right="318"/>
      <w:jc w:val="right"/>
    </w:pPr>
    <w:rPr>
      <w:rFonts w:ascii="仿宋_GB2312" w:hAnsi="Calibri" w:eastAsia="仿宋_GB2312" w:cs="Times New Roman"/>
      <w:kern w:val="2"/>
      <w:sz w:val="32"/>
      <w:szCs w:val="32"/>
      <w:lang w:val="en-US" w:eastAsia="zh-CN" w:bidi="ar-SA"/>
    </w:rPr>
  </w:style>
  <w:style w:type="paragraph" w:customStyle="1" w:styleId="32">
    <w:name w:val="〖A08〗公文标题"/>
    <w:basedOn w:val="1"/>
    <w:next w:val="1"/>
    <w:qFormat/>
    <w:uiPriority w:val="0"/>
    <w:pPr>
      <w:topLinePunct/>
      <w:spacing w:line="600" w:lineRule="exact"/>
      <w:jc w:val="center"/>
    </w:pPr>
    <w:rPr>
      <w:rFonts w:ascii="方正小标宋简体" w:hAnsi="Calibri" w:eastAsia="方正小标宋简体"/>
      <w:sz w:val="44"/>
      <w:szCs w:val="22"/>
    </w:rPr>
  </w:style>
  <w:style w:type="paragraph" w:customStyle="1" w:styleId="33">
    <w:name w:val="07 正文第一层"/>
    <w:basedOn w:val="1"/>
    <w:next w:val="1"/>
    <w:uiPriority w:val="0"/>
    <w:pPr>
      <w:spacing w:line="600" w:lineRule="exact"/>
      <w:ind w:firstLine="637" w:firstLineChars="200"/>
      <w:outlineLvl w:val="0"/>
    </w:pPr>
    <w:rPr>
      <w:rFonts w:ascii="黑体" w:hAnsi="Calibri" w:eastAsia="黑体" w:cs="宋体"/>
      <w:sz w:val="32"/>
      <w:szCs w:val="20"/>
    </w:rPr>
  </w:style>
  <w:style w:type="paragraph" w:customStyle="1" w:styleId="34">
    <w:name w:val="〖A11〗偶数页码，4页以上"/>
    <w:basedOn w:val="5"/>
    <w:qFormat/>
    <w:uiPriority w:val="0"/>
    <w:pPr>
      <w:topLinePunct/>
      <w:ind w:left="134" w:leftChars="134"/>
    </w:pPr>
    <w:rPr>
      <w:rFonts w:ascii="宋体"/>
      <w:kern w:val="0"/>
      <w:sz w:val="28"/>
      <w:szCs w:val="28"/>
    </w:rPr>
  </w:style>
  <w:style w:type="paragraph" w:customStyle="1" w:styleId="35">
    <w:name w:val="〖B03〗三级标题"/>
    <w:basedOn w:val="1"/>
    <w:qFormat/>
    <w:uiPriority w:val="0"/>
    <w:pPr>
      <w:numPr>
        <w:ilvl w:val="0"/>
        <w:numId w:val="1"/>
      </w:numPr>
      <w:topLinePunct/>
      <w:spacing w:line="600" w:lineRule="exact"/>
      <w:outlineLvl w:val="2"/>
    </w:pPr>
    <w:rPr>
      <w:rFonts w:ascii="楷体_GB2312" w:hAnsi="Calibri" w:eastAsia="楷体_GB2312"/>
      <w:sz w:val="32"/>
      <w:szCs w:val="32"/>
    </w:rPr>
  </w:style>
  <w:style w:type="paragraph" w:customStyle="1" w:styleId="36">
    <w:name w:val="〖A09〗主送机关"/>
    <w:basedOn w:val="1"/>
    <w:next w:val="1"/>
    <w:qFormat/>
    <w:uiPriority w:val="0"/>
    <w:pPr>
      <w:topLinePunct/>
      <w:spacing w:line="600" w:lineRule="exact"/>
    </w:pPr>
    <w:rPr>
      <w:rFonts w:ascii="仿宋_GB2312" w:hAnsi="Calibri" w:eastAsia="仿宋_GB2312"/>
      <w:sz w:val="32"/>
      <w:szCs w:val="32"/>
    </w:rPr>
  </w:style>
  <w:style w:type="paragraph" w:customStyle="1" w:styleId="37">
    <w:name w:val="〖A11〗页脚（偶数）"/>
    <w:basedOn w:val="5"/>
    <w:qFormat/>
    <w:uiPriority w:val="0"/>
    <w:pPr>
      <w:topLinePunct/>
    </w:pPr>
    <w:rPr>
      <w:rFonts w:ascii="宋体"/>
      <w:kern w:val="0"/>
      <w:sz w:val="28"/>
      <w:szCs w:val="28"/>
    </w:rPr>
  </w:style>
  <w:style w:type="paragraph" w:customStyle="1" w:styleId="38">
    <w:name w:val="〖B10〗附件说明（234...）"/>
    <w:next w:val="1"/>
    <w:qFormat/>
    <w:uiPriority w:val="0"/>
    <w:pPr>
      <w:widowControl w:val="0"/>
      <w:spacing w:line="600" w:lineRule="exact"/>
      <w:ind w:left="1906" w:hanging="318"/>
    </w:pPr>
    <w:rPr>
      <w:rFonts w:ascii="仿宋_GB2312" w:hAnsi="Calibri" w:eastAsia="仿宋_GB2312" w:cs="Times New Roman"/>
      <w:kern w:val="2"/>
      <w:sz w:val="32"/>
      <w:szCs w:val="21"/>
      <w:lang w:val="en-US" w:eastAsia="zh-CN" w:bidi="ar-SA"/>
    </w:rPr>
  </w:style>
  <w:style w:type="paragraph" w:customStyle="1" w:styleId="39">
    <w:name w:val="〖A02〗上行文文号"/>
    <w:basedOn w:val="1"/>
    <w:qFormat/>
    <w:uiPriority w:val="0"/>
    <w:pPr>
      <w:tabs>
        <w:tab w:val="left" w:pos="208"/>
        <w:tab w:val="left" w:pos="6448"/>
      </w:tabs>
      <w:topLinePunct/>
      <w:spacing w:line="600" w:lineRule="exact"/>
    </w:pPr>
    <w:rPr>
      <w:rFonts w:ascii="仿宋_GB2312" w:eastAsia="仿宋_GB2312"/>
      <w:sz w:val="32"/>
    </w:rPr>
  </w:style>
  <w:style w:type="paragraph" w:customStyle="1" w:styleId="40">
    <w:name w:val="〖B09〗正文附件"/>
    <w:basedOn w:val="14"/>
    <w:next w:val="14"/>
    <w:qFormat/>
    <w:uiPriority w:val="0"/>
    <w:pPr>
      <w:ind w:left="1599" w:hanging="964" w:firstLineChars="0"/>
    </w:pPr>
  </w:style>
  <w:style w:type="paragraph" w:customStyle="1" w:styleId="41">
    <w:name w:val="14 成文日期"/>
    <w:basedOn w:val="1"/>
    <w:next w:val="1"/>
    <w:uiPriority w:val="0"/>
    <w:pPr>
      <w:spacing w:line="600" w:lineRule="exact"/>
      <w:ind w:right="1312" w:rightChars="630"/>
      <w:jc w:val="right"/>
    </w:pPr>
    <w:rPr>
      <w:rFonts w:ascii="仿宋_GB2312" w:hAnsi="仿宋_GB2312" w:eastAsia="仿宋_GB2312" w:cs="宋体"/>
      <w:sz w:val="32"/>
      <w:szCs w:val="20"/>
    </w:rPr>
  </w:style>
  <w:style w:type="paragraph" w:customStyle="1" w:styleId="42">
    <w:name w:val="13 发文机关署名"/>
    <w:basedOn w:val="41"/>
    <w:next w:val="1"/>
    <w:uiPriority w:val="0"/>
    <w:pPr>
      <w:spacing w:before="1500" w:beforeLines="500"/>
      <w:ind w:right="1500" w:rightChars="720"/>
    </w:pPr>
  </w:style>
  <w:style w:type="paragraph" w:customStyle="1" w:styleId="43">
    <w:name w:val="15 抄送机关"/>
    <w:basedOn w:val="1"/>
    <w:next w:val="1"/>
    <w:uiPriority w:val="0"/>
    <w:pPr>
      <w:spacing w:line="600" w:lineRule="exact"/>
      <w:ind w:left="1071" w:leftChars="140" w:right="292" w:rightChars="140" w:hanging="779" w:hangingChars="280"/>
    </w:pPr>
    <w:rPr>
      <w:rFonts w:ascii="仿宋_GB2312" w:hAnsi="Calibri" w:eastAsia="仿宋_GB2312" w:cs="宋体"/>
      <w:sz w:val="28"/>
      <w:szCs w:val="20"/>
    </w:rPr>
  </w:style>
  <w:style w:type="paragraph" w:customStyle="1" w:styleId="44">
    <w:name w:val="〖B04〗四级标题"/>
    <w:next w:val="1"/>
    <w:qFormat/>
    <w:uiPriority w:val="0"/>
    <w:pPr>
      <w:widowControl w:val="0"/>
      <w:numPr>
        <w:ilvl w:val="0"/>
        <w:numId w:val="2"/>
      </w:numPr>
      <w:spacing w:line="600" w:lineRule="exact"/>
      <w:outlineLvl w:val="3"/>
    </w:pPr>
    <w:rPr>
      <w:rFonts w:ascii="仿宋_GB2312" w:hAnsi="Calibri" w:eastAsia="仿宋_GB2312" w:cs="Times New Roman"/>
      <w:kern w:val="2"/>
      <w:sz w:val="32"/>
      <w:szCs w:val="32"/>
      <w:lang w:val="en-US" w:eastAsia="zh-CN" w:bidi="ar-SA"/>
    </w:rPr>
  </w:style>
  <w:style w:type="paragraph" w:customStyle="1" w:styleId="45">
    <w:name w:val="〖A01〗密级、紧急及附件"/>
    <w:next w:val="1"/>
    <w:qFormat/>
    <w:uiPriority w:val="0"/>
    <w:pPr>
      <w:spacing w:line="600" w:lineRule="exact"/>
    </w:pPr>
    <w:rPr>
      <w:rFonts w:ascii="黑体" w:hAnsi="Calibri" w:eastAsia="黑体" w:cs="Times New Roman"/>
      <w:kern w:val="2"/>
      <w:sz w:val="32"/>
      <w:szCs w:val="21"/>
      <w:lang w:val="en-US" w:eastAsia="zh-CN" w:bidi="ar-SA"/>
    </w:rPr>
  </w:style>
  <w:style w:type="paragraph" w:customStyle="1" w:styleId="46">
    <w:name w:val="〖B02〗二级标题"/>
    <w:basedOn w:val="14"/>
    <w:next w:val="14"/>
    <w:qFormat/>
    <w:uiPriority w:val="0"/>
    <w:pPr>
      <w:numPr>
        <w:ilvl w:val="0"/>
        <w:numId w:val="3"/>
      </w:numPr>
      <w:ind w:firstLineChars="0"/>
      <w:outlineLvl w:val="1"/>
    </w:pPr>
    <w:rPr>
      <w:rFonts w:ascii="楷体_GB2312" w:eastAsia="楷体_GB2312"/>
    </w:rPr>
  </w:style>
  <w:style w:type="paragraph" w:customStyle="1" w:styleId="47">
    <w:name w:val="〖B01〗一级标题"/>
    <w:basedOn w:val="1"/>
    <w:next w:val="1"/>
    <w:qFormat/>
    <w:uiPriority w:val="0"/>
    <w:pPr>
      <w:numPr>
        <w:ilvl w:val="0"/>
        <w:numId w:val="4"/>
      </w:numPr>
      <w:topLinePunct/>
      <w:spacing w:line="600" w:lineRule="exact"/>
      <w:outlineLvl w:val="0"/>
    </w:pPr>
    <w:rPr>
      <w:rFonts w:ascii="黑体" w:hAnsi="Calibri" w:eastAsia="黑体"/>
      <w:sz w:val="32"/>
      <w:szCs w:val="32"/>
    </w:rPr>
  </w:style>
  <w:style w:type="paragraph" w:customStyle="1" w:styleId="48">
    <w:name w:val="03 发文字号"/>
    <w:basedOn w:val="1"/>
    <w:next w:val="1"/>
    <w:uiPriority w:val="0"/>
    <w:pPr>
      <w:jc w:val="center"/>
    </w:pPr>
    <w:rPr>
      <w:rFonts w:ascii="仿宋_GB2312" w:hAnsi="Calibri" w:eastAsia="仿宋_GB2312" w:cs="宋体"/>
      <w:sz w:val="32"/>
      <w:szCs w:val="20"/>
    </w:rPr>
  </w:style>
  <w:style w:type="paragraph" w:customStyle="1" w:styleId="49">
    <w:name w:val="〖C11〗图片格式"/>
    <w:next w:val="14"/>
    <w:uiPriority w:val="0"/>
    <w:pPr>
      <w:widowControl w:val="0"/>
      <w:jc w:val="center"/>
    </w:pPr>
    <w:rPr>
      <w:rFonts w:ascii="仿宋_GB2312" w:hAnsi="Calibri" w:eastAsia="仿宋_GB2312" w:cs="宋体"/>
      <w:kern w:val="2"/>
      <w:sz w:val="32"/>
      <w:lang w:val="en-US" w:eastAsia="zh-CN" w:bidi="ar-SA"/>
    </w:rPr>
  </w:style>
  <w:style w:type="paragraph" w:customStyle="1" w:styleId="50">
    <w:name w:val="〖A03〗下行文文号"/>
    <w:basedOn w:val="1"/>
    <w:next w:val="14"/>
    <w:qFormat/>
    <w:uiPriority w:val="0"/>
    <w:pPr>
      <w:topLinePunct/>
      <w:spacing w:line="600" w:lineRule="exact"/>
      <w:jc w:val="center"/>
    </w:pPr>
    <w:rPr>
      <w:rFonts w:ascii="仿宋_GB2312" w:eastAsia="仿宋_GB2312"/>
      <w:sz w:val="32"/>
    </w:rPr>
  </w:style>
  <w:style w:type="paragraph" w:customStyle="1" w:styleId="51">
    <w:name w:val="17 附件"/>
    <w:basedOn w:val="1"/>
    <w:next w:val="1"/>
    <w:uiPriority w:val="0"/>
    <w:pPr>
      <w:spacing w:line="600" w:lineRule="exact"/>
      <w:jc w:val="left"/>
    </w:pPr>
    <w:rPr>
      <w:rFonts w:ascii="黑体" w:hAnsi="Calibri" w:eastAsia="黑体"/>
      <w:sz w:val="32"/>
      <w:szCs w:val="32"/>
    </w:rPr>
  </w:style>
  <w:style w:type="paragraph" w:customStyle="1" w:styleId="52">
    <w:name w:val="01 秘密等级、紧急程度"/>
    <w:basedOn w:val="1"/>
    <w:next w:val="1"/>
    <w:uiPriority w:val="0"/>
    <w:pPr>
      <w:spacing w:line="600" w:lineRule="exact"/>
      <w:jc w:val="left"/>
    </w:pPr>
    <w:rPr>
      <w:rFonts w:ascii="黑体" w:hAnsi="Calibri" w:eastAsia="黑体" w:cs="宋体"/>
      <w:sz w:val="32"/>
      <w:szCs w:val="20"/>
    </w:rPr>
  </w:style>
  <w:style w:type="paragraph" w:customStyle="1" w:styleId="53">
    <w:name w:val="〖A11〗页脚"/>
    <w:basedOn w:val="1"/>
    <w:qFormat/>
    <w:uiPriority w:val="0"/>
    <w:pPr>
      <w:tabs>
        <w:tab w:val="center" w:pos="4153"/>
        <w:tab w:val="right" w:pos="8306"/>
      </w:tabs>
      <w:topLinePunct/>
      <w:snapToGrid w:val="0"/>
      <w:jc w:val="right"/>
    </w:pPr>
    <w:rPr>
      <w:rFonts w:ascii="宋体"/>
      <w:kern w:val="0"/>
      <w:sz w:val="28"/>
      <w:szCs w:val="28"/>
    </w:rPr>
  </w:style>
  <w:style w:type="paragraph" w:customStyle="1" w:styleId="54">
    <w:name w:val="正文 A"/>
    <w:qFormat/>
    <w:uiPriority w:val="0"/>
    <w:pPr>
      <w:widowControl w:val="0"/>
      <w:jc w:val="both"/>
    </w:pPr>
    <w:rPr>
      <w:rFonts w:ascii="Times New Roman" w:hAnsi="Arial Unicode MS" w:eastAsia="Arial Unicode MS" w:cs="Arial Unicode MS"/>
      <w:color w:val="000000"/>
      <w:kern w:val="2"/>
      <w:sz w:val="21"/>
      <w:szCs w:val="21"/>
      <w:u w:val="none" w:color="000000"/>
      <w:lang w:val="en-US" w:eastAsia="zh-CN" w:bidi="ar-SA"/>
    </w:rPr>
  </w:style>
  <w:style w:type="paragraph" w:customStyle="1" w:styleId="55">
    <w:name w:val="06 主送机关"/>
    <w:basedOn w:val="1"/>
    <w:next w:val="1"/>
    <w:uiPriority w:val="0"/>
    <w:pPr>
      <w:spacing w:before="600" w:beforeLines="200" w:line="600" w:lineRule="exact"/>
      <w:jc w:val="left"/>
    </w:pPr>
    <w:rPr>
      <w:rFonts w:ascii="仿宋_GB2312" w:hAnsi="Calibri" w:eastAsia="仿宋_GB2312" w:cs="宋体"/>
      <w:sz w:val="32"/>
      <w:szCs w:val="20"/>
    </w:rPr>
  </w:style>
  <w:style w:type="paragraph" w:customStyle="1" w:styleId="56">
    <w:name w:val="12 附件说明2、3……"/>
    <w:basedOn w:val="17"/>
    <w:next w:val="1"/>
    <w:uiPriority w:val="0"/>
    <w:pPr>
      <w:ind w:left="1932" w:leftChars="767" w:hanging="334" w:hangingChars="105"/>
    </w:pPr>
  </w:style>
  <w:style w:type="paragraph" w:customStyle="1" w:styleId="57">
    <w:name w:val="04 红色反线"/>
    <w:basedOn w:val="1"/>
    <w:next w:val="1"/>
    <w:uiPriority w:val="0"/>
    <w:pPr>
      <w:spacing w:after="450" w:afterLines="150" w:line="600" w:lineRule="exact"/>
      <w:jc w:val="center"/>
    </w:pPr>
    <w:rPr>
      <w:rFonts w:ascii="仿宋_GB2312" w:hAnsi="仿宋_GB2312" w:eastAsia="仿宋_GB2312" w:cs="宋体"/>
      <w:color w:val="FF0000"/>
      <w:sz w:val="88"/>
      <w:szCs w:val="20"/>
    </w:rPr>
  </w:style>
  <w:style w:type="character" w:customStyle="1" w:styleId="58">
    <w:name w:val="标题 1 Char"/>
    <w:link w:val="2"/>
    <w:uiPriority w:val="9"/>
    <w:rPr>
      <w:rFonts w:ascii="Calibri" w:hAnsi="Calibri"/>
      <w:b/>
      <w:bCs/>
      <w:kern w:val="44"/>
      <w:sz w:val="44"/>
      <w:szCs w:val="44"/>
    </w:rPr>
  </w:style>
  <w:style w:type="character" w:customStyle="1" w:styleId="59">
    <w:name w:val="标题 2 Char"/>
    <w:link w:val="3"/>
    <w:uiPriority w:val="9"/>
    <w:rPr>
      <w:rFonts w:ascii="Calibri Light" w:hAnsi="Calibri Light"/>
      <w:b/>
      <w:bCs/>
      <w:sz w:val="32"/>
      <w:szCs w:val="32"/>
    </w:rPr>
  </w:style>
  <w:style w:type="character" w:customStyle="1" w:styleId="60">
    <w:name w:val="批注框文本 Char"/>
    <w:link w:val="4"/>
    <w:uiPriority w:val="0"/>
    <w:rPr>
      <w:kern w:val="2"/>
      <w:sz w:val="18"/>
      <w:szCs w:val="18"/>
    </w:rPr>
  </w:style>
  <w:style w:type="character" w:customStyle="1" w:styleId="61">
    <w:name w:val="页脚 Char"/>
    <w:link w:val="5"/>
    <w:uiPriority w:val="0"/>
    <w:rPr>
      <w:kern w:val="2"/>
      <w:sz w:val="18"/>
      <w:szCs w:val="18"/>
    </w:rPr>
  </w:style>
  <w:style w:type="character" w:customStyle="1" w:styleId="62">
    <w:name w:val="页眉 Char"/>
    <w:link w:val="6"/>
    <w:uiPriority w:val="0"/>
    <w:rPr>
      <w:kern w:val="2"/>
      <w:sz w:val="18"/>
      <w:szCs w:val="18"/>
    </w:rPr>
  </w:style>
  <w:style w:type="character" w:customStyle="1" w:styleId="63">
    <w:name w:val="〖A02〗签发人姓名 Char"/>
    <w:link w:val="12"/>
    <w:uiPriority w:val="0"/>
    <w:rPr>
      <w:rFonts w:ascii="楷体_GB2312" w:hAnsi="Calibri" w:eastAsia="楷体_GB2312"/>
      <w:kern w:val="2"/>
      <w:sz w:val="32"/>
      <w:szCs w:val="21"/>
      <w:lang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预算科</Company>
  <Pages>8</Pages>
  <Words>4641</Words>
  <Characters>5026</Characters>
  <Lines>35</Lines>
  <Paragraphs>9</Paragraphs>
  <TotalTime>26</TotalTime>
  <ScaleCrop>false</ScaleCrop>
  <LinksUpToDate>false</LinksUpToDate>
  <CharactersWithSpaces>5034</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2022-03-24T02:44:00Z</dcterms:created>
  <dc:creator>李永斌</dc:creator>
  <cp:lastModifiedBy>Administrator</cp:lastModifiedBy>
  <cp:lastPrinted>2014-07-16T07:37:00Z</cp:lastPrinted>
  <dcterms:modified xsi:type="dcterms:W3CDTF">2026-02-24T04:08:31Z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98DB67ACD1C14BF4947CC6F32AF30ABA_12</vt:lpwstr>
  </property>
  <property fmtid="{D5CDD505-2E9C-101B-9397-08002B2CF9AE}" pid="4" name="KSOTemplateDocerSaveRecord">
    <vt:lpwstr>eyJoZGlkIjoiMDE4OTdiZTFkZWU0MGIyMThjMzI3NTIyMWVlNTQwN2EiLCJ1c2VySWQiOiI2NDMzNDIwNjEifQ==</vt:lpwstr>
  </property>
</Properties>
</file>