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49F4">
      <w:pPr>
        <w:widowControl/>
        <w:jc w:val="center"/>
        <w:rPr>
          <w:rFonts w:hint="eastAsia" w:ascii="方正小标宋简体" w:hAnsi="方正小标宋简体" w:eastAsia="方正小标宋简体" w:cs="方正小标宋简体"/>
          <w:color w:val="000000"/>
          <w:kern w:val="0"/>
          <w:sz w:val="44"/>
          <w:szCs w:val="44"/>
          <w:lang w:bidi="ar"/>
        </w:rPr>
      </w:pPr>
      <w:r>
        <w:rPr>
          <w:rFonts w:hint="eastAsia" w:ascii="黑体" w:hAnsi="黑体" w:eastAsia="黑体" w:cs="黑体"/>
          <w:color w:val="000000"/>
          <w:kern w:val="0"/>
          <w:sz w:val="44"/>
          <w:szCs w:val="44"/>
          <w:lang w:val="en-US" w:eastAsia="zh-CN" w:bidi="ar"/>
        </w:rPr>
        <w:t>关于</w:t>
      </w:r>
      <w:r>
        <w:rPr>
          <w:rFonts w:hint="eastAsia" w:ascii="黑体" w:hAnsi="黑体" w:eastAsia="黑体" w:cs="黑体"/>
          <w:color w:val="000000"/>
          <w:kern w:val="0"/>
          <w:sz w:val="44"/>
          <w:szCs w:val="44"/>
          <w:lang w:eastAsia="zh-CN" w:bidi="ar"/>
        </w:rPr>
        <w:t>井研县发展和改革局</w:t>
      </w:r>
      <w:r>
        <w:rPr>
          <w:rFonts w:hint="eastAsia" w:ascii="黑体" w:hAnsi="黑体" w:eastAsia="黑体" w:cs="黑体"/>
          <w:color w:val="000000"/>
          <w:sz w:val="44"/>
          <w:u w:color="auto"/>
        </w:rPr>
        <w:t>单位</w:t>
      </w:r>
    </w:p>
    <w:p w14:paraId="5E38A76C">
      <w:pPr>
        <w:widowControl/>
        <w:jc w:val="center"/>
        <w:rPr>
          <w:rFonts w:hint="eastAsia" w:ascii="MiSans Normal" w:hAnsi="MiSans Normal" w:eastAsia="MiSans Normal" w:cs="MiSans Normal"/>
        </w:rPr>
      </w:pPr>
      <w:r>
        <w:rPr>
          <w:rFonts w:hint="eastAsia" w:ascii="方正小标宋简体" w:hAnsi="方正小标宋简体" w:eastAsia="方正小标宋简体" w:cs="方正小标宋简体"/>
          <w:color w:val="000000"/>
          <w:kern w:val="0"/>
          <w:sz w:val="44"/>
          <w:szCs w:val="44"/>
          <w:lang w:bidi="ar"/>
        </w:rPr>
        <w:t>2026</w:t>
      </w:r>
      <w:r>
        <w:rPr>
          <w:rFonts w:ascii="方正小标宋简体" w:hAnsi="方正小标宋简体" w:eastAsia="方正小标宋简体" w:cs="方正小标宋简体"/>
          <w:color w:val="000000"/>
          <w:sz w:val="44"/>
          <w:u w:color="auto"/>
        </w:rPr>
        <w:t>年部门预算编制</w:t>
      </w:r>
      <w:r>
        <w:rPr>
          <w:rFonts w:hint="eastAsia" w:ascii="方正小标宋简体" w:hAnsi="方正小标宋简体" w:eastAsia="方正小标宋简体" w:cs="方正小标宋简体"/>
          <w:color w:val="000000"/>
          <w:kern w:val="0"/>
          <w:sz w:val="44"/>
          <w:szCs w:val="44"/>
          <w:lang w:val="en-US" w:eastAsia="zh-CN" w:bidi="ar"/>
        </w:rPr>
        <w:t>的</w:t>
      </w:r>
      <w:r>
        <w:rPr>
          <w:rFonts w:hint="eastAsia" w:ascii="方正小标宋简体" w:hAnsi="方正小标宋简体" w:eastAsia="方正小标宋简体" w:cs="方正小标宋简体"/>
          <w:color w:val="000000"/>
          <w:kern w:val="0"/>
          <w:sz w:val="44"/>
          <w:szCs w:val="44"/>
          <w:lang w:bidi="ar"/>
        </w:rPr>
        <w:t>说明</w:t>
      </w:r>
    </w:p>
    <w:p w14:paraId="615FE939">
      <w:pPr>
        <w:pStyle w:val="9"/>
      </w:pPr>
      <w:r>
        <w:rPr>
          <w:rFonts w:hint="eastAsia"/>
        </w:rPr>
        <w:t>按照预算管理有关规定，目前部门预算的编制实行综合预算制度，即全部收入和支出都反映在预算中。</w:t>
      </w:r>
    </w:p>
    <w:p w14:paraId="6527D6F4">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一、基本职能及主要工作</w:t>
      </w:r>
    </w:p>
    <w:p w14:paraId="49F0E2B0">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 w:hAnsi="楷体" w:eastAsia="楷体" w:cs="楷体"/>
          <w:sz w:val="32"/>
          <w:u w:color="auto"/>
        </w:rPr>
        <w:t>井研县发展和改革局</w:t>
      </w:r>
      <w:r>
        <w:rPr>
          <w:rFonts w:ascii="楷体" w:hAnsi="楷体" w:eastAsia="楷体" w:cs="楷体"/>
          <w:sz w:val="32"/>
          <w:u w:color="auto"/>
        </w:rPr>
        <w:t>单位职能简介。</w:t>
      </w:r>
    </w:p>
    <w:p w14:paraId="7EF567E2">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主要职能：</w:t>
      </w:r>
    </w:p>
    <w:p w14:paraId="7DBA0386">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负责营商环境建设牵头工作；研究提出全县经济和社会发展战略，规划及生产力布局的建议；综合分析县内外经济形势，做好对全县宏观经济的预测，预警；组织研究并提出全县经济和社会发展中长期规划和年度计划。</w:t>
      </w:r>
    </w:p>
    <w:p w14:paraId="0812FD80">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2.监测分析全社会固定资产投资状况，提出全社会固定资产投资调控政策，中长期规划和年度计划。</w:t>
      </w:r>
    </w:p>
    <w:p w14:paraId="6AAE3B29">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3.负责政府投资项目的行政审批事宜；负责权限范围内企业投资项目核准，备案的受理，初审，上报等工作；编制重大项目规划，年度计划，项目管理和筛选储备重点项目；协调重大项目建设的相关事宜。</w:t>
      </w:r>
    </w:p>
    <w:p w14:paraId="1559A8B4">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4.研究提出经济体制改革重大问题，提出推进改革开放和完善经济体制的建议；组织拟订综合性经济体制改革方案，协调有关专项改革工作；协调解决经济体制改革进程中的重大问题。</w:t>
      </w:r>
    </w:p>
    <w:p w14:paraId="6A9140A8">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5.负责建设项目招标投标工作的指导，协调，监督招标投标(比选)活动，受理相关投诉，调查违规行为；推进依法行政，负责招标投标，价格等法律法规的贯彻落实和宣传普及，承担行政执法监督，行政复议，行政应诉，行政调解和规范性文件审核和备案工作。</w:t>
      </w:r>
    </w:p>
    <w:p w14:paraId="178D1D4A">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6.协调处理有关价格收费争议；负责成本监审，价格调控和市场监测工作；负责信用体系建设日常事务；负责涉案，涉税，涉纪价格认定；负责内部审计工作。</w:t>
      </w:r>
    </w:p>
    <w:p w14:paraId="0A4597E4">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7.研究制定全县创新驱动发展的实施意见；研究提出深化科技改革的意见建议；研究编制全县科技发展规划，明确科技进步促进经济增长，社会发展的目标任务及政策措施。</w:t>
      </w:r>
    </w:p>
    <w:p w14:paraId="2F5D746C">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8.拟定全县科普发展规划和政策措施，组织开展科普活动；推进人才队伍建设，组织对外科技合作与交流；指导科技扶贫，科技兴农和科技兴县工作，推进科技成果示范应用；负责科技保密，科技宣传，科技信息，科技咨询论证工作。</w:t>
      </w:r>
    </w:p>
    <w:p w14:paraId="0B8E3216">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9.协调部门指导乡镇的科技工作；负责畜科园管委会办公室日常工作；负责国(境)外人才，智力引进的管理职责等；协调推进全县数据基础制度建设，统筹数据资源整合共享和开发利用，统筹推进数字井研，数字经济，数字社会规划和建设。</w:t>
      </w:r>
    </w:p>
    <w:p w14:paraId="1059E4C5">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10.拟订全县能源发展战略，编制能源发展规划，提出发展建议；推动"碳达峰碳中和"，长江经济带和生态文明建设工作；研究国防动员与经济发展的衔接平衡。</w:t>
      </w:r>
    </w:p>
    <w:p w14:paraId="5A8680D9">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11.会同有关部门研究全县以工代赈扶贫开发中的重大问题，编制全县以工代赈中长期规划和年度规划，负责建立全县以工代赈项目库，审核，转报和下达以工代赈计划，负责以工代赈业务指导，负责做好以工代赈项目和资金的实施，监管和总结工作，负责指导全县推广以工代赈工作。</w:t>
      </w:r>
    </w:p>
    <w:p w14:paraId="60BE4D75">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12.负责执行国家粮食流通和储备粮管理的方针、政策和法律、法规；拟定全县粮食流通和地方储备粮管理的有关规章制度和措施并组织执行。</w:t>
      </w:r>
    </w:p>
    <w:p w14:paraId="0A65E8D4">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13.负责监督检查中央、省、市代储粮的数量、质量和安全，负责落实省、市级储备粮的收购、轮换、抛售。 </w:t>
      </w:r>
    </w:p>
    <w:p w14:paraId="593F9889">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14.负责管理社会粮食流通，保障驻军、城镇居民、灾区、缺粮地区和国家重点建设项目的粮食供应。 </w:t>
      </w:r>
    </w:p>
    <w:p w14:paraId="1CF3D7B8">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15.负责对全县粮食经营者从事收购、储存、加工、销售、运输活动和政策性用粮的购销活动及统计制度的执行情况进行监督检查。 </w:t>
      </w:r>
    </w:p>
    <w:p w14:paraId="507A37B4">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16.负责粮食产业化龙头企业，抓好优质商品粮油基地的建设、开发、推广，促进粮食种植结构的调整。 </w:t>
      </w:r>
    </w:p>
    <w:p w14:paraId="2A28AFA7">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17.负责全县粮食流通市场的行业管理，粮油批发市场体系，商业网点和基础设施建设。 </w:t>
      </w:r>
    </w:p>
    <w:p w14:paraId="20A8FBCB">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18.负责组织实施对粮油流通的宏观调控和管理，建立粮食供求总量平衡机制和应急机制，保证粮油市场的稳定。 </w:t>
      </w:r>
    </w:p>
    <w:p w14:paraId="1DDE233E">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19.负责全县粮食统计管理工作，组织实施粮食统计制度，编报全县粮食行业统计报表。</w:t>
      </w:r>
    </w:p>
    <w:p w14:paraId="0ADEE3B9">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20.负责本行业科技进步，推动行业的技术改造，新技术推广运用，安全生产的抢险救灾工作，研究行业经营发展方向。 </w:t>
      </w:r>
    </w:p>
    <w:p w14:paraId="1B070BC5">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21.负责本行业粮油质量、标准、计量等工作的管理和监督，制定粮食储存的技术规范，并监督执行。 </w:t>
      </w:r>
    </w:p>
    <w:p w14:paraId="6A51D8B1">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22.负责全县粮食余缺调剂，组织和协调县内粮油调运和县外经济技术合作交流。 </w:t>
      </w:r>
    </w:p>
    <w:p w14:paraId="5D6263D2">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23.负责机关人事、机构编制和离退人员的管理，协助有关部门做好粮食行业党风廉政建设和纠正行业不正之风。 </w:t>
      </w:r>
    </w:p>
    <w:p w14:paraId="36AC2316">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24.负责指导全县粮食企业安全生产工作。 </w:t>
      </w:r>
    </w:p>
    <w:p w14:paraId="53EA27A5">
      <w:pPr>
        <w:spacing w:line="580" w:lineRule="exact"/>
        <w:ind w:firstLine="640" w:firstLineChars="200"/>
        <w:jc w:val="left"/>
        <w:outlineLvl w:val="2"/>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25.承担县委县政府交办的其他事项。</w:t>
      </w:r>
    </w:p>
    <w:p w14:paraId="632920CA">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井研县发展和改革局</w:t>
      </w:r>
      <w:r>
        <w:rPr>
          <w:rFonts w:ascii="楷体" w:hAnsi="楷体" w:eastAsia="楷体" w:cs="楷体"/>
          <w:sz w:val="32"/>
          <w:u w:color="auto"/>
        </w:rPr>
        <w:t>单位重点工作。</w:t>
      </w:r>
    </w:p>
    <w:p w14:paraId="529F4E61">
      <w:pPr>
        <w:spacing w:line="580" w:lineRule="exact"/>
        <w:ind w:firstLine="640" w:firstLineChars="200"/>
        <w:jc w:val="left"/>
        <w:outlineLvl w:val="2"/>
        <w:rPr>
          <w:rFonts w:hint="eastAsia" w:ascii="方正仿宋_GB2312" w:hAnsi="方正仿宋_GB2312" w:eastAsia="方正仿宋_GB2312" w:cs="方正仿宋_GB2312"/>
          <w:bCs/>
          <w:sz w:val="32"/>
          <w:szCs w:val="32"/>
          <w:lang w:eastAsia="zh-CN"/>
        </w:rPr>
      </w:pPr>
      <w:r>
        <w:rPr>
          <w:rFonts w:hint="eastAsia" w:ascii="方正仿宋_GB2312" w:hAnsi="方正仿宋_GB2312" w:eastAsia="方正仿宋_GB2312" w:cs="方正仿宋_GB2312"/>
          <w:bCs/>
          <w:sz w:val="32"/>
          <w:szCs w:val="32"/>
        </w:rPr>
        <w:t>1.紧盯经济运行监测调度,制定全年工作要点及“1+5”“开门红”方案</w:t>
      </w:r>
      <w:r>
        <w:rPr>
          <w:rFonts w:hint="eastAsia" w:ascii="方正仿宋_GB2312" w:hAnsi="方正仿宋_GB2312" w:eastAsia="方正仿宋_GB2312" w:cs="方正仿宋_GB2312"/>
          <w:bCs/>
          <w:sz w:val="32"/>
          <w:szCs w:val="32"/>
          <w:lang w:eastAsia="zh-CN"/>
        </w:rPr>
        <w:t>。</w:t>
      </w:r>
    </w:p>
    <w:p w14:paraId="1685E358">
      <w:pPr>
        <w:spacing w:line="580" w:lineRule="exact"/>
        <w:ind w:firstLine="640" w:firstLineChars="200"/>
        <w:jc w:val="left"/>
        <w:outlineLvl w:val="2"/>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2.谋划 2026年项目拉练点位筹备工作。更新完善“三库一表”，动态更新库表信息，强化数据关联与分析,确保库表信息实时准确、全面详实。</w:t>
      </w:r>
    </w:p>
    <w:p w14:paraId="67E76CB4">
      <w:pPr>
        <w:spacing w:line="580" w:lineRule="exact"/>
        <w:ind w:firstLine="640" w:firstLineChars="200"/>
        <w:jc w:val="left"/>
        <w:outlineLvl w:val="2"/>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3.有序推进“十五五”规划编制工作。</w:t>
      </w:r>
    </w:p>
    <w:p w14:paraId="55979D41">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二、部门概况</w:t>
      </w:r>
    </w:p>
    <w:p w14:paraId="76F9B4AF">
      <w:pPr>
        <w:spacing w:line="580" w:lineRule="exact"/>
        <w:ind w:firstLine="640" w:firstLineChars="200"/>
        <w:jc w:val="left"/>
        <w:outlineLvl w:val="2"/>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本单位隶属于井研县发展和改革局二级预算单位，本单位无下属单位。</w:t>
      </w:r>
    </w:p>
    <w:p w14:paraId="56F86116">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三、收支预算总体情况</w:t>
      </w:r>
    </w:p>
    <w:p w14:paraId="3CA3C227">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按照综合预算的原则，</w:t>
      </w:r>
      <w:r>
        <w:rPr>
          <w:rFonts w:hint="eastAsia" w:ascii="方正仿宋_GB2312" w:hAnsi="方正仿宋_GB2312" w:eastAsia="方正仿宋_GB2312" w:cs="方正仿宋_GB2312"/>
          <w:sz w:val="32"/>
          <w:u w:color="auto"/>
          <w:lang w:eastAsia="zh-CN"/>
        </w:rPr>
        <w:t>井研县发展和改革局</w:t>
      </w:r>
      <w:r>
        <w:rPr>
          <w:rFonts w:ascii="方正仿宋_GB2312" w:hAnsi="方正仿宋_GB2312" w:eastAsia="方正仿宋_GB2312" w:cs="方正仿宋_GB2312"/>
          <w:sz w:val="32"/>
          <w:u w:color="auto"/>
        </w:rPr>
        <w:t>所有收入和支出均纳入单位预算管理。</w:t>
      </w:r>
      <w:r>
        <w:rPr>
          <w:rFonts w:hint="eastAsia" w:ascii="方正仿宋_GB2312" w:hAnsi="方正仿宋_GB2312" w:eastAsia="方正仿宋_GB2312" w:cs="方正仿宋_GB2312"/>
          <w:sz w:val="32"/>
          <w:u w:color="auto"/>
          <w:lang w:eastAsia="zh-CN"/>
        </w:rPr>
        <w:t xml:space="preserve">井研县发展和改革局 </w:t>
      </w:r>
      <w:r>
        <w:rPr>
          <w:rFonts w:ascii="方正仿宋_GB2312" w:hAnsi="方正仿宋_GB2312" w:eastAsia="方正仿宋_GB2312" w:cs="方正仿宋_GB2312"/>
          <w:sz w:val="32"/>
          <w:u w:color="auto"/>
        </w:rPr>
        <w:t>2026年收支预算总数</w:t>
      </w:r>
      <w:r>
        <w:rPr>
          <w:rFonts w:hint="eastAsia" w:ascii="方正仿宋_GB2312" w:hAnsi="方正仿宋_GB2312" w:eastAsia="方正仿宋_GB2312" w:cs="方正仿宋_GB2312"/>
          <w:sz w:val="32"/>
          <w:u w:color="auto"/>
        </w:rPr>
        <w:t>1668</w:t>
      </w:r>
      <w:r>
        <w:rPr>
          <w:rFonts w:hint="eastAsia" w:ascii="方正仿宋_GB2312" w:hAnsi="方正仿宋_GB2312" w:eastAsia="方正仿宋_GB2312" w:cs="方正仿宋_GB2312"/>
          <w:sz w:val="32"/>
          <w:u w:color="auto"/>
          <w:lang w:val="en-US" w:eastAsia="zh-CN"/>
        </w:rPr>
        <w:t>.</w:t>
      </w:r>
      <w:r>
        <w:rPr>
          <w:rFonts w:hint="eastAsia" w:ascii="方正仿宋_GB2312" w:hAnsi="方正仿宋_GB2312" w:eastAsia="方正仿宋_GB2312" w:cs="方正仿宋_GB2312"/>
          <w:sz w:val="32"/>
          <w:u w:color="auto"/>
        </w:rPr>
        <w:t>0</w:t>
      </w:r>
      <w:r>
        <w:rPr>
          <w:rFonts w:hint="eastAsia" w:ascii="方正仿宋_GB2312" w:hAnsi="方正仿宋_GB2312" w:eastAsia="方正仿宋_GB2312" w:cs="方正仿宋_GB2312"/>
          <w:sz w:val="32"/>
          <w:u w:color="auto"/>
          <w:lang w:val="en-US" w:eastAsia="zh-CN"/>
        </w:rPr>
        <w:t>8</w:t>
      </w:r>
      <w:r>
        <w:rPr>
          <w:rFonts w:ascii="方正仿宋_GB2312" w:hAnsi="方正仿宋_GB2312" w:eastAsia="方正仿宋_GB2312" w:cs="方正仿宋_GB2312"/>
          <w:sz w:val="32"/>
          <w:u w:color="auto"/>
        </w:rPr>
        <w:t>万元，比2025年增加1102.00万元</w:t>
      </w:r>
      <w:r>
        <w:rPr>
          <w:rFonts w:hint="eastAsia" w:ascii="方正仿宋_GB2312" w:hAnsi="方正仿宋_GB2312" w:eastAsia="方正仿宋_GB2312" w:cs="方正仿宋_GB2312"/>
          <w:sz w:val="32"/>
          <w:szCs w:val="32"/>
          <w:lang w:eastAsia="zh-CN"/>
        </w:rPr>
        <w:t xml:space="preserve">。井研县发展和改革局 </w:t>
      </w:r>
      <w:r>
        <w:rPr>
          <w:rFonts w:ascii="方正仿宋_GB2312" w:hAnsi="方正仿宋_GB2312" w:eastAsia="方正仿宋_GB2312" w:cs="方正仿宋_GB2312"/>
          <w:sz w:val="32"/>
          <w:u w:color="auto"/>
        </w:rPr>
        <w:t>2026年收入预算1668.08万元，其中：上年结转1073.06万元，占64.33%；一般公共预算拨款收入595.01万元，占35.67%。</w:t>
      </w:r>
      <w:r>
        <w:rPr>
          <w:rFonts w:hint="eastAsia" w:ascii="方正仿宋_GB2312" w:hAnsi="方正仿宋_GB2312" w:eastAsia="方正仿宋_GB2312" w:cs="方正仿宋_GB2312"/>
          <w:sz w:val="32"/>
          <w:szCs w:val="32"/>
          <w:lang w:eastAsia="zh-CN"/>
        </w:rPr>
        <w:t>。相应安排</w:t>
      </w:r>
      <w:r>
        <w:rPr>
          <w:rFonts w:hint="eastAsia" w:ascii="方正仿宋_GB2312" w:hAnsi="方正仿宋_GB2312" w:eastAsia="方正仿宋_GB2312" w:cs="方正仿宋_GB2312"/>
          <w:sz w:val="32"/>
          <w:szCs w:val="32"/>
        </w:rPr>
        <w:t>支出预算</w:t>
      </w:r>
      <w:r>
        <w:rPr>
          <w:rFonts w:ascii="方正仿宋_GB2312" w:hAnsi="方正仿宋_GB2312" w:eastAsia="方正仿宋_GB2312" w:cs="方正仿宋_GB2312"/>
          <w:sz w:val="32"/>
          <w:u w:color="auto"/>
        </w:rPr>
        <w:t>1668.08万元，其中：基本支出520.71万元，占31.22%；项目支出1147.36万元，占68.78%。</w:t>
      </w:r>
    </w:p>
    <w:p w14:paraId="67302901">
      <w:pPr>
        <w:pStyle w:val="5"/>
        <w:widowControl/>
        <w:spacing w:before="0" w:beforeAutospacing="0" w:after="0" w:afterAutospacing="0" w:line="600" w:lineRule="exact"/>
        <w:ind w:firstLine="640" w:firstLineChars="200"/>
        <w:outlineLvl w:val="1"/>
        <w:rPr>
          <w:rFonts w:hint="eastAsia" w:ascii="方正仿宋_GB2312" w:hAnsi="方正仿宋_GB2312" w:eastAsia="方正仿宋_GB2312" w:cs="方正仿宋_GB2312"/>
          <w:sz w:val="32"/>
          <w:szCs w:val="32"/>
        </w:rPr>
      </w:pPr>
      <w:r>
        <w:rPr>
          <w:rFonts w:hint="eastAsia" w:ascii="黑体" w:hAnsi="黑体" w:eastAsia="黑体" w:cs="黑体"/>
          <w:sz w:val="32"/>
          <w:szCs w:val="32"/>
        </w:rPr>
        <w:t>四、财政拨款支</w:t>
      </w:r>
      <w:r>
        <w:rPr>
          <w:rFonts w:hint="eastAsia" w:ascii="黑体" w:hAnsi="黑体" w:eastAsia="黑体" w:cs="黑体"/>
          <w:sz w:val="32"/>
          <w:szCs w:val="32"/>
          <w:lang w:val="en-US" w:eastAsia="zh-CN"/>
        </w:rPr>
        <w:t>出</w:t>
      </w:r>
      <w:r>
        <w:rPr>
          <w:rFonts w:hint="eastAsia" w:ascii="黑体" w:hAnsi="黑体" w:eastAsia="黑体" w:cs="黑体"/>
          <w:sz w:val="32"/>
          <w:szCs w:val="32"/>
        </w:rPr>
        <w:t>预算情况说明</w:t>
      </w:r>
    </w:p>
    <w:p w14:paraId="3420053A">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井研县发展和改革局</w:t>
      </w:r>
      <w:r>
        <w:rPr>
          <w:rFonts w:ascii="方正仿宋_GB2312" w:hAnsi="方正仿宋_GB2312" w:eastAsia="方正仿宋_GB2312" w:cs="方正仿宋_GB2312"/>
          <w:sz w:val="32"/>
          <w:u w:color="auto"/>
        </w:rPr>
        <w:t>2026年财政拨款收支预算总数1668.0</w:t>
      </w:r>
      <w:r>
        <w:rPr>
          <w:rFonts w:hint="eastAsia" w:ascii="方正仿宋_GB2312" w:hAnsi="方正仿宋_GB2312" w:eastAsia="方正仿宋_GB2312" w:cs="方正仿宋_GB2312"/>
          <w:sz w:val="32"/>
          <w:u w:color="auto"/>
          <w:lang w:val="en-US" w:eastAsia="zh-CN"/>
        </w:rPr>
        <w:t>8</w:t>
      </w:r>
      <w:r>
        <w:rPr>
          <w:rFonts w:ascii="方正仿宋_GB2312" w:hAnsi="方正仿宋_GB2312" w:eastAsia="方正仿宋_GB2312" w:cs="方正仿宋_GB2312"/>
          <w:sz w:val="32"/>
          <w:u w:color="auto"/>
        </w:rPr>
        <w:t>万元，比2025年财政拨款收支预算总数增加1101.99万元。</w:t>
      </w:r>
    </w:p>
    <w:p w14:paraId="2122AD5E">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基本支出，是用于保障机关、下属事业单位等机构正常运转的日常支出，包括基本工资、津贴补贴等人员经费以及办公费、印刷费、水电费、办公设备购置等日常公用经费。</w:t>
      </w:r>
    </w:p>
    <w:p w14:paraId="02C9DC14">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项目支出，是用于保障机关、下属事业单位等机构为完成特定的行政工作任务或事业发展目标，用于专项业务工作的经费支出。</w:t>
      </w:r>
    </w:p>
    <w:p w14:paraId="29D28AE0">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14:paraId="3BBE6CF8">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（一）一般公共预算当年拨款规模变化情况</w:t>
      </w:r>
    </w:p>
    <w:p w14:paraId="1381290F">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井研县发展和改革局</w:t>
      </w:r>
      <w:r>
        <w:rPr>
          <w:rFonts w:ascii="方正仿宋_GB2312" w:hAnsi="方正仿宋_GB2312" w:eastAsia="方正仿宋_GB2312" w:cs="方正仿宋_GB2312"/>
          <w:sz w:val="32"/>
          <w:u w:color="auto"/>
        </w:rPr>
        <w:t>2026年一般公共预算当年拨款595.01万元，比2025年预算数增加28.93万元。主要原因是项目增加。</w:t>
      </w:r>
    </w:p>
    <w:p w14:paraId="3DF98889">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（二）一般公共预算当年拨款结构情况</w:t>
      </w:r>
    </w:p>
    <w:p w14:paraId="1537954E">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一般公共服务支出438.55万元，占26.29%、 农林水支出1039.52万元，占62.32%、 科学技术支出30.0万元，占1.80%、 卫生健康支出17.72万元，占1.06%、 住房保障支出39.38万元，占2.36%、 社会保障和就业支出67.91万元，占4.07%、 节能环保支出23.0万元，占1.38%、 灾害防治及应急管理支出12.0万元，占0.72%。</w:t>
      </w:r>
    </w:p>
    <w:p w14:paraId="35F628EF">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（三）一般公共预算当年拨款具体使用情况</w:t>
      </w:r>
    </w:p>
    <w:p w14:paraId="5FA3858C">
      <w:pPr>
        <w:spacing w:line="580" w:lineRule="exact"/>
        <w:ind w:firstLine="2240" w:firstLineChars="7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1.一般公共服务支出（类）发展与改革事务（款）行政运行（项）2026年预算数为188.07万元，主要用于：行政单位（包括实行公务员管理的事业单位）的基本支出。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2.一般公共服务支出（类）发展与改革事务（款）一般行政管理事务（项）2026年预算数为32.3万元，主要用于：行政单位（包括实行公务员管理的事业单位）未单独设置项级科目的其他项目支出。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3.一般公共服务支出（类）发展与改革事务（款）事业运行（项）2026年预算数为207.64万元，主要用于：事业单位的基本支出，不包括行政单位（包括实行公务员管理的事业单位）后勤服务中心、医务室等附属事业单位。</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4.科学技术支出（类）技术研究与开发（款）其他技术研究与开发支出（项）2026年预算数为30.0万元，主要用于：除上述项目以外其他用于技术研究与开发方面的支出。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5.社会保障和就业支出（类）行政事业单位养老支出（款）机关事业单位基本养老保险缴费支出（项）2026年预算数为45.27万元，主要用于：机关事业单位实施养老保险制度由单位缴纳的基本养老保险费支出。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6.社会保障和就业支出（类）行政事业单位养老支出（款）机关事业单位职业年金缴费支出（项）2026年预算数为22.64万元，主要用于：机关事业单位实施养老保险制度由单位实际缴纳的职业年金支出。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仿宋" w:hAnsi="仿宋" w:eastAsia="仿宋" w:cs="仿宋"/>
          <w:sz w:val="32"/>
          <w:szCs w:val="32"/>
        </w:rPr>
        <w:t>7.卫生健康支出（类）行政事业单位医疗（款）行政单位医疗（项）2026年预算数为6.16万元，主要用于：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方正仿宋_GB2312" w:hAnsi="方正仿宋_GB2312" w:eastAsia="方正仿宋_GB2312" w:cs="方正仿宋_GB2312"/>
          <w:sz w:val="32"/>
          <w:szCs w:val="32"/>
        </w:rPr>
        <w:t>8.卫生健康支出（类）行政事业单位医疗（款）事业单位医疗（项）2026年预算数为7.78万元，主要用于：财政部门安排的事业单位基本医疗保险缴费经费，未参加医疗保险的事业单位的公费医疗经费，按国家规定享受离休人员待遇的医疗经费。</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9.卫生健康支出（类）行政事业单位医疗（款）公务员医疗补助（项）2026年预算数为2.82万元，主要用于：财政部门安排的公务员医疗补助经费。</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10.卫生健康支出（类）行政事业单位医疗（款）其他行政事业单位医疗支出（项）2026年预算数为0.96万元，主要用于：除上述项目以外的其他用于行政事业单位医疗方面的支出。</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11.住房保障支出（类）住房改革支出（款）住房公积金（项）2026年预算数为39.38万元，主要用于：行政事业单位按人力资源和社会保障部、财政部规定的基本工资和津贴补贴以及规定比例为职工缴纳的住房公积金。</w:t>
      </w:r>
      <w:r>
        <w:rPr>
          <w:rFonts w:hint="eastAsia" w:ascii="方正仿宋_GB2312" w:hAnsi="方正仿宋_GB2312" w:eastAsia="方正仿宋_GB2312" w:cs="方正仿宋_GB2312"/>
          <w:sz w:val="32"/>
          <w:szCs w:val="32"/>
        </w:rPr>
        <w:cr/>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12.灾害防治及应急管理支出（类）自然灾害救灾及恢复重建支出（款）自然灾害救灾补助（项）2026年预算数为6.0万元，主要用于：用于应对重大自然灾害应急救援和受灾群众救助的支出。</w:t>
      </w:r>
      <w:r>
        <w:rPr>
          <w:rFonts w:hint="eastAsia" w:ascii="方正仿宋_GB2312" w:hAnsi="方正仿宋_GB2312" w:eastAsia="方正仿宋_GB2312" w:cs="方正仿宋_GB2312"/>
          <w:sz w:val="32"/>
          <w:szCs w:val="32"/>
        </w:rPr>
        <w:cr/>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灾害防治及应急管理支出（类）自然灾害救灾及恢复重建支出（款）其他自然灾害救灾及恢复重建支出（项）2026年预算数为6.0万元，主要用于：除上述项目以外其他用于自然灾害救灾、灾后恢复重建等方面的支出。</w:t>
      </w:r>
      <w:r>
        <w:rPr>
          <w:rFonts w:hint="eastAsia" w:ascii="方正仿宋_GB2312" w:hAnsi="方正仿宋_GB2312" w:eastAsia="方正仿宋_GB2312" w:cs="方正仿宋_GB2312"/>
          <w:sz w:val="32"/>
          <w:szCs w:val="32"/>
        </w:rPr>
        <w:cr/>
      </w:r>
    </w:p>
    <w:p w14:paraId="7E1D4DCA">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14:paraId="0C2D7C0C">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 xml:space="preserve">井研县发展和改革局 </w:t>
      </w:r>
      <w:r>
        <w:rPr>
          <w:rFonts w:ascii="方正仿宋_GB2312" w:hAnsi="方正仿宋_GB2312" w:eastAsia="方正仿宋_GB2312" w:cs="方正仿宋_GB2312"/>
          <w:sz w:val="32"/>
          <w:u w:color="auto"/>
        </w:rPr>
        <w:t>2026年一般公共预算基本支出520.71万元，其中：</w:t>
      </w:r>
    </w:p>
    <w:p w14:paraId="034072EB">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人员经费 </w:t>
      </w:r>
      <w:r>
        <w:rPr>
          <w:rFonts w:ascii="方正仿宋_GB2312" w:hAnsi="方正仿宋_GB2312" w:eastAsia="方正仿宋_GB2312" w:cs="方正仿宋_GB2312"/>
          <w:sz w:val="32"/>
          <w:u w:color="auto"/>
        </w:rPr>
        <w:t>420.71万元，主要包括：基本工资、津贴补贴、奖金、绩效工资、机关事业单位基本养老保险缴费、职业年金缴费、职工基本医疗保险缴费、公务员医疗补助缴费、其他社会保障缴费、住房公积金、生活补助、奖励金。</w:t>
      </w:r>
    </w:p>
    <w:p w14:paraId="375C9D4A">
      <w:pPr>
        <w:spacing w:line="58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公用经费 </w:t>
      </w:r>
      <w:r>
        <w:rPr>
          <w:rFonts w:ascii="方正仿宋_GB2312" w:hAnsi="方正仿宋_GB2312" w:eastAsia="方正仿宋_GB2312" w:cs="方正仿宋_GB2312"/>
          <w:sz w:val="32"/>
          <w:u w:color="auto"/>
        </w:rPr>
        <w:t>100.0万元，主要包括：办公费、印刷费、水费、电费、邮电费、物业管理费、差旅费、维修（护）费、公务接待费、劳务费、委托业务费、工会经费、其他交通费用、其他商品和服务支出。</w:t>
      </w:r>
    </w:p>
    <w:p w14:paraId="78D15BDE">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七、政府性基金预算支出规模及变化情况说明</w:t>
      </w:r>
    </w:p>
    <w:p w14:paraId="1935895B">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 xml:space="preserve">井研县发展和改革局 </w:t>
      </w:r>
      <w:r>
        <w:rPr>
          <w:rFonts w:hint="eastAsia" w:ascii="方正仿宋_GB2312" w:hAnsi="方正仿宋_GB2312" w:eastAsia="方正仿宋_GB2312" w:cs="方正仿宋_GB2312"/>
          <w:sz w:val="32"/>
          <w:szCs w:val="32"/>
        </w:rPr>
        <w:t>2026年没有使用政府性基金预算拨款安排的支出。</w:t>
      </w:r>
    </w:p>
    <w:p w14:paraId="374AB08C">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八、国有资本经营预算情况说明</w:t>
      </w:r>
    </w:p>
    <w:p w14:paraId="3C20FB78">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 xml:space="preserve">井研县发展和改革局 </w:t>
      </w:r>
      <w:r>
        <w:rPr>
          <w:rFonts w:hint="eastAsia" w:ascii="方正仿宋_GB2312" w:hAnsi="方正仿宋_GB2312" w:eastAsia="方正仿宋_GB2312" w:cs="方正仿宋_GB2312"/>
          <w:sz w:val="32"/>
          <w:szCs w:val="32"/>
        </w:rPr>
        <w:t>2026年没有使用国有资本经营预算拨款安排的支出。</w:t>
      </w:r>
    </w:p>
    <w:p w14:paraId="5B963983">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九、“三公”经费财政拨款预算安排情况说明</w:t>
      </w:r>
    </w:p>
    <w:p w14:paraId="2F2E8083">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 xml:space="preserve">井研县发展和改革局 </w:t>
      </w:r>
      <w:r>
        <w:rPr>
          <w:rFonts w:hint="eastAsia" w:ascii="方正仿宋_GB2312" w:hAnsi="方正仿宋_GB2312" w:eastAsia="方正仿宋_GB2312" w:cs="方正仿宋_GB2312"/>
          <w:sz w:val="32"/>
          <w:szCs w:val="32"/>
        </w:rPr>
        <w:t>2026年“三公”经费财政拨款预算数4.03万元，其中公务接待费4.03万元。</w:t>
      </w:r>
    </w:p>
    <w:p w14:paraId="77953643">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因公出国（境）经费较上年预算0万元，与上年持平</w:t>
      </w:r>
    </w:p>
    <w:p w14:paraId="5836E4D3">
      <w:pPr>
        <w:spacing w:line="580" w:lineRule="exact"/>
        <w:ind w:firstLine="640"/>
        <w:jc w:val="left"/>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2.</w:t>
      </w:r>
      <w:r>
        <w:rPr>
          <w:rFonts w:ascii="方正仿宋_GB2312" w:hAnsi="方正仿宋_GB2312" w:eastAsia="方正仿宋_GB2312" w:cs="方正仿宋_GB2312"/>
          <w:sz w:val="32"/>
          <w:u w:color="auto"/>
        </w:rPr>
        <w:t>公务接待费与2025年预算数减少7.69%。主要原因是缩减三公经费</w:t>
      </w:r>
    </w:p>
    <w:p w14:paraId="4C6CD719">
      <w:pPr>
        <w:tabs>
          <w:tab w:val="right" w:pos="7666"/>
        </w:tabs>
        <w:spacing w:line="58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年公务接待费计划用于。</w:t>
      </w:r>
    </w:p>
    <w:p w14:paraId="3D0D8CE2">
      <w:pPr>
        <w:spacing w:line="580" w:lineRule="exact"/>
        <w:ind w:firstLine="640"/>
        <w:jc w:val="left"/>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Cs/>
          <w:sz w:val="32"/>
          <w:szCs w:val="32"/>
        </w:rPr>
        <w:t>3.</w:t>
      </w:r>
      <w:r>
        <w:rPr>
          <w:rFonts w:hint="eastAsia" w:ascii="方正仿宋_GB2312" w:hAnsi="方正仿宋_GB2312" w:eastAsia="方正仿宋_GB2312" w:cs="方正仿宋_GB2312"/>
          <w:sz w:val="32"/>
          <w:szCs w:val="32"/>
        </w:rPr>
        <w:t>公务用车购置及运行维护费与2025年预算数持平。</w:t>
      </w:r>
    </w:p>
    <w:p w14:paraId="2FBFE460">
      <w:pPr>
        <w:spacing w:line="580" w:lineRule="exact"/>
        <w:ind w:firstLine="64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单位现有公务用车</w:t>
      </w:r>
      <w:r>
        <w:rPr>
          <w:rFonts w:hint="eastAsia" w:ascii="方正仿宋_GB2312" w:hAnsi="方正仿宋_GB2312" w:eastAsia="方正仿宋_GB2312" w:cs="方正仿宋_GB2312"/>
          <w:sz w:val="32"/>
          <w:u w:color="auto"/>
          <w:lang w:val="en-US" w:eastAsia="zh-CN"/>
        </w:rPr>
        <w:t>1</w:t>
      </w:r>
      <w:r>
        <w:rPr>
          <w:rFonts w:ascii="方正仿宋_GB2312" w:hAnsi="方正仿宋_GB2312" w:eastAsia="方正仿宋_GB2312" w:cs="方正仿宋_GB2312"/>
          <w:sz w:val="32"/>
          <w:u w:color="auto"/>
        </w:rPr>
        <w:t>辆，其中：轿车0辆、旅行车（含商务车）0辆、越野车0辆、大型客、货车0辆</w:t>
      </w:r>
      <w:r>
        <w:rPr>
          <w:rFonts w:hint="eastAsia" w:ascii="方正仿宋_GB2312" w:hAnsi="方正仿宋_GB2312" w:eastAsia="方正仿宋_GB2312" w:cs="方正仿宋_GB2312"/>
          <w:sz w:val="32"/>
          <w:u w:color="auto"/>
          <w:lang w:eastAsia="zh-CN"/>
        </w:rPr>
        <w:t>、</w:t>
      </w:r>
      <w:r>
        <w:rPr>
          <w:rFonts w:hint="eastAsia" w:ascii="方正仿宋_GB2312" w:hAnsi="方正仿宋_GB2312" w:eastAsia="方正仿宋_GB2312" w:cs="方正仿宋_GB2312"/>
          <w:sz w:val="32"/>
          <w:u w:color="auto"/>
          <w:lang w:val="en-US" w:eastAsia="zh-CN"/>
        </w:rPr>
        <w:t>其他用车1辆。</w:t>
      </w:r>
    </w:p>
    <w:p w14:paraId="57CCA597">
      <w:pPr>
        <w:spacing w:line="580" w:lineRule="exact"/>
        <w:ind w:firstLine="64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年安排公务用车购置费0万元，拟购置公务用车0辆，</w:t>
      </w:r>
      <w:r>
        <w:rPr>
          <w:rFonts w:hint="eastAsia" w:ascii="方正仿宋_GB2312" w:hAnsi="方正仿宋_GB2312" w:eastAsia="方正仿宋_GB2312" w:cs="方正仿宋_GB2312"/>
          <w:sz w:val="32"/>
          <w:szCs w:val="32"/>
          <w:lang w:val="en-US" w:eastAsia="zh-CN"/>
        </w:rPr>
        <w:t>用于开展业务活动。</w:t>
      </w:r>
    </w:p>
    <w:p w14:paraId="7D596F91">
      <w:pPr>
        <w:spacing w:line="58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年安排公务用车运行维护费0万元，用于公务用车燃油、维修、过路过桥费、保险等方面支出。</w:t>
      </w:r>
    </w:p>
    <w:p w14:paraId="1C870E38">
      <w:pPr>
        <w:pStyle w:val="5"/>
        <w:widowControl/>
        <w:spacing w:before="0" w:beforeAutospacing="0" w:after="0" w:afterAutospacing="0"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十、其他重要事项的情况说明</w:t>
      </w:r>
    </w:p>
    <w:p w14:paraId="3BFECE43">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（一）机关运行经费情况</w:t>
      </w:r>
    </w:p>
    <w:p w14:paraId="17E87446">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w:t>
      </w:r>
      <w:r>
        <w:rPr>
          <w:rFonts w:hint="eastAsia" w:ascii="方正仿宋_GB2312" w:hAnsi="方正仿宋_GB2312" w:eastAsia="方正仿宋_GB2312" w:cs="方正仿宋_GB2312"/>
          <w:sz w:val="32"/>
          <w:szCs w:val="32"/>
          <w:lang w:eastAsia="zh-CN"/>
        </w:rPr>
        <w:t xml:space="preserve">，井研县发展和改革局 </w:t>
      </w:r>
      <w:r>
        <w:rPr>
          <w:rFonts w:ascii="方正仿宋_GB2312" w:hAnsi="方正仿宋_GB2312" w:eastAsia="方正仿宋_GB2312" w:cs="方正仿宋_GB2312"/>
          <w:sz w:val="32"/>
          <w:u w:color="auto"/>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w:t>
      </w:r>
      <w:r>
        <w:rPr>
          <w:rFonts w:hint="eastAsia" w:ascii="方正仿宋_GB2312" w:hAnsi="方正仿宋_GB2312" w:eastAsia="方正仿宋_GB2312" w:cs="方正仿宋_GB2312"/>
          <w:sz w:val="32"/>
          <w:szCs w:val="32"/>
          <w:lang w:eastAsia="zh-CN"/>
        </w:rPr>
        <w:t xml:space="preserve">。井研县发展和改革局 </w:t>
      </w:r>
      <w:r>
        <w:rPr>
          <w:rFonts w:hint="eastAsia" w:ascii="方正仿宋_GB2312" w:hAnsi="方正仿宋_GB2312" w:eastAsia="方正仿宋_GB2312" w:cs="方正仿宋_GB2312"/>
          <w:sz w:val="32"/>
          <w:szCs w:val="32"/>
        </w:rPr>
        <w:t>2026年的机关运行经费财政拨款预算为100.0万元，比2025年预算数增加15.32万元。主要原因是主要原因是增加经费。</w:t>
      </w:r>
    </w:p>
    <w:p w14:paraId="2F76337A">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（二）政府采购情况</w:t>
      </w:r>
    </w:p>
    <w:p w14:paraId="19B76F7B">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2026年无政府采购项目，未安排政府采购预算。</w:t>
      </w:r>
    </w:p>
    <w:p w14:paraId="3DAED9D0">
      <w:pPr>
        <w:spacing w:line="58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（三）政府购买服务情况。</w:t>
      </w:r>
    </w:p>
    <w:p w14:paraId="5F1B8E66">
      <w:pPr>
        <w:spacing w:line="580" w:lineRule="exact"/>
        <w:ind w:firstLine="640" w:firstLineChars="200"/>
        <w:jc w:val="left"/>
        <w:outlineLvl w:val="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w:t>
      </w:r>
      <w:r>
        <w:rPr>
          <w:rFonts w:hint="eastAsia" w:ascii="方正仿宋_GB2312" w:hAnsi="方正仿宋_GB2312" w:eastAsia="方正仿宋_GB2312" w:cs="方正仿宋_GB2312"/>
          <w:sz w:val="32"/>
          <w:szCs w:val="32"/>
          <w:lang w:eastAsia="zh-CN"/>
        </w:rPr>
        <w:t xml:space="preserve">，井研县发展和改革局 </w:t>
      </w:r>
      <w:r>
        <w:rPr>
          <w:rFonts w:hint="eastAsia" w:ascii="方正仿宋_GB2312" w:hAnsi="方正仿宋_GB2312" w:eastAsia="方正仿宋_GB2312" w:cs="方正仿宋_GB2312"/>
          <w:sz w:val="32"/>
          <w:szCs w:val="32"/>
          <w:lang w:val="en-US" w:eastAsia="zh-CN"/>
        </w:rPr>
        <w:t>未</w:t>
      </w:r>
      <w:r>
        <w:rPr>
          <w:rFonts w:hint="eastAsia" w:ascii="方正仿宋_GB2312" w:hAnsi="方正仿宋_GB2312" w:eastAsia="方正仿宋_GB2312" w:cs="方正仿宋_GB2312"/>
          <w:sz w:val="32"/>
          <w:szCs w:val="32"/>
        </w:rPr>
        <w:t>安排政府购买服务预算。</w:t>
      </w:r>
    </w:p>
    <w:p w14:paraId="3A8479ED">
      <w:pPr>
        <w:spacing w:line="580" w:lineRule="exact"/>
        <w:ind w:firstLine="643" w:firstLineChars="200"/>
        <w:jc w:val="left"/>
        <w:outlineLvl w:val="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（四）国有资产占有使用情况</w:t>
      </w:r>
    </w:p>
    <w:p w14:paraId="40D1FDFB">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截至</w:t>
      </w:r>
      <w:r>
        <w:rPr>
          <w:rFonts w:hint="eastAsia" w:ascii="方正仿宋_GB2312" w:hAnsi="方正仿宋_GB2312" w:eastAsia="方正仿宋_GB2312" w:cs="方正仿宋_GB2312"/>
          <w:sz w:val="32"/>
          <w:szCs w:val="32"/>
          <w:lang w:val="en-US" w:eastAsia="zh-CN"/>
        </w:rPr>
        <w:t>去</w:t>
      </w:r>
      <w:r>
        <w:rPr>
          <w:rFonts w:hint="eastAsia" w:ascii="方正仿宋_GB2312" w:hAnsi="方正仿宋_GB2312" w:eastAsia="方正仿宋_GB2312" w:cs="方正仿宋_GB2312"/>
          <w:sz w:val="32"/>
          <w:szCs w:val="32"/>
        </w:rPr>
        <w:t>年底，</w:t>
      </w:r>
      <w:r>
        <w:rPr>
          <w:rFonts w:hint="eastAsia" w:ascii="方正仿宋_GB2312" w:hAnsi="方正仿宋_GB2312" w:eastAsia="方正仿宋_GB2312" w:cs="方正仿宋_GB2312"/>
          <w:sz w:val="32"/>
          <w:u w:color="auto"/>
          <w:lang w:eastAsia="zh-CN"/>
        </w:rPr>
        <w:t xml:space="preserve">井研县发展和改革局 </w:t>
      </w:r>
      <w:r>
        <w:rPr>
          <w:rFonts w:ascii="方正仿宋_GB2312" w:hAnsi="方正仿宋_GB2312" w:eastAsia="方正仿宋_GB2312" w:cs="方正仿宋_GB2312"/>
          <w:sz w:val="32"/>
          <w:u w:color="auto"/>
        </w:rPr>
        <w:t>所属各预算单位共有车辆0辆。单位价值200万元以上大型设备0台（套）。</w:t>
      </w:r>
    </w:p>
    <w:p w14:paraId="77D3DE7A">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2026年单位预算未安排购置车辆及单位价值200万元以上大型设备。</w:t>
      </w:r>
    </w:p>
    <w:p w14:paraId="6B1DEAC3">
      <w:pPr>
        <w:spacing w:line="580" w:lineRule="exact"/>
        <w:ind w:firstLine="643" w:firstLineChars="200"/>
        <w:jc w:val="left"/>
        <w:outlineLvl w:val="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（五）绩效目标设置情况</w:t>
      </w:r>
    </w:p>
    <w:p w14:paraId="66BA95E5">
      <w:pPr>
        <w:spacing w:line="578"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w:t>
      </w:r>
      <w:r>
        <w:rPr>
          <w:rFonts w:ascii="方正仿宋_GB2312" w:hAnsi="方正仿宋_GB2312" w:eastAsia="方正仿宋_GB2312" w:cs="方正仿宋_GB2312"/>
          <w:sz w:val="32"/>
          <w:u w:color="auto"/>
        </w:rPr>
        <w:t>年</w:t>
      </w:r>
      <w:r>
        <w:rPr>
          <w:rFonts w:hint="eastAsia" w:ascii="方正仿宋_GB2312" w:hAnsi="方正仿宋_GB2312" w:eastAsia="方正仿宋_GB2312" w:cs="方正仿宋_GB2312"/>
          <w:sz w:val="32"/>
          <w:szCs w:val="32"/>
          <w:lang w:eastAsia="zh-CN"/>
        </w:rPr>
        <w:t xml:space="preserve">，井研县发展和改革局 </w:t>
      </w:r>
      <w:r>
        <w:rPr>
          <w:rFonts w:ascii="方正仿宋_GB2312" w:hAnsi="方正仿宋_GB2312" w:eastAsia="方正仿宋_GB2312" w:cs="方正仿宋_GB2312"/>
          <w:sz w:val="32"/>
          <w:u w:color="auto"/>
        </w:rPr>
        <w:t>按要求实行绩效目标管理，部门整体绩效目标涉及预算安排</w:t>
      </w:r>
      <w:r>
        <w:rPr>
          <w:rFonts w:hint="eastAsia" w:ascii="方正仿宋_GB2312" w:hAnsi="方正仿宋_GB2312" w:eastAsia="方正仿宋_GB2312" w:cs="方正仿宋_GB2312"/>
          <w:sz w:val="32"/>
          <w:u w:color="auto"/>
          <w:lang w:val="en-US" w:eastAsia="zh-CN"/>
        </w:rPr>
        <w:t>1070.10</w:t>
      </w:r>
      <w:bookmarkStart w:id="0" w:name="_GoBack"/>
      <w:bookmarkEnd w:id="0"/>
      <w:r>
        <w:rPr>
          <w:rFonts w:ascii="方正仿宋_GB2312" w:hAnsi="方正仿宋_GB2312" w:eastAsia="方正仿宋_GB2312" w:cs="方正仿宋_GB2312"/>
          <w:sz w:val="32"/>
          <w:u w:color="auto"/>
        </w:rPr>
        <w:t>万元。开展绩效目标管理的项目</w:t>
      </w:r>
      <w:r>
        <w:rPr>
          <w:rFonts w:hint="eastAsia" w:ascii="方正仿宋_GB2312" w:hAnsi="方正仿宋_GB2312" w:eastAsia="方正仿宋_GB2312" w:cs="方正仿宋_GB2312"/>
          <w:sz w:val="32"/>
          <w:u w:color="auto"/>
          <w:lang w:val="en-US" w:eastAsia="zh-CN"/>
        </w:rPr>
        <w:t>12</w:t>
      </w:r>
      <w:r>
        <w:rPr>
          <w:rFonts w:ascii="方正仿宋_GB2312" w:hAnsi="方正仿宋_GB2312" w:eastAsia="方正仿宋_GB2312" w:cs="方正仿宋_GB2312"/>
          <w:sz w:val="32"/>
          <w:u w:color="auto"/>
        </w:rPr>
        <w:t>个，涉及预算</w:t>
      </w:r>
      <w:r>
        <w:rPr>
          <w:rFonts w:hint="eastAsia" w:ascii="方正仿宋_GB2312" w:hAnsi="方正仿宋_GB2312" w:eastAsia="方正仿宋_GB2312" w:cs="方正仿宋_GB2312"/>
          <w:sz w:val="32"/>
          <w:u w:color="auto"/>
          <w:lang w:val="en-US" w:eastAsia="zh-CN"/>
        </w:rPr>
        <w:t>174.30</w:t>
      </w:r>
      <w:r>
        <w:rPr>
          <w:rFonts w:ascii="方正仿宋_GB2312" w:hAnsi="方正仿宋_GB2312" w:eastAsia="方正仿宋_GB2312" w:cs="方正仿宋_GB2312"/>
          <w:sz w:val="32"/>
          <w:u w:color="auto"/>
        </w:rPr>
        <w:t>万元。</w:t>
      </w:r>
    </w:p>
    <w:p w14:paraId="627D1288">
      <w:pPr>
        <w:spacing w:line="580" w:lineRule="exact"/>
        <w:ind w:firstLine="643" w:firstLineChars="200"/>
        <w:jc w:val="left"/>
        <w:outlineLvl w:val="1"/>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名词解释</w:t>
      </w:r>
    </w:p>
    <w:p w14:paraId="255845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1.财政拨款收支情况：是指一般公共预算、政府性基金预算、国有资本经营预算拨款收支情况。</w:t>
      </w:r>
    </w:p>
    <w:p w14:paraId="460FF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2.一般公共预算拨款收入：指县级财政当年拨付的资金。</w:t>
      </w:r>
    </w:p>
    <w:p w14:paraId="40BBF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3.政府性基金预算:指通过向社会征收以及出让土地、发行彩票等方式取得收入，并专项用于特定基础设施建设和社会事业发展的财政收支预算。</w:t>
      </w:r>
    </w:p>
    <w:p w14:paraId="4F1A04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4.事业收入：指事业单位开展专业业务活动及辅助活动所取得的收入。</w:t>
      </w:r>
    </w:p>
    <w:p w14:paraId="2A50AE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5.事业单位经营收入：指事业单位在专业业务活动及其辅助活动之外开展非独立核算经营活动取得的收入。</w:t>
      </w:r>
    </w:p>
    <w:p w14:paraId="251A48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6.其他收入：指除上述“一般公共预算拨款收入”、“事业收入”、“事业单位经营收入”等以外的收入。主要是利息收入、国有资产出租收入等。</w:t>
      </w:r>
    </w:p>
    <w:p w14:paraId="71B706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p>
    <w:p w14:paraId="1131B4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8.上年结转：指以前年度尚未完成，结转到本年仍按原规定用途继续使用的资金。 </w:t>
      </w:r>
    </w:p>
    <w:p w14:paraId="2FFCC3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.一般公共服务支出（类）发展与改革事务（款）行政运行（项）：反映行政单位（包括实行公务员管理的事业单位）的基本支出。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10</w:t>
      </w:r>
      <w:r>
        <w:rPr>
          <w:rFonts w:hint="eastAsia" w:ascii="仿宋" w:hAnsi="仿宋" w:eastAsia="仿宋" w:cs="仿宋"/>
          <w:sz w:val="32"/>
          <w:szCs w:val="32"/>
        </w:rPr>
        <w:t>.一般公共服务支出（类）发展与改革事务（款）一般行政管理事务（项）：反映行政单位（包括实行公务员管理的事业单位）未单独设置项级科目的其他项目支出。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11</w:t>
      </w:r>
      <w:r>
        <w:rPr>
          <w:rFonts w:hint="eastAsia" w:ascii="仿宋" w:hAnsi="仿宋" w:eastAsia="仿宋" w:cs="仿宋"/>
          <w:sz w:val="32"/>
          <w:szCs w:val="32"/>
        </w:rPr>
        <w:t>.一般公共服务支出（类）发展与改革事务（款）事业运行（项）：反映事业单位的基本支出，不包括行政单位（包括实行公务员管理的事业单位）后勤服务中心、医务室等附属事业单位。</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12</w:t>
      </w:r>
      <w:r>
        <w:rPr>
          <w:rFonts w:hint="eastAsia" w:ascii="仿宋" w:hAnsi="仿宋" w:eastAsia="仿宋" w:cs="仿宋"/>
          <w:sz w:val="32"/>
          <w:szCs w:val="32"/>
        </w:rPr>
        <w:t>.科学技术支出（类）技术研究与开发（款）其他技术研究与开发支出（项）：反映除上述项目以外其他用于技术研究与开发方面的支出。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14</w:t>
      </w:r>
      <w:r>
        <w:rPr>
          <w:rFonts w:hint="eastAsia" w:ascii="仿宋" w:hAnsi="仿宋" w:eastAsia="仿宋" w:cs="仿宋"/>
          <w:sz w:val="32"/>
          <w:szCs w:val="32"/>
        </w:rPr>
        <w:t>.社会保障和就业支出（类）行政事业单位养老支出（款）机关事业单位职业年金缴费支出（项）：反映机关事业单位实施养老保险制度由单位实际缴纳的职业年金支出。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15</w:t>
      </w:r>
      <w:r>
        <w:rPr>
          <w:rFonts w:hint="eastAsia" w:ascii="仿宋" w:hAnsi="仿宋" w:eastAsia="仿宋" w:cs="仿宋"/>
          <w:sz w:val="32"/>
          <w:szCs w:val="32"/>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16</w:t>
      </w:r>
      <w:r>
        <w:rPr>
          <w:rFonts w:hint="eastAsia" w:ascii="仿宋" w:hAnsi="仿宋" w:eastAsia="仿宋" w:cs="仿宋"/>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17</w:t>
      </w:r>
      <w:r>
        <w:rPr>
          <w:rFonts w:hint="eastAsia" w:ascii="仿宋" w:hAnsi="仿宋" w:eastAsia="仿宋" w:cs="仿宋"/>
          <w:sz w:val="32"/>
          <w:szCs w:val="32"/>
        </w:rPr>
        <w:t>.卫生健康支出（类）行政事业单位医疗（款）公务员医疗补助（项）：反映财政部门安排的公务员医疗补助经费。</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t>.卫生健康支出（类）行政事业单位医疗（款）其他行政事业单位医疗支出（项）：反映除上述项目以外的其他用于行政事业单位医疗方面的支出。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9</w:t>
      </w:r>
      <w:r>
        <w:rPr>
          <w:rFonts w:hint="eastAsia" w:ascii="仿宋" w:hAnsi="仿宋" w:eastAsia="仿宋" w:cs="仿宋"/>
          <w:sz w:val="32"/>
          <w:szCs w:val="32"/>
        </w:rPr>
        <w:t>.住房保障支出（类）住房改革支出（款）住房公积金（项）：反映行政事业单位按人力资源和社会保障部、财政部规定的基本工资和津贴补贴以及规定比例为职工缴纳的住房公积金。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20</w:t>
      </w:r>
      <w:r>
        <w:rPr>
          <w:rFonts w:hint="eastAsia" w:ascii="仿宋" w:hAnsi="仿宋" w:eastAsia="仿宋" w:cs="仿宋"/>
          <w:sz w:val="32"/>
          <w:szCs w:val="32"/>
        </w:rPr>
        <w:t>.灾害防治及应急管理支出（类）自然灾害救灾及恢复重建支出（款）自然灾害救灾补助（项）：反映用于应对重大自然灾害应急救援和受灾群众救助的支出。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21</w:t>
      </w:r>
      <w:r>
        <w:rPr>
          <w:rFonts w:hint="eastAsia" w:ascii="仿宋" w:hAnsi="仿宋" w:eastAsia="仿宋" w:cs="仿宋"/>
          <w:sz w:val="32"/>
          <w:szCs w:val="32"/>
        </w:rPr>
        <w:t>.灾害防治及应急管理支出（类）自然灾害救灾及恢复重建支出（款）其他自然灾害救灾及恢复重建支出（项）：反映除上述项目以外其他用于自然灾害救灾、灾后恢复重建等方面的支出。</w:t>
      </w:r>
    </w:p>
    <w:p w14:paraId="4FEB27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.基本支出：指为保证机构正常运转，完成日常工作任务而发生的人员支出和公用支出。</w:t>
      </w:r>
      <w:r>
        <w:rPr>
          <w:rFonts w:hint="eastAsia" w:ascii="仿宋" w:hAnsi="仿宋" w:eastAsia="仿宋" w:cs="仿宋"/>
          <w:sz w:val="32"/>
          <w:szCs w:val="32"/>
        </w:rPr>
        <w:cr/>
      </w:r>
      <w:r>
        <w:rPr>
          <w:rFonts w:hint="eastAsia" w:ascii="仿宋" w:hAnsi="仿宋" w:eastAsia="仿宋" w:cs="仿宋"/>
          <w:sz w:val="32"/>
          <w:szCs w:val="32"/>
          <w:lang w:val="en-US" w:eastAsia="zh-CN"/>
        </w:rPr>
        <w:t>23</w:t>
      </w:r>
      <w:r>
        <w:rPr>
          <w:rFonts w:hint="eastAsia" w:ascii="仿宋" w:hAnsi="仿宋" w:eastAsia="仿宋" w:cs="仿宋"/>
          <w:sz w:val="32"/>
          <w:szCs w:val="32"/>
        </w:rPr>
        <w:t>.项目支出：指在基本支出之外为完成特定行政任务和事业发展目标所发生的支出。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24</w:t>
      </w:r>
      <w:r>
        <w:rPr>
          <w:rFonts w:hint="eastAsia" w:ascii="仿宋" w:hAnsi="仿宋" w:eastAsia="仿宋" w:cs="仿宋"/>
          <w:sz w:val="32"/>
          <w:szCs w:val="32"/>
        </w:rPr>
        <w:t>.“三公”经费：纳入财政厅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25</w:t>
      </w:r>
      <w:r>
        <w:rPr>
          <w:rFonts w:hint="eastAsia" w:ascii="仿宋" w:hAnsi="仿宋" w:eastAsia="仿宋" w:cs="仿宋"/>
          <w:sz w:val="32"/>
          <w:szCs w:val="32"/>
        </w:rPr>
        <w:t>.机关运行经费：为保障行政单位（包含参照公务员法管理的事业单位）运行用于购买货物和服务的各项资金。包括办公及印刷费、邮电费、差旅费、会议费一般设备购置费等费用开支。</w:t>
      </w:r>
      <w:r>
        <w:rPr>
          <w:rFonts w:hint="eastAsia" w:ascii="仿宋" w:hAnsi="仿宋" w:eastAsia="仿宋" w:cs="仿宋"/>
          <w:sz w:val="32"/>
          <w:szCs w:val="32"/>
        </w:rPr>
        <w:cr/>
      </w:r>
    </w:p>
    <w:p w14:paraId="1D7EE8B2">
      <w:pPr>
        <w:jc w:val="left"/>
        <w:rPr>
          <w:rFonts w:hint="eastAsia" w:ascii="MiSans Normal" w:hAnsi="MiSans Normal" w:eastAsia="MiSans Normal" w:cs="MiSans Norma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MiSans Normal">
    <w:altName w:val="宋体"/>
    <w:panose1 w:val="00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439EEF50">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37F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678A6">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- 5 -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3C678A6">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Y2U5NTEyYmI3OTdhMDllNmUyMWU1NTVmN2NhODIifQ=="/>
  </w:docVars>
  <w:rsids>
    <w:rsidRoot w:val="575844F0"/>
    <w:rsid w:val="000F56AF"/>
    <w:rsid w:val="0016505C"/>
    <w:rsid w:val="002571C7"/>
    <w:rsid w:val="002801C7"/>
    <w:rsid w:val="0029051A"/>
    <w:rsid w:val="002B0F3C"/>
    <w:rsid w:val="002D582F"/>
    <w:rsid w:val="00401700"/>
    <w:rsid w:val="0043110D"/>
    <w:rsid w:val="00436E3F"/>
    <w:rsid w:val="004F75C2"/>
    <w:rsid w:val="005C6D07"/>
    <w:rsid w:val="005D3952"/>
    <w:rsid w:val="006A5B49"/>
    <w:rsid w:val="00753106"/>
    <w:rsid w:val="00764EDC"/>
    <w:rsid w:val="00782473"/>
    <w:rsid w:val="0079706E"/>
    <w:rsid w:val="007E3C34"/>
    <w:rsid w:val="008D7735"/>
    <w:rsid w:val="0092774E"/>
    <w:rsid w:val="00A40906"/>
    <w:rsid w:val="00AF17CA"/>
    <w:rsid w:val="00B234EC"/>
    <w:rsid w:val="00CF121D"/>
    <w:rsid w:val="00D03AFF"/>
    <w:rsid w:val="00D51414"/>
    <w:rsid w:val="00D7246C"/>
    <w:rsid w:val="00E90C48"/>
    <w:rsid w:val="00EA26C5"/>
    <w:rsid w:val="00F20CDD"/>
    <w:rsid w:val="00F31DEC"/>
    <w:rsid w:val="00F66036"/>
    <w:rsid w:val="00FD5790"/>
    <w:rsid w:val="011E0F37"/>
    <w:rsid w:val="018F6151"/>
    <w:rsid w:val="025F2B31"/>
    <w:rsid w:val="02AA63F4"/>
    <w:rsid w:val="02F620C9"/>
    <w:rsid w:val="03043EF9"/>
    <w:rsid w:val="034827B4"/>
    <w:rsid w:val="043645C2"/>
    <w:rsid w:val="04D63DFA"/>
    <w:rsid w:val="04FC52D9"/>
    <w:rsid w:val="05125475"/>
    <w:rsid w:val="05B9052D"/>
    <w:rsid w:val="05C26836"/>
    <w:rsid w:val="06213135"/>
    <w:rsid w:val="075449B1"/>
    <w:rsid w:val="07866B9E"/>
    <w:rsid w:val="078E3C79"/>
    <w:rsid w:val="08275449"/>
    <w:rsid w:val="08BD1201"/>
    <w:rsid w:val="09DD37D5"/>
    <w:rsid w:val="0A2B0EC0"/>
    <w:rsid w:val="0A370B6F"/>
    <w:rsid w:val="0A414E59"/>
    <w:rsid w:val="0A984F45"/>
    <w:rsid w:val="0AEC1DC7"/>
    <w:rsid w:val="0B325009"/>
    <w:rsid w:val="0BEF216F"/>
    <w:rsid w:val="0C1139E0"/>
    <w:rsid w:val="0C545FE7"/>
    <w:rsid w:val="0C95246B"/>
    <w:rsid w:val="0D295D36"/>
    <w:rsid w:val="0DA6100C"/>
    <w:rsid w:val="0DAE2941"/>
    <w:rsid w:val="0DAE5B59"/>
    <w:rsid w:val="0E5E6115"/>
    <w:rsid w:val="0E722914"/>
    <w:rsid w:val="0E8D7DFF"/>
    <w:rsid w:val="0EB14B08"/>
    <w:rsid w:val="0EB44926"/>
    <w:rsid w:val="0EE00EF5"/>
    <w:rsid w:val="0F033DE0"/>
    <w:rsid w:val="0F5B493B"/>
    <w:rsid w:val="0F9C6EF5"/>
    <w:rsid w:val="0FB32491"/>
    <w:rsid w:val="0FC92752"/>
    <w:rsid w:val="104D4694"/>
    <w:rsid w:val="10572219"/>
    <w:rsid w:val="10635C65"/>
    <w:rsid w:val="112F484C"/>
    <w:rsid w:val="11786165"/>
    <w:rsid w:val="118874D4"/>
    <w:rsid w:val="118F1F82"/>
    <w:rsid w:val="11E23462"/>
    <w:rsid w:val="121C1DAE"/>
    <w:rsid w:val="12280F14"/>
    <w:rsid w:val="12B74046"/>
    <w:rsid w:val="12FF7083"/>
    <w:rsid w:val="13287F73"/>
    <w:rsid w:val="136174EF"/>
    <w:rsid w:val="13A179F5"/>
    <w:rsid w:val="14043CC2"/>
    <w:rsid w:val="143A4F2F"/>
    <w:rsid w:val="14BF1A72"/>
    <w:rsid w:val="14D54669"/>
    <w:rsid w:val="15E00400"/>
    <w:rsid w:val="169447F0"/>
    <w:rsid w:val="169923E1"/>
    <w:rsid w:val="17451DFF"/>
    <w:rsid w:val="18623D78"/>
    <w:rsid w:val="188624F1"/>
    <w:rsid w:val="18EF58AD"/>
    <w:rsid w:val="195C14A3"/>
    <w:rsid w:val="19665E75"/>
    <w:rsid w:val="19793B64"/>
    <w:rsid w:val="198975C1"/>
    <w:rsid w:val="1A5A0F33"/>
    <w:rsid w:val="1A8A0974"/>
    <w:rsid w:val="1ADB600A"/>
    <w:rsid w:val="1AE72EE7"/>
    <w:rsid w:val="1B9C22AA"/>
    <w:rsid w:val="1C001B5A"/>
    <w:rsid w:val="1C676AC0"/>
    <w:rsid w:val="1C8979CD"/>
    <w:rsid w:val="1D1309C5"/>
    <w:rsid w:val="1D4E37F9"/>
    <w:rsid w:val="1E484DA2"/>
    <w:rsid w:val="1F32416D"/>
    <w:rsid w:val="1F400809"/>
    <w:rsid w:val="1F990304"/>
    <w:rsid w:val="1FD07044"/>
    <w:rsid w:val="200F074F"/>
    <w:rsid w:val="205E0FD1"/>
    <w:rsid w:val="206A30F3"/>
    <w:rsid w:val="20E14771"/>
    <w:rsid w:val="20E325CD"/>
    <w:rsid w:val="215E491F"/>
    <w:rsid w:val="21785E72"/>
    <w:rsid w:val="223312B9"/>
    <w:rsid w:val="22511DC1"/>
    <w:rsid w:val="23066A9B"/>
    <w:rsid w:val="237925CB"/>
    <w:rsid w:val="238A54C0"/>
    <w:rsid w:val="23DE7685"/>
    <w:rsid w:val="23FC256D"/>
    <w:rsid w:val="23FE4F26"/>
    <w:rsid w:val="24113B37"/>
    <w:rsid w:val="242A3E0B"/>
    <w:rsid w:val="24B357B1"/>
    <w:rsid w:val="2508404D"/>
    <w:rsid w:val="2514554D"/>
    <w:rsid w:val="253240EC"/>
    <w:rsid w:val="256736AA"/>
    <w:rsid w:val="25776E44"/>
    <w:rsid w:val="25A91AAB"/>
    <w:rsid w:val="25AC0D38"/>
    <w:rsid w:val="25CF77BC"/>
    <w:rsid w:val="26233A75"/>
    <w:rsid w:val="269C0E16"/>
    <w:rsid w:val="26E20150"/>
    <w:rsid w:val="28225455"/>
    <w:rsid w:val="286E0FD4"/>
    <w:rsid w:val="28C44B3D"/>
    <w:rsid w:val="28D004A8"/>
    <w:rsid w:val="29225C8F"/>
    <w:rsid w:val="292D2913"/>
    <w:rsid w:val="292F1B91"/>
    <w:rsid w:val="2A1A2499"/>
    <w:rsid w:val="2A355B25"/>
    <w:rsid w:val="2ADC2F09"/>
    <w:rsid w:val="2B0639E9"/>
    <w:rsid w:val="2B591D85"/>
    <w:rsid w:val="2B6D0EA0"/>
    <w:rsid w:val="2BA666ED"/>
    <w:rsid w:val="2C015FA1"/>
    <w:rsid w:val="2C4C35F9"/>
    <w:rsid w:val="2CE82D06"/>
    <w:rsid w:val="2CE850D0"/>
    <w:rsid w:val="2D121841"/>
    <w:rsid w:val="2D626ABC"/>
    <w:rsid w:val="2D7E5A3A"/>
    <w:rsid w:val="2DAF4CE9"/>
    <w:rsid w:val="2DB253D5"/>
    <w:rsid w:val="2DE37BA3"/>
    <w:rsid w:val="2DF301D1"/>
    <w:rsid w:val="2E410E41"/>
    <w:rsid w:val="2F5B380A"/>
    <w:rsid w:val="2F5D19C6"/>
    <w:rsid w:val="2FDC17BA"/>
    <w:rsid w:val="2FEA1E20"/>
    <w:rsid w:val="30FE4C1A"/>
    <w:rsid w:val="31817EF0"/>
    <w:rsid w:val="31C81974"/>
    <w:rsid w:val="31C9463A"/>
    <w:rsid w:val="31D87EB9"/>
    <w:rsid w:val="31E71DFA"/>
    <w:rsid w:val="32607DFF"/>
    <w:rsid w:val="33F6376D"/>
    <w:rsid w:val="344C1C18"/>
    <w:rsid w:val="346E542F"/>
    <w:rsid w:val="348204D4"/>
    <w:rsid w:val="34921118"/>
    <w:rsid w:val="34E22C0C"/>
    <w:rsid w:val="35D53A26"/>
    <w:rsid w:val="35E81EFF"/>
    <w:rsid w:val="35F03248"/>
    <w:rsid w:val="3618452C"/>
    <w:rsid w:val="362A47F6"/>
    <w:rsid w:val="36701078"/>
    <w:rsid w:val="367D3C26"/>
    <w:rsid w:val="36D21200"/>
    <w:rsid w:val="3799225C"/>
    <w:rsid w:val="379E73FF"/>
    <w:rsid w:val="37EE75A4"/>
    <w:rsid w:val="3851430F"/>
    <w:rsid w:val="38BE762D"/>
    <w:rsid w:val="38CC1B12"/>
    <w:rsid w:val="38E33F54"/>
    <w:rsid w:val="39B247EB"/>
    <w:rsid w:val="39C50EAB"/>
    <w:rsid w:val="39FA0695"/>
    <w:rsid w:val="3A142E50"/>
    <w:rsid w:val="3A3A601E"/>
    <w:rsid w:val="3A622985"/>
    <w:rsid w:val="3A992100"/>
    <w:rsid w:val="3AB900AC"/>
    <w:rsid w:val="3AD204DC"/>
    <w:rsid w:val="3B7D732B"/>
    <w:rsid w:val="3BB9695E"/>
    <w:rsid w:val="3BBB1358"/>
    <w:rsid w:val="3BC80616"/>
    <w:rsid w:val="3CC21C50"/>
    <w:rsid w:val="3CEB3ACE"/>
    <w:rsid w:val="3D396F49"/>
    <w:rsid w:val="3DAB5EF3"/>
    <w:rsid w:val="3E0A7F35"/>
    <w:rsid w:val="3E3D0EE5"/>
    <w:rsid w:val="3E5C591E"/>
    <w:rsid w:val="3E7C76D5"/>
    <w:rsid w:val="3F4B70E6"/>
    <w:rsid w:val="402E20EA"/>
    <w:rsid w:val="40360D66"/>
    <w:rsid w:val="404847A8"/>
    <w:rsid w:val="40F85D24"/>
    <w:rsid w:val="41002113"/>
    <w:rsid w:val="417358BA"/>
    <w:rsid w:val="417E7039"/>
    <w:rsid w:val="41856F3A"/>
    <w:rsid w:val="41A336F5"/>
    <w:rsid w:val="41CE4038"/>
    <w:rsid w:val="42697F33"/>
    <w:rsid w:val="42F94AE0"/>
    <w:rsid w:val="42FC2819"/>
    <w:rsid w:val="43C94609"/>
    <w:rsid w:val="44701EE3"/>
    <w:rsid w:val="447B54A6"/>
    <w:rsid w:val="44C935E1"/>
    <w:rsid w:val="44F01371"/>
    <w:rsid w:val="45700DD8"/>
    <w:rsid w:val="466A3D31"/>
    <w:rsid w:val="468076BF"/>
    <w:rsid w:val="469C7200"/>
    <w:rsid w:val="46DA091D"/>
    <w:rsid w:val="46F552A0"/>
    <w:rsid w:val="479F062A"/>
    <w:rsid w:val="47A8558B"/>
    <w:rsid w:val="488A1960"/>
    <w:rsid w:val="488E172A"/>
    <w:rsid w:val="48EA3B26"/>
    <w:rsid w:val="496F21D8"/>
    <w:rsid w:val="49923B77"/>
    <w:rsid w:val="4A174159"/>
    <w:rsid w:val="4ABE7A9C"/>
    <w:rsid w:val="4BBF5B71"/>
    <w:rsid w:val="4D477799"/>
    <w:rsid w:val="4D6455F8"/>
    <w:rsid w:val="4E784F4E"/>
    <w:rsid w:val="4E8A5B90"/>
    <w:rsid w:val="4EE869F3"/>
    <w:rsid w:val="4F006B29"/>
    <w:rsid w:val="4F5F6F42"/>
    <w:rsid w:val="5029634D"/>
    <w:rsid w:val="503D0CD7"/>
    <w:rsid w:val="507A38E4"/>
    <w:rsid w:val="515C63F7"/>
    <w:rsid w:val="51621046"/>
    <w:rsid w:val="5187285A"/>
    <w:rsid w:val="518A72F6"/>
    <w:rsid w:val="519216B7"/>
    <w:rsid w:val="51D30C43"/>
    <w:rsid w:val="524474CD"/>
    <w:rsid w:val="52BB4C7B"/>
    <w:rsid w:val="52F8052A"/>
    <w:rsid w:val="530E439E"/>
    <w:rsid w:val="5317764D"/>
    <w:rsid w:val="53594EE9"/>
    <w:rsid w:val="539253D8"/>
    <w:rsid w:val="53C97C7B"/>
    <w:rsid w:val="54384218"/>
    <w:rsid w:val="546E0E19"/>
    <w:rsid w:val="54E02E76"/>
    <w:rsid w:val="55310F00"/>
    <w:rsid w:val="557871D2"/>
    <w:rsid w:val="55841B9E"/>
    <w:rsid w:val="559F553A"/>
    <w:rsid w:val="55A9703D"/>
    <w:rsid w:val="56274477"/>
    <w:rsid w:val="5689702C"/>
    <w:rsid w:val="574451E3"/>
    <w:rsid w:val="575844F0"/>
    <w:rsid w:val="57E977B0"/>
    <w:rsid w:val="57ED201E"/>
    <w:rsid w:val="57F42B0E"/>
    <w:rsid w:val="583E3F5E"/>
    <w:rsid w:val="58472D43"/>
    <w:rsid w:val="5863513E"/>
    <w:rsid w:val="58D25844"/>
    <w:rsid w:val="58EF1411"/>
    <w:rsid w:val="58EF4BBE"/>
    <w:rsid w:val="594436A7"/>
    <w:rsid w:val="595074AE"/>
    <w:rsid w:val="597B3B32"/>
    <w:rsid w:val="59F6760E"/>
    <w:rsid w:val="5A4A2633"/>
    <w:rsid w:val="5B08601D"/>
    <w:rsid w:val="5B217190"/>
    <w:rsid w:val="5B2E7013"/>
    <w:rsid w:val="5B766F46"/>
    <w:rsid w:val="5BB7496B"/>
    <w:rsid w:val="5CA8447B"/>
    <w:rsid w:val="5D213B63"/>
    <w:rsid w:val="5DD62B9F"/>
    <w:rsid w:val="5E0B017F"/>
    <w:rsid w:val="5E1758B9"/>
    <w:rsid w:val="5E1F431D"/>
    <w:rsid w:val="5EB217FD"/>
    <w:rsid w:val="5EB85D88"/>
    <w:rsid w:val="5F462774"/>
    <w:rsid w:val="5F5C38AD"/>
    <w:rsid w:val="5F6064D4"/>
    <w:rsid w:val="606320F1"/>
    <w:rsid w:val="60A94AA3"/>
    <w:rsid w:val="60D15BBA"/>
    <w:rsid w:val="60D4713E"/>
    <w:rsid w:val="6117044B"/>
    <w:rsid w:val="61A7112A"/>
    <w:rsid w:val="61BD486A"/>
    <w:rsid w:val="61DB6731"/>
    <w:rsid w:val="6263198D"/>
    <w:rsid w:val="62A0552A"/>
    <w:rsid w:val="630006BE"/>
    <w:rsid w:val="63062529"/>
    <w:rsid w:val="630E7EAE"/>
    <w:rsid w:val="6313764B"/>
    <w:rsid w:val="63161C90"/>
    <w:rsid w:val="6367280D"/>
    <w:rsid w:val="641C5084"/>
    <w:rsid w:val="64771E53"/>
    <w:rsid w:val="64CD4737"/>
    <w:rsid w:val="64D1385B"/>
    <w:rsid w:val="64DD1C81"/>
    <w:rsid w:val="65154E9C"/>
    <w:rsid w:val="66075A53"/>
    <w:rsid w:val="666A4FCB"/>
    <w:rsid w:val="66D14F9A"/>
    <w:rsid w:val="66F729EF"/>
    <w:rsid w:val="6712270B"/>
    <w:rsid w:val="68A23987"/>
    <w:rsid w:val="68D03361"/>
    <w:rsid w:val="690A194F"/>
    <w:rsid w:val="69492530"/>
    <w:rsid w:val="699675A8"/>
    <w:rsid w:val="69B8303B"/>
    <w:rsid w:val="69E53C69"/>
    <w:rsid w:val="6A145D73"/>
    <w:rsid w:val="6A6E5F0E"/>
    <w:rsid w:val="6AE228CC"/>
    <w:rsid w:val="6B1860D6"/>
    <w:rsid w:val="6BBD539F"/>
    <w:rsid w:val="6BC86B43"/>
    <w:rsid w:val="6BD32E45"/>
    <w:rsid w:val="6C2A775D"/>
    <w:rsid w:val="6C9963D7"/>
    <w:rsid w:val="6CC91C6E"/>
    <w:rsid w:val="6D5D1401"/>
    <w:rsid w:val="6D887C10"/>
    <w:rsid w:val="6DC26AF9"/>
    <w:rsid w:val="6ED22F0F"/>
    <w:rsid w:val="6F021B09"/>
    <w:rsid w:val="6FC844B9"/>
    <w:rsid w:val="6FD238B4"/>
    <w:rsid w:val="700A5D51"/>
    <w:rsid w:val="70F6046F"/>
    <w:rsid w:val="714B6FA9"/>
    <w:rsid w:val="71944EA7"/>
    <w:rsid w:val="71D71D1B"/>
    <w:rsid w:val="721171F3"/>
    <w:rsid w:val="723D2D95"/>
    <w:rsid w:val="72451C4A"/>
    <w:rsid w:val="728E0759"/>
    <w:rsid w:val="729953A7"/>
    <w:rsid w:val="729A1F96"/>
    <w:rsid w:val="72B03B7B"/>
    <w:rsid w:val="72F8291C"/>
    <w:rsid w:val="74BD01BD"/>
    <w:rsid w:val="7537110F"/>
    <w:rsid w:val="75DA4139"/>
    <w:rsid w:val="75F14C5D"/>
    <w:rsid w:val="77211164"/>
    <w:rsid w:val="77613287"/>
    <w:rsid w:val="77B21D62"/>
    <w:rsid w:val="77DE0B76"/>
    <w:rsid w:val="783D0D9D"/>
    <w:rsid w:val="78982C37"/>
    <w:rsid w:val="789D7D64"/>
    <w:rsid w:val="78E81443"/>
    <w:rsid w:val="78F51DD9"/>
    <w:rsid w:val="79660872"/>
    <w:rsid w:val="799F24B9"/>
    <w:rsid w:val="7A4461CE"/>
    <w:rsid w:val="7A57026F"/>
    <w:rsid w:val="7AF54E28"/>
    <w:rsid w:val="7B52696E"/>
    <w:rsid w:val="7BDB4226"/>
    <w:rsid w:val="7CD275EF"/>
    <w:rsid w:val="7CEF6249"/>
    <w:rsid w:val="7CF4381E"/>
    <w:rsid w:val="7CF63C25"/>
    <w:rsid w:val="7D454310"/>
    <w:rsid w:val="7DC756D2"/>
    <w:rsid w:val="7E543940"/>
    <w:rsid w:val="7EE41AB2"/>
    <w:rsid w:val="7FB623D9"/>
    <w:rsid w:val="7FD86C34"/>
    <w:rsid w:val="7FE57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0"/>
    <w:rPr>
      <w:rFonts w:ascii="Calibri" w:hAnsi="Calibri"/>
      <w:kern w:val="2"/>
      <w:sz w:val="18"/>
      <w:szCs w:val="18"/>
    </w:rPr>
  </w:style>
  <w:style w:type="paragraph" w:customStyle="1" w:styleId="9">
    <w:name w:val="〖C01〗正文"/>
    <w:basedOn w:val="1"/>
    <w:qFormat/>
    <w:uiPriority w:val="0"/>
    <w:pPr>
      <w:topLinePunct/>
      <w:spacing w:line="600" w:lineRule="exact"/>
      <w:ind w:firstLine="64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3579</Words>
  <Characters>3905</Characters>
  <Lines>12</Lines>
  <Paragraphs>3</Paragraphs>
  <TotalTime>9</TotalTime>
  <ScaleCrop>false</ScaleCrop>
  <LinksUpToDate>false</LinksUpToDate>
  <CharactersWithSpaces>3975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2023-02-17T01:20:00Z</dcterms:created>
  <dc:creator>丹尼</dc:creator>
  <cp:lastModifiedBy>Bitters</cp:lastModifiedBy>
  <dcterms:modified xsi:type="dcterms:W3CDTF">2026-02-25T08:37:40Z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879A5075AAB7472F86DBA05CE57154D2_13</vt:lpwstr>
  </property>
  <property fmtid="{D5CDD505-2E9C-101B-9397-08002B2CF9AE}" pid="4" name="KSOTemplateDocerSaveRecord">
    <vt:lpwstr>eyJoZGlkIjoiZTBkOGMxOTk3MjNlNmM1YzE0YmI4N2YwMjMxNjJmOGQiLCJ1c2VySWQiOiI2NDUzMDc0MzkifQ==</vt:lpwstr>
  </property>
</Properties>
</file>