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pStyle w:val="10"/>
        <w:suppressAutoHyphens/>
        <w:rPr>
          <w:rFonts w:hint="eastAsia" w:ascii="黑体" w:hAnsi="黑体" w:eastAsia="黑体" w:cs="黑体"/>
        </w:rPr>
      </w:pPr>
      <w:r>
        <w:rPr>
          <w:rFonts w:hint="eastAsia" w:ascii="黑体" w:hAnsi="黑体" w:eastAsia="黑体" w:cs="黑体"/>
          <w:lang w:val="en-US" w:eastAsia="zh-CN"/>
        </w:rPr>
        <w:t>关于</w:t>
      </w:r>
      <w:r>
        <w:rPr>
          <w:rFonts w:hint="eastAsia" w:ascii="黑体" w:hAnsi="黑体" w:eastAsia="黑体" w:cs="黑体"/>
        </w:rPr>
        <w:t>井研县高凤镇卫生院单位</w:t>
      </w:r>
    </w:p>
    <w:p w14:paraId="5E38A76C">
      <w:pPr>
        <w:pStyle w:val="10"/>
        <w:suppressAutoHyphens/>
        <w:rPr>
          <w:rFonts w:hint="eastAsia" w:ascii="黑体" w:hAnsi="黑体" w:eastAsia="黑体" w:cs="黑体"/>
        </w:rPr>
      </w:pPr>
      <w:r>
        <w:rPr>
          <w:rFonts w:hint="eastAsia" w:ascii="黑体" w:hAnsi="黑体" w:eastAsia="黑体" w:cs="黑体"/>
        </w:rPr>
        <w:t>2026年部门预算编制</w:t>
      </w:r>
      <w:r>
        <w:rPr>
          <w:rFonts w:hint="eastAsia" w:ascii="黑体" w:hAnsi="黑体" w:eastAsia="黑体" w:cs="黑体"/>
          <w:lang w:val="en-US" w:eastAsia="zh-CN"/>
        </w:rPr>
        <w:t>的</w:t>
      </w:r>
      <w:r>
        <w:rPr>
          <w:rFonts w:hint="eastAsia" w:ascii="黑体" w:hAnsi="黑体" w:eastAsia="黑体" w:cs="黑体"/>
        </w:rPr>
        <w:t>说明</w:t>
      </w:r>
    </w:p>
    <w:p w14:paraId="63550156">
      <w:pPr>
        <w:pStyle w:val="9"/>
        <w:rPr>
          <w:rFonts w:hint="eastAsia"/>
        </w:rPr>
      </w:pPr>
    </w:p>
    <w:p w14:paraId="615FE939">
      <w:pPr>
        <w:pStyle w:val="9"/>
      </w:pPr>
      <w:r>
        <w:rPr>
          <w:rFonts w:hint="eastAsia"/>
        </w:rPr>
        <w:t>按照预算管理有关规定，目前部门预算的编制实行综合预算制度，即全部收入和支出都反映在预算中。</w:t>
      </w:r>
    </w:p>
    <w:p w14:paraId="6527D6F4">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ascii="楷体" w:hAnsi="楷体" w:eastAsia="楷体" w:cs="楷体"/>
          <w:sz w:val="32"/>
          <w:u w:color="auto"/>
        </w:rPr>
        <w:t>井研县高凤镇卫生院单位职能简介。</w:t>
      </w:r>
    </w:p>
    <w:p w14:paraId="6E5FF30B">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ascii="仿宋" w:hAnsi="仿宋" w:eastAsia="仿宋" w:cs="仿宋"/>
          <w:color w:val="000000"/>
          <w:kern w:val="0"/>
          <w:sz w:val="31"/>
          <w:szCs w:val="31"/>
          <w:lang w:val="en-US" w:eastAsia="zh-CN" w:bidi="ar"/>
        </w:rPr>
        <w:t>乡镇卫生院是乡镇设立的卫生行政和医疗预防工作的非营</w:t>
      </w:r>
      <w:r>
        <w:rPr>
          <w:rFonts w:hint="eastAsia" w:ascii="仿宋" w:hAnsi="仿宋" w:eastAsia="仿宋" w:cs="仿宋"/>
          <w:color w:val="000000"/>
          <w:kern w:val="0"/>
          <w:sz w:val="31"/>
          <w:szCs w:val="31"/>
          <w:lang w:val="en-US" w:eastAsia="zh-CN" w:bidi="ar"/>
        </w:rPr>
        <w:t xml:space="preserve">利性基层医疗卫生机构，其职责承担辖区医疗卫生综合管理服务工作，以公共卫生服务为主，综合提供预防、保健和基本医疗服务；开展计划生育服务等。 </w:t>
      </w:r>
    </w:p>
    <w:p w14:paraId="0DEAC122">
      <w:pPr>
        <w:keepNext w:val="0"/>
        <w:keepLines w:val="0"/>
        <w:widowControl/>
        <w:numPr>
          <w:ilvl w:val="0"/>
          <w:numId w:val="1"/>
        </w:numPr>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公共卫生服务：负责辖区居民健康档案管理、健康教育、预防接种、儿童健康管理、孕产妇健康管理、老年人健康管理、高血压患者健康管理、2 型糖尿病患者健康管理、重性精神疾病患者管理；中医药健康管理和疾病康复；疾病控制、传染病及突发公共卫生事件报告和处理等。负责辖区其他公共卫生服务项目。 </w:t>
      </w:r>
    </w:p>
    <w:p w14:paraId="4FC45828">
      <w:pPr>
        <w:keepNext w:val="0"/>
        <w:keepLines w:val="0"/>
        <w:widowControl/>
        <w:numPr>
          <w:numId w:val="0"/>
        </w:numPr>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二、基本医疗服务：开展一般常见病、多发病、地方病的基本医疗服务；现场救护和转诊服务；慢性病管理。 </w:t>
      </w:r>
    </w:p>
    <w:p w14:paraId="35255C9E">
      <w:pPr>
        <w:keepNext w:val="0"/>
        <w:keepLines w:val="0"/>
        <w:widowControl/>
        <w:suppressLineNumbers w:val="0"/>
        <w:ind w:firstLine="620" w:firstLineChars="200"/>
        <w:jc w:val="left"/>
      </w:pPr>
      <w:bookmarkStart w:id="0" w:name="_GoBack"/>
      <w:bookmarkEnd w:id="0"/>
      <w:r>
        <w:rPr>
          <w:rFonts w:hint="eastAsia" w:ascii="仿宋" w:hAnsi="仿宋" w:eastAsia="仿宋" w:cs="仿宋"/>
          <w:color w:val="000000"/>
          <w:kern w:val="0"/>
          <w:sz w:val="31"/>
          <w:szCs w:val="31"/>
          <w:lang w:val="en-US" w:eastAsia="zh-CN" w:bidi="ar"/>
        </w:rPr>
        <w:t xml:space="preserve">三、指导辖区内诊所、村卫生室业务工作，对村医生进行相关技能培训，做好医疗卫生信息统计报告工作，完整、及时、准确报告相关信息，逐步推进乡村卫生服务一体化管理。 </w:t>
      </w:r>
    </w:p>
    <w:p w14:paraId="53EA27A5">
      <w:pPr>
        <w:spacing w:line="580" w:lineRule="exact"/>
        <w:ind w:firstLine="640" w:firstLineChars="200"/>
        <w:jc w:val="left"/>
        <w:outlineLvl w:val="2"/>
        <w:rPr>
          <w:rFonts w:hint="eastAsia" w:ascii="方正仿宋_GB2312" w:hAnsi="方正仿宋_GB2312" w:eastAsia="方正仿宋_GB2312" w:cs="方正仿宋_GB2312"/>
          <w:bCs/>
          <w:sz w:val="32"/>
          <w:szCs w:val="32"/>
        </w:rPr>
      </w:pP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井研县高凤镇卫生院</w:t>
      </w:r>
      <w:r>
        <w:rPr>
          <w:rFonts w:ascii="楷体" w:hAnsi="楷体" w:eastAsia="楷体" w:cs="楷体"/>
          <w:sz w:val="32"/>
          <w:u w:color="auto"/>
        </w:rPr>
        <w:t>单位重点工作。</w:t>
      </w:r>
    </w:p>
    <w:p w14:paraId="529F4E61">
      <w:pPr>
        <w:keepNext w:val="0"/>
        <w:keepLines w:val="0"/>
        <w:widowControl/>
        <w:suppressLineNumbers w:val="0"/>
        <w:ind w:firstLine="620" w:firstLineChars="200"/>
        <w:jc w:val="left"/>
        <w:rPr>
          <w:rFonts w:hint="eastAsia" w:ascii="方正仿宋_GB2312" w:hAnsi="方正仿宋_GB2312" w:eastAsia="方正仿宋_GB2312" w:cs="方正仿宋_GB2312"/>
          <w:b/>
          <w:sz w:val="32"/>
          <w:szCs w:val="32"/>
        </w:rPr>
      </w:pPr>
      <w:r>
        <w:rPr>
          <w:rFonts w:ascii="仿宋" w:hAnsi="仿宋" w:eastAsia="仿宋" w:cs="仿宋"/>
          <w:color w:val="000000"/>
          <w:kern w:val="0"/>
          <w:sz w:val="31"/>
          <w:szCs w:val="31"/>
          <w:lang w:val="en-US" w:eastAsia="zh-CN" w:bidi="ar"/>
        </w:rPr>
        <w:t>本年在院内医务人员的共同努力下，全面提升基层医疗卫生</w:t>
      </w:r>
      <w:r>
        <w:rPr>
          <w:rFonts w:hint="eastAsia" w:ascii="仿宋" w:hAnsi="仿宋" w:eastAsia="仿宋" w:cs="仿宋"/>
          <w:color w:val="000000"/>
          <w:kern w:val="0"/>
          <w:sz w:val="31"/>
          <w:szCs w:val="31"/>
          <w:lang w:val="en-US" w:eastAsia="zh-CN" w:bidi="ar"/>
        </w:rPr>
        <w:t>机构综合能力，进一步满足我乡居民医疗服务需求，承办卫生健康局交办的其他事项。圆满的完成了上级部门下达的各项任务，在辖区完成各项诊疗服务，并严格完成各项资金的管理和支付。不断改善医疗服务，严格控制医疗费用，促进合理检查、合理用药、合理治疗，切实减轻患者就医负担。</w:t>
      </w:r>
    </w:p>
    <w:p w14:paraId="55979D41">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76F9B4AF">
      <w:pPr>
        <w:keepNext w:val="0"/>
        <w:keepLines w:val="0"/>
        <w:widowControl/>
        <w:suppressLineNumbers w:val="0"/>
        <w:ind w:firstLine="620" w:firstLineChars="200"/>
        <w:jc w:val="left"/>
        <w:rPr>
          <w:rFonts w:hint="eastAsia" w:ascii="方正仿宋_GB2312" w:hAnsi="方正仿宋_GB2312" w:eastAsia="方正仿宋_GB2312" w:cs="方正仿宋_GB2312"/>
          <w:sz w:val="32"/>
          <w:szCs w:val="32"/>
        </w:rPr>
      </w:pPr>
      <w:r>
        <w:rPr>
          <w:rFonts w:ascii="仿宋" w:hAnsi="仿宋" w:eastAsia="仿宋" w:cs="仿宋"/>
          <w:color w:val="000000"/>
          <w:kern w:val="0"/>
          <w:sz w:val="31"/>
          <w:szCs w:val="31"/>
          <w:lang w:val="en-US" w:eastAsia="zh-CN" w:bidi="ar"/>
        </w:rPr>
        <w:t>井研县高凤镇卫生院是卫生健康局下设的基层医疗机构，属</w:t>
      </w:r>
      <w:r>
        <w:rPr>
          <w:rFonts w:hint="eastAsia" w:ascii="仿宋" w:hAnsi="仿宋" w:eastAsia="仿宋" w:cs="仿宋"/>
          <w:color w:val="000000"/>
          <w:kern w:val="0"/>
          <w:sz w:val="31"/>
          <w:szCs w:val="31"/>
          <w:lang w:val="en-US" w:eastAsia="zh-CN" w:bidi="ar"/>
        </w:rPr>
        <w:t>于财政二级预算单位。</w:t>
      </w:r>
    </w:p>
    <w:p w14:paraId="56F86116">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按照综合预算的原则，</w:t>
      </w:r>
      <w:r>
        <w:rPr>
          <w:rFonts w:ascii="方正仿宋_GB2312" w:hAnsi="方正仿宋_GB2312" w:eastAsia="方正仿宋_GB2312" w:cs="方正仿宋_GB2312"/>
          <w:sz w:val="32"/>
          <w:u w:color="auto"/>
        </w:rPr>
        <w:t>井研县高凤镇卫生院所有收入和支出均纳入单位预算管理。井研县高凤镇卫生院2026年收支预算总数</w:t>
      </w:r>
      <w:r>
        <w:rPr>
          <w:rFonts w:hint="eastAsia" w:ascii="方正仿宋_GB2312" w:hAnsi="方正仿宋_GB2312" w:eastAsia="方正仿宋_GB2312" w:cs="方正仿宋_GB2312"/>
          <w:sz w:val="32"/>
          <w:u w:color="auto"/>
          <w:lang w:val="en-US" w:eastAsia="zh-CN"/>
        </w:rPr>
        <w:t>467.87</w:t>
      </w:r>
      <w:r>
        <w:rPr>
          <w:rFonts w:ascii="方正仿宋_GB2312" w:hAnsi="方正仿宋_GB2312" w:eastAsia="方正仿宋_GB2312" w:cs="方正仿宋_GB2312"/>
          <w:sz w:val="32"/>
          <w:u w:color="auto"/>
        </w:rPr>
        <w:t>万元，比2025年增加54.73万元</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井研县高凤镇卫生院</w:t>
      </w:r>
      <w:r>
        <w:rPr>
          <w:rFonts w:ascii="方正仿宋_GB2312" w:hAnsi="方正仿宋_GB2312" w:eastAsia="方正仿宋_GB2312" w:cs="方正仿宋_GB2312"/>
          <w:sz w:val="32"/>
          <w:u w:color="auto"/>
        </w:rPr>
        <w:t>2026年收入预算467.87万元，上年结转0万元；一般公共预算拨款收入227.8万元，占48.69%；事业收入240.06万元，占51.31%。</w:t>
      </w:r>
      <w:r>
        <w:rPr>
          <w:rFonts w:hint="eastAsia" w:ascii="方正仿宋_GB2312" w:hAnsi="方正仿宋_GB2312" w:eastAsia="方正仿宋_GB2312" w:cs="方正仿宋_GB2312"/>
          <w:sz w:val="32"/>
          <w:szCs w:val="32"/>
          <w:lang w:eastAsia="zh-CN"/>
        </w:rPr>
        <w:t>。相应安排</w:t>
      </w:r>
      <w:r>
        <w:rPr>
          <w:rFonts w:hint="eastAsia" w:ascii="方正仿宋_GB2312" w:hAnsi="方正仿宋_GB2312" w:eastAsia="方正仿宋_GB2312" w:cs="方正仿宋_GB2312"/>
          <w:sz w:val="32"/>
          <w:szCs w:val="32"/>
        </w:rPr>
        <w:t>支出预算</w:t>
      </w:r>
      <w:r>
        <w:rPr>
          <w:rFonts w:ascii="方正仿宋_GB2312" w:hAnsi="方正仿宋_GB2312" w:eastAsia="方正仿宋_GB2312" w:cs="方正仿宋_GB2312"/>
          <w:sz w:val="32"/>
          <w:u w:color="auto"/>
        </w:rPr>
        <w:t>467.87万元，其中：基本支出298.31万元，占63.76%；项目支出169.56万元，占36.24%。</w:t>
      </w:r>
    </w:p>
    <w:p w14:paraId="67302901">
      <w:pPr>
        <w:pStyle w:val="5"/>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井研县高凤镇卫生院</w:t>
      </w:r>
      <w:r>
        <w:rPr>
          <w:rFonts w:ascii="方正仿宋_GB2312" w:hAnsi="方正仿宋_GB2312" w:eastAsia="方正仿宋_GB2312" w:cs="方正仿宋_GB2312"/>
          <w:sz w:val="32"/>
          <w:u w:color="auto"/>
        </w:rPr>
        <w:t>2026年财政拨款收支预算总数227.8万元，比2025年财政拨款收支预算总数增加26.22万元。。</w:t>
      </w:r>
    </w:p>
    <w:p w14:paraId="2122AD5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基本支出，是用于保障机关、下属事业单位等机构正常运转的日常支出，包括基本工资、津贴补贴等人员经费以及办公费、印刷费、水电费、办公设备购置等日常公用经费。</w:t>
      </w:r>
    </w:p>
    <w:p w14:paraId="02C9DC1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项目支出，是用于保障机关、下属事业单位等机构为完成特定的行政工作任务或事业发展目标，用于专项业务工作的经费支出。</w:t>
      </w:r>
    </w:p>
    <w:p w14:paraId="29D28AE0">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井研县高凤镇卫生院</w:t>
      </w:r>
      <w:r>
        <w:rPr>
          <w:rFonts w:ascii="方正仿宋_GB2312" w:hAnsi="方正仿宋_GB2312" w:eastAsia="方正仿宋_GB2312" w:cs="方正仿宋_GB2312"/>
          <w:sz w:val="32"/>
          <w:u w:color="auto"/>
        </w:rPr>
        <w:t>2026年一般公共预算当年拨款227.8万元，比2025年预算数增加26.22万元。主要原因是项目增加。</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卫生健康支出190.47万元，占83.61%、 住房保障支出14.21万元，占6.24%、 社会保障和就业支出23.13万元，占10.15%。</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7AE2ED4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1.社会保障和就业支出（类）行政事业单位养老支出（款）机关事业单位基本养老保险缴费支出（项）2026年预算数为15.42万元，主要用于：机关事业单位实施养老保险制度由单位缴纳的基本养老保险费支出。</w:t>
      </w:r>
    </w:p>
    <w:p w14:paraId="731F15C9">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2.社会保障和就业支出（类）行政事业单位养老支出（款）机关事业单位职业年金缴费支出（项）2026年预算数为7.71万元，主要用于：机关事业单位实施养老保险制度由单位实际缴纳的职业年金支出。</w:t>
      </w:r>
    </w:p>
    <w:p w14:paraId="4DCCBC96">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3.卫生健康支出（类）基层医疗卫生机构（款）乡镇卫生院（项）2026年预算数为175.08万元，主要用于：用于乡镇卫生院的支出。</w:t>
      </w:r>
    </w:p>
    <w:p w14:paraId="118B843D">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4.卫生健康支出（类）基层医疗卫生机构（款）其他基层医疗卫生机构支出（项）2026年预算数为5.99万元，主要用于：除上述项目以外的其他用于基层医疗卫生机构的支出。</w:t>
      </w:r>
    </w:p>
    <w:p w14:paraId="451B3D1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卫生健康支出（类）行政事业单位医疗（款）事业单位医疗（项）2026年预算数为7.96万元，主要用于：财政部门安排的事业单位基本医疗保险缴费经费，未参加医疗保险的事业单位的公费医疗经费，按国家规定享受离休人员待遇的医疗经费。</w:t>
      </w:r>
    </w:p>
    <w:p w14:paraId="60F0E22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6.卫生健康支出（类）行政事业单位医疗（款）其他行政事业单位医疗支出（项）2026年预算数为1.44万元，主要用于：除上述项目以外的其他用于行政事业单位医疗方面的支出。</w:t>
      </w:r>
    </w:p>
    <w:p w14:paraId="5FA3858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住房保障支出（类）住房改革支出（款）住房公积金（项）2026年预算数为14.21万元，主要用于：行政事业单位按人力资源和社会保障部、财政部规定的基本工资和津贴补贴以及规定比例为职工缴纳的住房公积金。</w:t>
      </w:r>
    </w:p>
    <w:p w14:paraId="7E1D4DCA">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井研县高凤镇卫生院</w:t>
      </w:r>
      <w:r>
        <w:rPr>
          <w:rFonts w:ascii="方正仿宋_GB2312" w:hAnsi="方正仿宋_GB2312" w:eastAsia="方正仿宋_GB2312" w:cs="方正仿宋_GB2312"/>
          <w:sz w:val="32"/>
          <w:u w:color="auto"/>
        </w:rPr>
        <w:t>2026年一般公共预算基本支出162.04万元，其中：</w:t>
      </w:r>
    </w:p>
    <w:p w14:paraId="034072E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人员经费 </w:t>
      </w:r>
      <w:r>
        <w:rPr>
          <w:rFonts w:ascii="方正仿宋_GB2312" w:hAnsi="方正仿宋_GB2312" w:eastAsia="方正仿宋_GB2312" w:cs="方正仿宋_GB2312"/>
          <w:sz w:val="32"/>
          <w:u w:color="auto"/>
        </w:rPr>
        <w:t>158.67万元，主要包括：基本工资、津贴补贴、绩效工资、机关事业单位基本养老保险缴费、职业年金缴费、职工基本医疗保险缴费、其他社会保障缴费、住房公积金、生活补助。</w:t>
      </w:r>
    </w:p>
    <w:p w14:paraId="375C9D4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公用经费 </w:t>
      </w:r>
      <w:r>
        <w:rPr>
          <w:rFonts w:ascii="方正仿宋_GB2312" w:hAnsi="方正仿宋_GB2312" w:eastAsia="方正仿宋_GB2312" w:cs="方正仿宋_GB2312"/>
          <w:sz w:val="32"/>
          <w:u w:color="auto"/>
        </w:rPr>
        <w:t>3.38万元，主要包括：工会经费、其他商品和服务支出。</w:t>
      </w:r>
    </w:p>
    <w:p w14:paraId="78D15BDE">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井研县高凤镇卫生院2026年没有使用政府性基金预算拨款安排的支出。</w:t>
      </w:r>
    </w:p>
    <w:p w14:paraId="374AB08C">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井研县高凤镇卫生院2026年没有使用国有资本经营预算拨款安排的支出。</w:t>
      </w:r>
    </w:p>
    <w:p w14:paraId="5B963983">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井研县高凤镇卫生院2026年没有使用财政拨款安排“三公”经费预算。</w:t>
      </w:r>
    </w:p>
    <w:p w14:paraId="7795364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因公出国（境）经费较上年预算0万元，与上年持平</w:t>
      </w:r>
    </w:p>
    <w:p w14:paraId="5836E4D3">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w:t>
      </w:r>
      <w:r>
        <w:rPr>
          <w:rFonts w:ascii="方正仿宋_GB2312" w:hAnsi="方正仿宋_GB2312" w:eastAsia="方正仿宋_GB2312" w:cs="方正仿宋_GB2312"/>
          <w:sz w:val="32"/>
          <w:u w:color="auto"/>
        </w:rPr>
        <w:t>公务接待费与2025年预算数持平。</w:t>
      </w:r>
    </w:p>
    <w:p w14:paraId="4C6CD719">
      <w:pPr>
        <w:tabs>
          <w:tab w:val="right" w:pos="7666"/>
        </w:tabs>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年公务接待费计划用于</w:t>
      </w:r>
      <w:r>
        <w:rPr>
          <w:rFonts w:hint="eastAsia" w:ascii="方正仿宋_GB2312" w:hAnsi="方正仿宋_GB2312" w:eastAsia="方正仿宋_GB2312" w:cs="方正仿宋_GB2312"/>
          <w:sz w:val="32"/>
          <w:u w:color="auto"/>
          <w:lang w:val="en-US" w:eastAsia="zh-CN"/>
        </w:rPr>
        <w:t>公务接待</w:t>
      </w:r>
      <w:r>
        <w:rPr>
          <w:rFonts w:ascii="方正仿宋_GB2312" w:hAnsi="方正仿宋_GB2312" w:eastAsia="方正仿宋_GB2312" w:cs="方正仿宋_GB2312"/>
          <w:sz w:val="32"/>
          <w:u w:color="auto"/>
        </w:rPr>
        <w:t>。</w:t>
      </w:r>
    </w:p>
    <w:p w14:paraId="3D0D8CE2">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3.</w:t>
      </w:r>
      <w:r>
        <w:rPr>
          <w:rFonts w:hint="eastAsia" w:ascii="方正仿宋_GB2312" w:hAnsi="方正仿宋_GB2312" w:eastAsia="方正仿宋_GB2312" w:cs="方正仿宋_GB2312"/>
          <w:sz w:val="32"/>
          <w:szCs w:val="32"/>
        </w:rPr>
        <w:t>公务用车购置及运行维护费与2025年预算数持平。</w:t>
      </w:r>
    </w:p>
    <w:p w14:paraId="2FBFE460">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单位现有公务用车</w:t>
      </w:r>
      <w:r>
        <w:rPr>
          <w:rFonts w:hint="eastAsia" w:ascii="方正仿宋_GB2312" w:hAnsi="方正仿宋_GB2312" w:eastAsia="方正仿宋_GB2312" w:cs="方正仿宋_GB2312"/>
          <w:sz w:val="32"/>
          <w:szCs w:val="32"/>
          <w:lang w:val="en-US" w:eastAsia="zh-CN"/>
        </w:rPr>
        <w:t>2</w:t>
      </w:r>
      <w:r>
        <w:rPr>
          <w:rFonts w:ascii="方正仿宋_GB2312" w:hAnsi="方正仿宋_GB2312" w:eastAsia="方正仿宋_GB2312" w:cs="方正仿宋_GB2312"/>
          <w:sz w:val="32"/>
          <w:u w:color="auto"/>
        </w:rPr>
        <w:t>辆，其中：轿车0辆、旅行车（含商务车）0辆、越野车0辆、大型客</w:t>
      </w:r>
      <w:r>
        <w:rPr>
          <w:rFonts w:hint="eastAsia" w:ascii="方正仿宋_GB2312" w:hAnsi="方正仿宋_GB2312" w:eastAsia="方正仿宋_GB2312" w:cs="方正仿宋_GB2312"/>
          <w:sz w:val="32"/>
          <w:u w:color="auto"/>
          <w:lang w:val="en-US" w:eastAsia="zh-CN"/>
        </w:rPr>
        <w:t>0辆</w:t>
      </w:r>
      <w:r>
        <w:rPr>
          <w:rFonts w:ascii="方正仿宋_GB2312" w:hAnsi="方正仿宋_GB2312" w:eastAsia="方正仿宋_GB2312" w:cs="方正仿宋_GB2312"/>
          <w:sz w:val="32"/>
          <w:u w:color="auto"/>
        </w:rPr>
        <w:t>、货车</w:t>
      </w:r>
      <w:r>
        <w:rPr>
          <w:rFonts w:hint="eastAsia" w:ascii="方正仿宋_GB2312" w:hAnsi="方正仿宋_GB2312" w:eastAsia="方正仿宋_GB2312" w:cs="方正仿宋_GB2312"/>
          <w:sz w:val="32"/>
          <w:u w:color="auto"/>
          <w:lang w:val="en-US" w:eastAsia="zh-CN"/>
        </w:rPr>
        <w:t>1</w:t>
      </w:r>
      <w:r>
        <w:rPr>
          <w:rFonts w:ascii="方正仿宋_GB2312" w:hAnsi="方正仿宋_GB2312" w:eastAsia="方正仿宋_GB2312" w:cs="方正仿宋_GB2312"/>
          <w:sz w:val="32"/>
          <w:u w:color="auto"/>
        </w:rPr>
        <w:t>辆</w:t>
      </w:r>
      <w:r>
        <w:rPr>
          <w:rFonts w:hint="eastAsia" w:ascii="方正仿宋_GB2312" w:hAnsi="方正仿宋_GB2312" w:eastAsia="方正仿宋_GB2312" w:cs="方正仿宋_GB2312"/>
          <w:sz w:val="32"/>
          <w:u w:color="auto"/>
          <w:lang w:eastAsia="zh-CN"/>
        </w:rPr>
        <w:t>、</w:t>
      </w:r>
      <w:r>
        <w:rPr>
          <w:rFonts w:hint="eastAsia" w:ascii="方正仿宋_GB2312" w:hAnsi="方正仿宋_GB2312" w:eastAsia="方正仿宋_GB2312" w:cs="方正仿宋_GB2312"/>
          <w:sz w:val="32"/>
          <w:u w:color="auto"/>
          <w:lang w:val="en-US" w:eastAsia="zh-CN"/>
        </w:rPr>
        <w:t>救护车1辆</w:t>
      </w:r>
      <w:r>
        <w:rPr>
          <w:rFonts w:ascii="方正仿宋_GB2312" w:hAnsi="方正仿宋_GB2312" w:eastAsia="方正仿宋_GB2312" w:cs="方正仿宋_GB2312"/>
          <w:sz w:val="32"/>
          <w:u w:color="auto"/>
        </w:rPr>
        <w:t>。</w:t>
      </w:r>
    </w:p>
    <w:p w14:paraId="57CCA597">
      <w:pPr>
        <w:spacing w:line="580" w:lineRule="exact"/>
        <w:ind w:firstLine="64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年安排公务用车购置费0万元，拟购置公务用车0辆，</w:t>
      </w:r>
      <w:r>
        <w:rPr>
          <w:rFonts w:hint="eastAsia" w:ascii="方正仿宋_GB2312" w:hAnsi="方正仿宋_GB2312" w:eastAsia="方正仿宋_GB2312" w:cs="方正仿宋_GB2312"/>
          <w:sz w:val="32"/>
          <w:szCs w:val="32"/>
          <w:lang w:val="en-US" w:eastAsia="zh-CN"/>
        </w:rPr>
        <w:t>用于开展业务活动。</w:t>
      </w:r>
    </w:p>
    <w:p w14:paraId="7D596F91">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年安排公务用车运行维护费0万元，用于公务用车燃油、维修、过路过桥费、保险等方面支出。</w:t>
      </w:r>
    </w:p>
    <w:p w14:paraId="1C870E38">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井研县高凤镇卫生院</w:t>
      </w:r>
      <w:r>
        <w:rPr>
          <w:rFonts w:ascii="方正仿宋_GB2312" w:hAnsi="方正仿宋_GB2312" w:eastAsia="方正仿宋_GB2312" w:cs="方正仿宋_GB2312"/>
          <w:sz w:val="32"/>
          <w:u w:color="auto"/>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井研县高凤镇卫生院为事业单位，按规定未使用机关运行的相关科目。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2026年无政府采购项目，未安排政府采购预算。</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井研县高凤镇卫生院</w:t>
      </w:r>
      <w:r>
        <w:rPr>
          <w:rFonts w:hint="eastAsia" w:ascii="方正仿宋_GB2312" w:hAnsi="方正仿宋_GB2312" w:eastAsia="方正仿宋_GB2312" w:cs="方正仿宋_GB2312"/>
          <w:sz w:val="32"/>
          <w:szCs w:val="32"/>
          <w:lang w:val="en-US" w:eastAsia="zh-CN"/>
        </w:rPr>
        <w:t>未</w:t>
      </w:r>
      <w:r>
        <w:rPr>
          <w:rFonts w:hint="eastAsia" w:ascii="方正仿宋_GB2312" w:hAnsi="方正仿宋_GB2312" w:eastAsia="方正仿宋_GB2312" w:cs="方正仿宋_GB2312"/>
          <w:sz w:val="32"/>
          <w:szCs w:val="32"/>
        </w:rPr>
        <w:t>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截至</w:t>
      </w:r>
      <w:r>
        <w:rPr>
          <w:rFonts w:hint="eastAsia" w:ascii="方正仿宋_GB2312" w:hAnsi="方正仿宋_GB2312" w:eastAsia="方正仿宋_GB2312" w:cs="方正仿宋_GB2312"/>
          <w:sz w:val="32"/>
          <w:szCs w:val="32"/>
          <w:lang w:val="en-US" w:eastAsia="zh-CN"/>
        </w:rPr>
        <w:t>去</w:t>
      </w:r>
      <w:r>
        <w:rPr>
          <w:rFonts w:hint="eastAsia" w:ascii="方正仿宋_GB2312" w:hAnsi="方正仿宋_GB2312" w:eastAsia="方正仿宋_GB2312" w:cs="方正仿宋_GB2312"/>
          <w:sz w:val="32"/>
          <w:szCs w:val="32"/>
        </w:rPr>
        <w:t>年底，</w:t>
      </w:r>
      <w:r>
        <w:rPr>
          <w:rFonts w:ascii="方正仿宋_GB2312" w:hAnsi="方正仿宋_GB2312" w:eastAsia="方正仿宋_GB2312" w:cs="方正仿宋_GB2312"/>
          <w:sz w:val="32"/>
          <w:u w:color="auto"/>
        </w:rPr>
        <w:t>井研县高凤镇卫生院所属各预算单位共有车辆0辆。单位价值200万元以上大型设备0台（套）。</w:t>
      </w:r>
    </w:p>
    <w:p w14:paraId="77D3DE7A">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井研县高凤镇卫生院</w:t>
      </w:r>
      <w:r>
        <w:rPr>
          <w:rFonts w:ascii="方正仿宋_GB2312" w:hAnsi="方正仿宋_GB2312" w:eastAsia="方正仿宋_GB2312" w:cs="方正仿宋_GB2312"/>
          <w:sz w:val="32"/>
          <w:u w:color="auto"/>
        </w:rPr>
        <w:t>按要求实行绩效目标管理，部门整体绩效目标涉及预算安排</w:t>
      </w:r>
      <w:r>
        <w:rPr>
          <w:rFonts w:hint="eastAsia" w:ascii="方正仿宋_GB2312" w:hAnsi="方正仿宋_GB2312" w:eastAsia="方正仿宋_GB2312" w:cs="方正仿宋_GB2312"/>
          <w:sz w:val="32"/>
          <w:u w:color="auto"/>
        </w:rPr>
        <w:t>198</w:t>
      </w:r>
      <w:r>
        <w:rPr>
          <w:rFonts w:hint="eastAsia" w:ascii="方正仿宋_GB2312" w:hAnsi="方正仿宋_GB2312" w:eastAsia="方正仿宋_GB2312" w:cs="方正仿宋_GB2312"/>
          <w:sz w:val="32"/>
          <w:u w:color="auto"/>
          <w:lang w:val="en-US" w:eastAsia="zh-CN"/>
        </w:rPr>
        <w:t>.5</w:t>
      </w:r>
      <w:r>
        <w:rPr>
          <w:rFonts w:ascii="方正仿宋_GB2312" w:hAnsi="方正仿宋_GB2312" w:eastAsia="方正仿宋_GB2312" w:cs="方正仿宋_GB2312"/>
          <w:sz w:val="32"/>
          <w:u w:color="auto"/>
        </w:rPr>
        <w:t>万元。开展绩效目标管理的项目1</w:t>
      </w:r>
      <w:r>
        <w:rPr>
          <w:rFonts w:hint="eastAsia" w:ascii="方正仿宋_GB2312" w:hAnsi="方正仿宋_GB2312" w:eastAsia="方正仿宋_GB2312" w:cs="方正仿宋_GB2312"/>
          <w:sz w:val="32"/>
          <w:u w:color="auto"/>
          <w:lang w:val="en-US" w:eastAsia="zh-CN"/>
        </w:rPr>
        <w:t>7</w:t>
      </w:r>
      <w:r>
        <w:rPr>
          <w:rFonts w:ascii="方正仿宋_GB2312" w:hAnsi="方正仿宋_GB2312" w:eastAsia="方正仿宋_GB2312" w:cs="方正仿宋_GB2312"/>
          <w:sz w:val="32"/>
          <w:u w:color="auto"/>
        </w:rPr>
        <w:t>个，涉及预算</w:t>
      </w:r>
      <w:r>
        <w:rPr>
          <w:rFonts w:hint="eastAsia" w:ascii="方正仿宋_GB2312" w:hAnsi="方正仿宋_GB2312" w:eastAsia="方正仿宋_GB2312" w:cs="方正仿宋_GB2312"/>
          <w:sz w:val="32"/>
          <w:u w:color="auto"/>
        </w:rPr>
        <w:t>198</w:t>
      </w:r>
      <w:r>
        <w:rPr>
          <w:rFonts w:hint="eastAsia" w:ascii="方正仿宋_GB2312" w:hAnsi="方正仿宋_GB2312" w:eastAsia="方正仿宋_GB2312" w:cs="方正仿宋_GB2312"/>
          <w:sz w:val="32"/>
          <w:u w:color="auto"/>
          <w:lang w:val="en-US" w:eastAsia="zh-CN"/>
        </w:rPr>
        <w:t>.5</w:t>
      </w:r>
      <w:r>
        <w:rPr>
          <w:rFonts w:ascii="方正仿宋_GB2312" w:hAnsi="方正仿宋_GB2312" w:eastAsia="方正仿宋_GB2312" w:cs="方正仿宋_GB2312"/>
          <w:sz w:val="32"/>
          <w:u w:color="auto"/>
        </w:rPr>
        <w:t>万元。</w:t>
      </w:r>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25584521">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1.财政拨款收支情况：是指一般公共预算、政府性基金预算、国有资本经营预算拨款收支情况。</w:t>
      </w:r>
    </w:p>
    <w:p w14:paraId="460FFDE8">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2.一般公共预算拨款收入：指县级财政当年拨付的资金。</w:t>
      </w:r>
    </w:p>
    <w:p w14:paraId="40BBF70C">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3.政府性基金预算:指通过向社会征收以及出让土地、发行彩票等方式取得收入，并专项用于特定基础设施建设和社会事业发展的财政收支预算。</w:t>
      </w:r>
    </w:p>
    <w:p w14:paraId="4F1A0458">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4.事业收入：指事业单位开展专业业务活动及辅助活动所取得的收入。</w:t>
      </w:r>
    </w:p>
    <w:p w14:paraId="2A50AEF2">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5.事业单位经营收入：指事业单位在专业业务活动及其辅助活动之外开展非独立核算经营活动取得的收入。</w:t>
      </w:r>
    </w:p>
    <w:p w14:paraId="251A4811">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6.其他收入：指除上述“一般公共预算拨款收入”、“事业收入”、“事业单位经营收入”等以外的收入。主要是利息收入、国有资产出租收入等。</w:t>
      </w:r>
    </w:p>
    <w:p w14:paraId="71B70630">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1131B4FA">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8.上年结转：指以前年度尚未完成，结转到本年仍按原规定用途继续使用的资金。 </w:t>
      </w:r>
    </w:p>
    <w:p w14:paraId="168A2E7E">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9</w:t>
      </w:r>
      <w:r>
        <w:rPr>
          <w:rFonts w:hint="eastAsia" w:ascii="方正仿宋_GB2312" w:hAnsi="方正仿宋_GB2312" w:eastAsia="方正仿宋_GB2312" w:cs="方正仿宋_GB2312"/>
          <w:sz w:val="32"/>
          <w:szCs w:val="32"/>
        </w:rPr>
        <w:t>.社会保障和就业支出（类）行政事业单位养老支出（款）机关事业单位基本养老保险缴费支出（项）：反映机关事业单位实施养老保险制度由单位缴纳的基本养老保险费支出。</w:t>
      </w:r>
    </w:p>
    <w:p w14:paraId="770AAA2E">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10</w:t>
      </w:r>
      <w:r>
        <w:rPr>
          <w:rFonts w:hint="eastAsia" w:ascii="方正仿宋_GB2312" w:hAnsi="方正仿宋_GB2312" w:eastAsia="方正仿宋_GB2312" w:cs="方正仿宋_GB2312"/>
          <w:sz w:val="32"/>
          <w:szCs w:val="32"/>
        </w:rPr>
        <w:t>.社会保障和就业支出（类）行政事业单位养老支出（款）机关事业单位职业年金缴费支出（项）：反映机关事业单位实施养老保险制度由单位实际缴纳的职业年金支出。</w:t>
      </w:r>
    </w:p>
    <w:p w14:paraId="79A7B0A5">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11</w:t>
      </w:r>
      <w:r>
        <w:rPr>
          <w:rFonts w:hint="eastAsia" w:ascii="方正仿宋_GB2312" w:hAnsi="方正仿宋_GB2312" w:eastAsia="方正仿宋_GB2312" w:cs="方正仿宋_GB2312"/>
          <w:sz w:val="32"/>
          <w:szCs w:val="32"/>
        </w:rPr>
        <w:t>.卫生健康支出（类）基层医疗卫生机构（款）乡镇卫生院（项）：反映用于乡镇卫生院的支出。</w:t>
      </w:r>
    </w:p>
    <w:p w14:paraId="05AD0C07">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12</w:t>
      </w:r>
      <w:r>
        <w:rPr>
          <w:rFonts w:hint="eastAsia" w:ascii="方正仿宋_GB2312" w:hAnsi="方正仿宋_GB2312" w:eastAsia="方正仿宋_GB2312" w:cs="方正仿宋_GB2312"/>
          <w:sz w:val="32"/>
          <w:szCs w:val="32"/>
        </w:rPr>
        <w:t>.卫生健康支出（类）基层医疗卫生机构（款）其他基层医疗卫生机构支出（项）：反映除上述项目以外的其他用于基层医疗卫生机构的支出。</w:t>
      </w:r>
    </w:p>
    <w:p w14:paraId="2A3CA401">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13</w:t>
      </w:r>
      <w:r>
        <w:rPr>
          <w:rFonts w:hint="eastAsia" w:ascii="方正仿宋_GB2312" w:hAnsi="方正仿宋_GB2312" w:eastAsia="方正仿宋_GB2312" w:cs="方正仿宋_GB2312"/>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p>
    <w:p w14:paraId="3BBE8CC4">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14</w:t>
      </w:r>
      <w:r>
        <w:rPr>
          <w:rFonts w:hint="eastAsia" w:ascii="方正仿宋_GB2312" w:hAnsi="方正仿宋_GB2312" w:eastAsia="方正仿宋_GB2312" w:cs="方正仿宋_GB2312"/>
          <w:sz w:val="32"/>
          <w:szCs w:val="32"/>
        </w:rPr>
        <w:t>.卫生健康支出（类）行政事业单位医疗（款）其他行政事业单位医疗支出（项）：反映除上述项目以外的其他用于行政事业单位医疗方面的支出。</w:t>
      </w:r>
    </w:p>
    <w:p w14:paraId="2FFCC323">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15</w:t>
      </w:r>
      <w:r>
        <w:rPr>
          <w:rFonts w:hint="eastAsia" w:ascii="方正仿宋_GB2312" w:hAnsi="方正仿宋_GB2312" w:eastAsia="方正仿宋_GB2312" w:cs="方正仿宋_GB2312"/>
          <w:sz w:val="32"/>
          <w:szCs w:val="32"/>
        </w:rPr>
        <w:t>.住房保障支出（类）住房改革支出（款）住房公积金（项）：反映行政事业单位按人力资源和社会保障部、财政部规定的基本工资和津贴补贴以及规定比例为职工缴纳的住房公积金。</w:t>
      </w:r>
    </w:p>
    <w:p w14:paraId="2C02DDF0">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16</w:t>
      </w:r>
      <w:r>
        <w:rPr>
          <w:rFonts w:hint="eastAsia" w:ascii="方正仿宋_GB2312" w:hAnsi="方正仿宋_GB2312" w:eastAsia="方正仿宋_GB2312" w:cs="方正仿宋_GB2312"/>
          <w:sz w:val="32"/>
          <w:szCs w:val="32"/>
        </w:rPr>
        <w:t>.基本支出：指为保证机构正常运转，完成日常工作任务而发生的人员支出和公用支出。</w:t>
      </w:r>
    </w:p>
    <w:p w14:paraId="25928A7E">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w:t>
      </w:r>
      <w:r>
        <w:rPr>
          <w:rFonts w:hint="eastAsia" w:ascii="方正仿宋_GB2312" w:hAnsi="方正仿宋_GB2312" w:eastAsia="方正仿宋_GB2312" w:cs="方正仿宋_GB2312"/>
          <w:sz w:val="32"/>
          <w:szCs w:val="32"/>
          <w:lang w:val="en-US" w:eastAsia="zh-CN"/>
        </w:rPr>
        <w:t>7</w:t>
      </w:r>
      <w:r>
        <w:rPr>
          <w:rFonts w:hint="eastAsia" w:ascii="方正仿宋_GB2312" w:hAnsi="方正仿宋_GB2312" w:eastAsia="方正仿宋_GB2312" w:cs="方正仿宋_GB2312"/>
          <w:sz w:val="32"/>
          <w:szCs w:val="32"/>
        </w:rPr>
        <w:t>.项目支出：指在基本支出之外为完成特定行政任务和事业发展目标所发生的支出。</w:t>
      </w:r>
    </w:p>
    <w:p w14:paraId="2ADCF897">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w:t>
      </w:r>
      <w:r>
        <w:rPr>
          <w:rFonts w:hint="eastAsia" w:ascii="方正仿宋_GB2312" w:hAnsi="方正仿宋_GB2312" w:eastAsia="方正仿宋_GB2312" w:cs="方正仿宋_GB2312"/>
          <w:sz w:val="32"/>
          <w:szCs w:val="32"/>
          <w:lang w:val="en-US" w:eastAsia="zh-CN"/>
        </w:rPr>
        <w:t>8</w:t>
      </w:r>
      <w:r>
        <w:rPr>
          <w:rFonts w:hint="eastAsia" w:ascii="方正仿宋_GB2312" w:hAnsi="方正仿宋_GB2312" w:eastAsia="方正仿宋_GB2312" w:cs="方正仿宋_GB2312"/>
          <w:sz w:val="32"/>
          <w:szCs w:val="32"/>
        </w:rPr>
        <w:t>.“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FEB270E">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w:t>
      </w:r>
      <w:r>
        <w:rPr>
          <w:rFonts w:hint="eastAsia" w:ascii="方正仿宋_GB2312" w:hAnsi="方正仿宋_GB2312" w:eastAsia="方正仿宋_GB2312" w:cs="方正仿宋_GB2312"/>
          <w:sz w:val="32"/>
          <w:szCs w:val="32"/>
          <w:lang w:val="en-US" w:eastAsia="zh-CN"/>
        </w:rPr>
        <w:t>9</w:t>
      </w:r>
      <w:r>
        <w:rPr>
          <w:rFonts w:hint="eastAsia" w:ascii="方正仿宋_GB2312" w:hAnsi="方正仿宋_GB2312" w:eastAsia="方正仿宋_GB2312" w:cs="方正仿宋_GB2312"/>
          <w:sz w:val="32"/>
          <w:szCs w:val="32"/>
        </w:rPr>
        <w:t>.机关运行经费：为保障行政单位（包含参照公务员法管理的事业单位）运行用于购买货物和服务的各项资金。包括办公及印刷费、邮电费、差旅费、会议费一般设备购置费等费用开支。</w:t>
      </w:r>
      <w:r>
        <w:rPr>
          <w:rFonts w:hint="eastAsia" w:ascii="方正仿宋_GB2312" w:hAnsi="方正仿宋_GB2312" w:eastAsia="方正仿宋_GB2312" w:cs="方正仿宋_GB2312"/>
          <w:sz w:val="32"/>
          <w:szCs w:val="32"/>
        </w:rPr>
        <w:cr/>
      </w:r>
    </w:p>
    <w:p w14:paraId="1D7EE8B2">
      <w:pPr>
        <w:jc w:val="left"/>
        <w:rPr>
          <w:rFonts w:hint="eastAsia" w:ascii="MiSans Normal" w:hAnsi="MiSans Normal" w:eastAsia="MiSans Normal" w:cs="MiSans Norma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MiSans Normal">
    <w:altName w:val="宋体"/>
    <w:panose1 w:val="00000500000000000000"/>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DC5897"/>
    <w:multiLevelType w:val="singleLevel"/>
    <w:tmpl w:val="17DC589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DC540B5"/>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786165"/>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5A0F33"/>
    <w:rsid w:val="1A8A0974"/>
    <w:rsid w:val="1ADB600A"/>
    <w:rsid w:val="1AE72EE7"/>
    <w:rsid w:val="1B9C22AA"/>
    <w:rsid w:val="1BE348F8"/>
    <w:rsid w:val="1C001B5A"/>
    <w:rsid w:val="1C676AC0"/>
    <w:rsid w:val="1C8979CD"/>
    <w:rsid w:val="1D1309C5"/>
    <w:rsid w:val="1D4E37F9"/>
    <w:rsid w:val="1E484DA2"/>
    <w:rsid w:val="1EDF2708"/>
    <w:rsid w:val="1F32416D"/>
    <w:rsid w:val="1F400809"/>
    <w:rsid w:val="1F990304"/>
    <w:rsid w:val="1FD07044"/>
    <w:rsid w:val="200F074F"/>
    <w:rsid w:val="205E0FD1"/>
    <w:rsid w:val="206A30F3"/>
    <w:rsid w:val="20E14771"/>
    <w:rsid w:val="20E325CD"/>
    <w:rsid w:val="215E491F"/>
    <w:rsid w:val="2160648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DC17BA"/>
    <w:rsid w:val="2FEA1E20"/>
    <w:rsid w:val="30FE4C1A"/>
    <w:rsid w:val="31C81974"/>
    <w:rsid w:val="31C9463A"/>
    <w:rsid w:val="31D87EB9"/>
    <w:rsid w:val="31E71DFA"/>
    <w:rsid w:val="32607DFF"/>
    <w:rsid w:val="33165308"/>
    <w:rsid w:val="33F6376D"/>
    <w:rsid w:val="344C1C18"/>
    <w:rsid w:val="346E542F"/>
    <w:rsid w:val="348204D4"/>
    <w:rsid w:val="34921118"/>
    <w:rsid w:val="34E22C0C"/>
    <w:rsid w:val="35D53A26"/>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EA27EE0"/>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3E1B7C"/>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BF5B71"/>
    <w:rsid w:val="4D477799"/>
    <w:rsid w:val="4D6455F8"/>
    <w:rsid w:val="4D8B35A6"/>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B14056"/>
    <w:rsid w:val="57E977B0"/>
    <w:rsid w:val="57ED201E"/>
    <w:rsid w:val="57F42B0E"/>
    <w:rsid w:val="583E3F5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BDB4226"/>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qFormat/>
    <w:uiPriority w:val="0"/>
    <w:rPr>
      <w:rFonts w:ascii="Calibri" w:hAnsi="Calibri"/>
      <w:kern w:val="2"/>
      <w:sz w:val="18"/>
      <w:szCs w:val="18"/>
    </w:rPr>
  </w:style>
  <w:style w:type="paragraph" w:customStyle="1" w:styleId="9">
    <w:name w:val="〖C01〗正文"/>
    <w:basedOn w:val="1"/>
    <w:qFormat/>
    <w:uiPriority w:val="0"/>
    <w:pPr>
      <w:topLinePunct/>
      <w:spacing w:line="600" w:lineRule="exact"/>
      <w:ind w:firstLine="640" w:firstLineChars="200"/>
    </w:pPr>
    <w:rPr>
      <w:rFonts w:ascii="仿宋_GB2312" w:hAnsi="Calibri" w:eastAsia="仿宋_GB2312"/>
      <w:sz w:val="32"/>
      <w:szCs w:val="32"/>
    </w:rPr>
  </w:style>
  <w:style w:type="paragraph" w:customStyle="1" w:styleId="10">
    <w:name w:val="〖A08〗公文标题"/>
    <w:basedOn w:val="1"/>
    <w:next w:val="1"/>
    <w:qFormat/>
    <w:uiPriority w:val="0"/>
    <w:pPr>
      <w:topLinePunct/>
      <w:spacing w:line="600" w:lineRule="exact"/>
      <w:jc w:val="center"/>
    </w:pPr>
    <w:rPr>
      <w:rFonts w:ascii="方正小标宋简体" w:hAnsi="Calibri" w:eastAsia="方正小标宋简体"/>
      <w:sz w:val="44"/>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3964</Words>
  <Characters>4242</Characters>
  <Lines>12</Lines>
  <Paragraphs>3</Paragraphs>
  <TotalTime>2</TotalTime>
  <ScaleCrop>false</ScaleCrop>
  <LinksUpToDate>false</LinksUpToDate>
  <CharactersWithSpaces>4254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黎洛指艺</cp:lastModifiedBy>
  <dcterms:modified xsi:type="dcterms:W3CDTF">2026-02-26T06:17:18Z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4BCC831FF0F24F18A9453E268540240F_13</vt:lpwstr>
  </property>
  <property fmtid="{D5CDD505-2E9C-101B-9397-08002B2CF9AE}" pid="4" name="KSOTemplateDocerSaveRecord">
    <vt:lpwstr>eyJoZGlkIjoiNGU3MjZkYTI4ODNlODcxYjlmOGE1OTdhNjFjYTNkYmMiLCJ1c2VySWQiOiI0NjMwOTU5OTQifQ==</vt:lpwstr>
  </property>
</Properties>
</file>