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B49F4">
      <w:pPr>
        <w:widowControl/>
        <w:jc w:val="center"/>
        <w:rPr>
          <w:rFonts w:hint="eastAsia" w:ascii="黑体" w:hAnsi="黑体" w:eastAsia="黑体" w:cs="黑体"/>
          <w:color w:val="000000"/>
          <w:kern w:val="0"/>
          <w:sz w:val="44"/>
          <w:szCs w:val="44"/>
          <w:lang w:bidi="ar"/>
        </w:rPr>
      </w:pPr>
      <w:r>
        <w:rPr>
          <w:rFonts w:hint="eastAsia" w:ascii="黑体" w:hAnsi="黑体" w:eastAsia="黑体" w:cs="黑体"/>
          <w:color w:val="000000"/>
          <w:kern w:val="0"/>
          <w:sz w:val="44"/>
          <w:szCs w:val="44"/>
          <w:lang w:val="en-US" w:eastAsia="zh-CN" w:bidi="ar"/>
        </w:rPr>
        <w:t>关于</w:t>
      </w:r>
      <w:r>
        <w:rPr>
          <w:rFonts w:hint="eastAsia" w:ascii="黑体" w:hAnsi="黑体" w:eastAsia="黑体" w:cs="黑体"/>
          <w:color w:val="000000"/>
          <w:kern w:val="0"/>
          <w:sz w:val="44"/>
          <w:szCs w:val="44"/>
          <w:lang w:bidi="ar"/>
        </w:rPr>
        <w:t>井研县门坎镇卫生院</w:t>
      </w:r>
      <w:r>
        <w:rPr>
          <w:rFonts w:hint="eastAsia" w:ascii="黑体" w:hAnsi="黑体" w:eastAsia="黑体" w:cs="黑体"/>
          <w:color w:val="000000"/>
          <w:sz w:val="44"/>
          <w:u w:color="auto"/>
        </w:rPr>
        <w:t>单位</w:t>
      </w:r>
    </w:p>
    <w:p w14:paraId="5E38A76C">
      <w:pPr>
        <w:widowControl/>
        <w:jc w:val="center"/>
        <w:rPr>
          <w:rFonts w:hint="eastAsia" w:ascii="黑体" w:hAnsi="黑体" w:eastAsia="黑体" w:cs="黑体"/>
        </w:rPr>
      </w:pPr>
      <w:r>
        <w:rPr>
          <w:rFonts w:hint="eastAsia" w:ascii="黑体" w:hAnsi="黑体" w:eastAsia="黑体" w:cs="黑体"/>
          <w:color w:val="000000"/>
          <w:kern w:val="0"/>
          <w:sz w:val="44"/>
          <w:szCs w:val="44"/>
          <w:lang w:bidi="ar"/>
        </w:rPr>
        <w:t>2026</w:t>
      </w:r>
      <w:r>
        <w:rPr>
          <w:rFonts w:hint="eastAsia" w:ascii="黑体" w:hAnsi="黑体" w:eastAsia="黑体" w:cs="黑体"/>
          <w:color w:val="000000"/>
          <w:sz w:val="44"/>
          <w:u w:color="auto"/>
        </w:rPr>
        <w:t>年部门预算编制</w:t>
      </w:r>
      <w:r>
        <w:rPr>
          <w:rFonts w:hint="eastAsia" w:ascii="黑体" w:hAnsi="黑体" w:eastAsia="黑体" w:cs="黑体"/>
          <w:color w:val="000000"/>
          <w:kern w:val="0"/>
          <w:sz w:val="44"/>
          <w:szCs w:val="44"/>
          <w:lang w:val="en-US" w:eastAsia="zh-CN" w:bidi="ar"/>
        </w:rPr>
        <w:t>的</w:t>
      </w:r>
      <w:r>
        <w:rPr>
          <w:rFonts w:hint="eastAsia" w:ascii="黑体" w:hAnsi="黑体" w:eastAsia="黑体" w:cs="黑体"/>
          <w:color w:val="000000"/>
          <w:kern w:val="0"/>
          <w:sz w:val="44"/>
          <w:szCs w:val="44"/>
          <w:lang w:bidi="ar"/>
        </w:rPr>
        <w:t>说明</w:t>
      </w:r>
    </w:p>
    <w:p w14:paraId="615FE939">
      <w:pPr>
        <w:pStyle w:val="9"/>
      </w:pPr>
      <w:r>
        <w:rPr>
          <w:rFonts w:hint="eastAsia"/>
        </w:rPr>
        <w:t>按照预算管理有关规定，目前部门预算的编制实行综合预算制度，即全部收入和支出都反映在预算中。</w:t>
      </w:r>
    </w:p>
    <w:p w14:paraId="6527D6F4">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一、基本职能及主要工作</w:t>
      </w:r>
    </w:p>
    <w:p w14:paraId="49F0E2B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w:t>
      </w:r>
      <w:r>
        <w:rPr>
          <w:rFonts w:ascii="楷体" w:hAnsi="楷体" w:eastAsia="楷体" w:cs="楷体"/>
          <w:sz w:val="32"/>
          <w:u w:color="auto"/>
        </w:rPr>
        <w:t>井研县门坎镇卫生院单位职能简介。</w:t>
      </w:r>
    </w:p>
    <w:p w14:paraId="0C239B88">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1. 开展常见病、多发病诊疗、急诊急救、中医药服务及基本药物供应。</w:t>
      </w:r>
    </w:p>
    <w:p w14:paraId="6CEAA375">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2. 落实国家基本公共卫生服务，包括居民健康档案、健康教育、预防接种、重点人群健康管理、传染病防控等。</w:t>
      </w:r>
    </w:p>
    <w:p w14:paraId="3160655C">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3. 负责辖区村卫生室业务指导、人员培训与一体化管理。</w:t>
      </w:r>
    </w:p>
    <w:p w14:paraId="53EA27A5">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4. 做好家庭医生签约、妇幼保健、慢病管理、卫生监督协管等工作，完成上级交办的医疗卫生任务。</w:t>
      </w:r>
    </w:p>
    <w:p w14:paraId="632920C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lang w:eastAsia="zh-CN"/>
        </w:rPr>
        <w:t>（</w:t>
      </w:r>
      <w:r>
        <w:rPr>
          <w:rFonts w:hint="eastAsia" w:ascii="楷体" w:hAnsi="楷体" w:eastAsia="楷体" w:cs="楷体"/>
          <w:b w:val="0"/>
          <w:bCs/>
          <w:sz w:val="32"/>
          <w:szCs w:val="32"/>
          <w:lang w:val="en-US" w:eastAsia="zh-CN"/>
        </w:rPr>
        <w:t>二）</w:t>
      </w:r>
      <w:r>
        <w:rPr>
          <w:rFonts w:hint="eastAsia" w:ascii="楷体" w:hAnsi="楷体" w:eastAsia="楷体" w:cs="楷体"/>
          <w:b w:val="0"/>
          <w:bCs/>
          <w:sz w:val="32"/>
          <w:szCs w:val="32"/>
        </w:rPr>
        <w:t>井研县门坎镇卫生院</w:t>
      </w:r>
      <w:r>
        <w:rPr>
          <w:rFonts w:ascii="楷体" w:hAnsi="楷体" w:eastAsia="楷体" w:cs="楷体"/>
          <w:sz w:val="32"/>
          <w:u w:color="auto"/>
        </w:rPr>
        <w:t>单位重点工作。</w:t>
      </w:r>
    </w:p>
    <w:p w14:paraId="02BFAF5D">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以基层医疗提质、公共卫生做实、群众就医便捷为核心，强化基本医疗、公共卫生、医防融合、村室一体化管理，全面提升服务能力与群众满意度。</w:t>
      </w:r>
    </w:p>
    <w:p w14:paraId="77BE498D">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xml:space="preserve"> </w:t>
      </w:r>
      <w:r>
        <w:rPr>
          <w:rFonts w:hint="eastAsia" w:ascii="方正仿宋_GB2312" w:hAnsi="方正仿宋_GB2312" w:eastAsia="方正仿宋_GB2312" w:cs="方正仿宋_GB2312"/>
          <w:bCs/>
          <w:sz w:val="32"/>
          <w:szCs w:val="32"/>
          <w:lang w:val="en-US" w:eastAsia="zh-CN"/>
        </w:rPr>
        <w:t>一</w:t>
      </w:r>
      <w:r>
        <w:rPr>
          <w:rFonts w:hint="eastAsia" w:ascii="方正仿宋_GB2312" w:hAnsi="方正仿宋_GB2312" w:eastAsia="方正仿宋_GB2312" w:cs="方正仿宋_GB2312"/>
          <w:bCs/>
          <w:sz w:val="32"/>
          <w:szCs w:val="32"/>
        </w:rPr>
        <w:t>、重点工作及任务</w:t>
      </w:r>
    </w:p>
    <w:p w14:paraId="5179D744">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xml:space="preserve"> 1. 医疗服务提质增效- 规范常见病、多发病诊疗，提升急诊急救与转诊能力。</w:t>
      </w:r>
    </w:p>
    <w:p w14:paraId="493C91F9">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加强中医馆运营，推广针灸、推拿、康复等适宜技术。</w:t>
      </w:r>
    </w:p>
    <w:p w14:paraId="5F1C7002">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落实基本药物制度、医保规范结算、医疗质量安全管理。</w:t>
      </w:r>
    </w:p>
    <w:p w14:paraId="4FFE4DF9">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优化门诊服务，推行预约诊疗、延时服务、慢病长期处方。</w:t>
      </w:r>
    </w:p>
    <w:p w14:paraId="3AD83A2B">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2. 公共卫生做细做实</w:t>
      </w:r>
    </w:p>
    <w:p w14:paraId="59C5C12E">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xml:space="preserve"> - 规范建立居民健康档案，推进动态更新与电子化管理。</w:t>
      </w:r>
    </w:p>
    <w:p w14:paraId="4A794ED5">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做好预防接种、健康教育、传染病监测与报告处置。</w:t>
      </w:r>
    </w:p>
    <w:p w14:paraId="3A13F9FE">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强化0-6岁儿童、孕产妇、老年人健康管理。</w:t>
      </w:r>
    </w:p>
    <w:p w14:paraId="72C446EA">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抓实高血压、糖尿病等慢性病随访、体检、用药指导。</w:t>
      </w:r>
    </w:p>
    <w:p w14:paraId="70A9F951">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完成卫生监督协管、妇幼保健、家庭医生签约服务。</w:t>
      </w:r>
    </w:p>
    <w:p w14:paraId="7FBE7E73">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xml:space="preserve"> 3. 医共体与基层管理</w:t>
      </w:r>
    </w:p>
    <w:p w14:paraId="1D33F8A0">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xml:space="preserve"> - 落实紧密型县域医共体任务，做好双向转诊、专家下沉对接。</w:t>
      </w:r>
    </w:p>
    <w:p w14:paraId="6C810D9C">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加强村卫生室一体化管理，统一业务、药品、培训、考核。</w:t>
      </w:r>
    </w:p>
    <w:p w14:paraId="7A2C7751">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开展乡村医生培训、技能比武，提升基层网底服务能力。</w:t>
      </w:r>
    </w:p>
    <w:p w14:paraId="7A66EF6E">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xml:space="preserve"> 4. 能力建设与内部管理</w:t>
      </w:r>
    </w:p>
    <w:p w14:paraId="7A5111A8">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xml:space="preserve"> - 加强医务人员业务学习、进修培训、三基三严考核。</w:t>
      </w:r>
    </w:p>
    <w:p w14:paraId="73D722DF">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推进信息化建设，用好公卫、医保、电子病历系统。</w:t>
      </w:r>
    </w:p>
    <w:p w14:paraId="4E05A4B5">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严格院感防控、安全生产、消防安全、信访维稳。</w:t>
      </w:r>
    </w:p>
    <w:p w14:paraId="2FFF796A">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改进医德医风，提升服务态度，降低投诉率，提高满意度。</w:t>
      </w:r>
    </w:p>
    <w:p w14:paraId="3C8623C8">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xml:space="preserve"> </w:t>
      </w:r>
      <w:r>
        <w:rPr>
          <w:rFonts w:hint="eastAsia" w:ascii="方正仿宋_GB2312" w:hAnsi="方正仿宋_GB2312" w:eastAsia="方正仿宋_GB2312" w:cs="方正仿宋_GB2312"/>
          <w:bCs/>
          <w:sz w:val="32"/>
          <w:szCs w:val="32"/>
          <w:lang w:val="en-US" w:eastAsia="zh-CN"/>
        </w:rPr>
        <w:t>二</w:t>
      </w:r>
      <w:r>
        <w:rPr>
          <w:rFonts w:hint="eastAsia" w:ascii="方正仿宋_GB2312" w:hAnsi="方正仿宋_GB2312" w:eastAsia="方正仿宋_GB2312" w:cs="方正仿宋_GB2312"/>
          <w:bCs/>
          <w:sz w:val="32"/>
          <w:szCs w:val="32"/>
        </w:rPr>
        <w:t>、工作目标</w:t>
      </w:r>
    </w:p>
    <w:p w14:paraId="148D19D4">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xml:space="preserve"> - 医疗服务规范有序，医疗安全零重大事故。</w:t>
      </w:r>
    </w:p>
    <w:p w14:paraId="6F3F366A">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xml:space="preserve"> 公共卫生各项指标完成上级下达任务。</w:t>
      </w:r>
    </w:p>
    <w:p w14:paraId="7D75561A">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家庭医生签约、重点人群管理质量明显提升。</w:t>
      </w:r>
    </w:p>
    <w:p w14:paraId="5FC1F982">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村卫生室一体化管理达标，基层服务能力持续增强。</w:t>
      </w:r>
    </w:p>
    <w:p w14:paraId="529F4E61">
      <w:pPr>
        <w:spacing w:line="580" w:lineRule="exact"/>
        <w:ind w:firstLine="640"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Cs/>
          <w:sz w:val="32"/>
          <w:szCs w:val="32"/>
        </w:rPr>
        <w:t>- 群众看病就医更方便、更放心、更满意</w:t>
      </w:r>
    </w:p>
    <w:p w14:paraId="55979D41">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二、部门概况</w:t>
      </w:r>
    </w:p>
    <w:p w14:paraId="39D2D385">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我院是政府举办的公益性基层医疗卫生机构，主要承担辖区内基本医疗服务、基本公共卫生服务、健康管理及村卫生室业务指导等工作。为规范运行、提升效能，结合工作实际，机构设置如下：</w:t>
      </w:r>
    </w:p>
    <w:p w14:paraId="59734EFF">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xml:space="preserve"> 一、临床科室</w:t>
      </w:r>
    </w:p>
    <w:p w14:paraId="3EDEEF09">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xml:space="preserve"> 门诊内科、门诊外科、中医科、住院部。</w:t>
      </w:r>
    </w:p>
    <w:p w14:paraId="01772E6E">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xml:space="preserve"> 二、医技科室</w:t>
      </w:r>
    </w:p>
    <w:p w14:paraId="7E18754C">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xml:space="preserve"> 药房（药库）、检验科、放射影像科、B超室、心电图室、。</w:t>
      </w:r>
    </w:p>
    <w:p w14:paraId="2BD41813">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xml:space="preserve"> 三、公共卫生科室</w:t>
      </w:r>
    </w:p>
    <w:p w14:paraId="21A1BAA5">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xml:space="preserve"> 公共卫生科、预防接种门诊、妇幼保健科、慢性病管理、健康教育、卫生监督协管。</w:t>
      </w:r>
    </w:p>
    <w:p w14:paraId="44A2DFA4">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xml:space="preserve"> 四、行政后勤科室</w:t>
      </w:r>
    </w:p>
    <w:p w14:paraId="76F9B4AF">
      <w:pPr>
        <w:spacing w:line="580" w:lineRule="exact"/>
        <w:ind w:firstLine="640" w:firstLineChars="200"/>
        <w:jc w:val="left"/>
        <w:outlineLvl w:val="2"/>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Cs/>
          <w:sz w:val="32"/>
          <w:szCs w:val="32"/>
        </w:rPr>
        <w:t xml:space="preserve"> 院办公室</w:t>
      </w:r>
      <w:bookmarkStart w:id="0" w:name="_GoBack"/>
      <w:bookmarkEnd w:id="0"/>
      <w:r>
        <w:rPr>
          <w:rFonts w:hint="eastAsia" w:ascii="方正仿宋_GB2312" w:hAnsi="方正仿宋_GB2312" w:eastAsia="方正仿宋_GB2312" w:cs="方正仿宋_GB2312"/>
          <w:bCs/>
          <w:sz w:val="32"/>
          <w:szCs w:val="32"/>
        </w:rPr>
        <w:t>、财务科、医保办公室、信息科。</w:t>
      </w:r>
    </w:p>
    <w:p w14:paraId="56F86116">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三、收支预算总体情况</w:t>
      </w:r>
    </w:p>
    <w:p w14:paraId="3CA3C227">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按照综合预算的原则，</w:t>
      </w:r>
      <w:r>
        <w:rPr>
          <w:rFonts w:ascii="方正仿宋_GB2312" w:hAnsi="方正仿宋_GB2312" w:eastAsia="方正仿宋_GB2312" w:cs="方正仿宋_GB2312"/>
          <w:sz w:val="32"/>
          <w:u w:color="auto"/>
        </w:rPr>
        <w:t>井研县门坎镇卫生院所有收入和支出均纳入单位预算管理。井研县门坎镇卫生院2026年收支预算总数</w:t>
      </w:r>
      <w:r>
        <w:rPr>
          <w:rFonts w:hint="eastAsia" w:ascii="方正仿宋_GB2312" w:hAnsi="方正仿宋_GB2312" w:eastAsia="方正仿宋_GB2312" w:cs="方正仿宋_GB2312"/>
          <w:sz w:val="32"/>
          <w:u w:color="auto"/>
          <w:lang w:val="en-US" w:eastAsia="zh-CN"/>
        </w:rPr>
        <w:t>579.00</w:t>
      </w:r>
      <w:r>
        <w:rPr>
          <w:rFonts w:ascii="方正仿宋_GB2312" w:hAnsi="方正仿宋_GB2312" w:eastAsia="方正仿宋_GB2312" w:cs="方正仿宋_GB2312"/>
          <w:sz w:val="32"/>
          <w:u w:color="auto"/>
        </w:rPr>
        <w:t>万元，比2025年减少9.92万元</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井研县门坎镇卫生院</w:t>
      </w:r>
      <w:r>
        <w:rPr>
          <w:rFonts w:ascii="方正仿宋_GB2312" w:hAnsi="方正仿宋_GB2312" w:eastAsia="方正仿宋_GB2312" w:cs="方正仿宋_GB2312"/>
          <w:sz w:val="32"/>
          <w:u w:color="auto"/>
        </w:rPr>
        <w:t>2026年收入预算579.0万元，上年结转0万元；</w:t>
      </w:r>
      <w:r>
        <w:rPr>
          <w:rFonts w:ascii="方正仿宋_GB2312" w:hAnsi="方正仿宋_GB2312" w:eastAsia="方正仿宋_GB2312" w:cs="方正仿宋_GB2312"/>
          <w:sz w:val="32"/>
          <w:highlight w:val="none"/>
          <w:u w:color="auto"/>
        </w:rPr>
        <w:t>一般公共预算拨款收</w:t>
      </w:r>
      <w:r>
        <w:rPr>
          <w:rFonts w:ascii="方正仿宋_GB2312" w:hAnsi="方正仿宋_GB2312" w:eastAsia="方正仿宋_GB2312" w:cs="方正仿宋_GB2312"/>
          <w:sz w:val="32"/>
          <w:u w:color="auto"/>
        </w:rPr>
        <w:t>入195.98万元，占33.85%；其他收入7.1万元，占1.23%；事业收入375.93万元，占64.93%。</w:t>
      </w:r>
      <w:r>
        <w:rPr>
          <w:rFonts w:hint="eastAsia" w:ascii="方正仿宋_GB2312" w:hAnsi="方正仿宋_GB2312" w:eastAsia="方正仿宋_GB2312" w:cs="方正仿宋_GB2312"/>
          <w:sz w:val="32"/>
          <w:szCs w:val="32"/>
          <w:lang w:eastAsia="zh-CN"/>
        </w:rPr>
        <w:t>。相应安排</w:t>
      </w:r>
      <w:r>
        <w:rPr>
          <w:rFonts w:hint="eastAsia" w:ascii="方正仿宋_GB2312" w:hAnsi="方正仿宋_GB2312" w:eastAsia="方正仿宋_GB2312" w:cs="方正仿宋_GB2312"/>
          <w:sz w:val="32"/>
          <w:szCs w:val="32"/>
        </w:rPr>
        <w:t>支出预算</w:t>
      </w:r>
      <w:r>
        <w:rPr>
          <w:rFonts w:ascii="方正仿宋_GB2312" w:hAnsi="方正仿宋_GB2312" w:eastAsia="方正仿宋_GB2312" w:cs="方正仿宋_GB2312"/>
          <w:sz w:val="32"/>
          <w:u w:color="auto"/>
        </w:rPr>
        <w:t>579.0万元，其中：基本支出297.05万元，占51.30%；项目支出281.95万元，占48.70%。</w:t>
      </w:r>
    </w:p>
    <w:p w14:paraId="67302901">
      <w:pPr>
        <w:pStyle w:val="5"/>
        <w:widowControl/>
        <w:spacing w:before="0" w:beforeAutospacing="0" w:after="0" w:afterAutospacing="0" w:line="600" w:lineRule="exact"/>
        <w:ind w:firstLine="640" w:firstLineChars="200"/>
        <w:outlineLvl w:val="1"/>
        <w:rPr>
          <w:rFonts w:hint="eastAsia" w:ascii="方正仿宋_GB2312" w:hAnsi="方正仿宋_GB2312" w:eastAsia="方正仿宋_GB2312" w:cs="方正仿宋_GB2312"/>
          <w:sz w:val="32"/>
          <w:szCs w:val="32"/>
        </w:rPr>
      </w:pPr>
      <w:r>
        <w:rPr>
          <w:rFonts w:hint="eastAsia" w:ascii="黑体" w:hAnsi="黑体" w:eastAsia="黑体" w:cs="黑体"/>
          <w:sz w:val="32"/>
          <w:szCs w:val="32"/>
        </w:rPr>
        <w:t>四、财政拨款支</w:t>
      </w:r>
      <w:r>
        <w:rPr>
          <w:rFonts w:hint="eastAsia" w:ascii="黑体" w:hAnsi="黑体" w:eastAsia="黑体" w:cs="黑体"/>
          <w:sz w:val="32"/>
          <w:szCs w:val="32"/>
          <w:lang w:val="en-US" w:eastAsia="zh-CN"/>
        </w:rPr>
        <w:t>出</w:t>
      </w:r>
      <w:r>
        <w:rPr>
          <w:rFonts w:hint="eastAsia" w:ascii="黑体" w:hAnsi="黑体" w:eastAsia="黑体" w:cs="黑体"/>
          <w:sz w:val="32"/>
          <w:szCs w:val="32"/>
        </w:rPr>
        <w:t>预算情况说明</w:t>
      </w:r>
    </w:p>
    <w:p w14:paraId="3420053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井研县门坎镇卫生院</w:t>
      </w:r>
      <w:r>
        <w:rPr>
          <w:rFonts w:ascii="方正仿宋_GB2312" w:hAnsi="方正仿宋_GB2312" w:eastAsia="方正仿宋_GB2312" w:cs="方正仿宋_GB2312"/>
          <w:sz w:val="32"/>
          <w:u w:color="auto"/>
        </w:rPr>
        <w:t>2026年财政拨款收支预算总数195.98万元，比2025年财政拨款收支预算总数增加13.54万元。</w:t>
      </w:r>
    </w:p>
    <w:p w14:paraId="2122AD5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基本支出，是用于保障机关、下属事业单位等机构正常运转的日常支出，包括基本工资、津贴补贴等人员经费以及办公费、印刷费、水电费、办公设备购置等日常公用经费。</w:t>
      </w:r>
    </w:p>
    <w:p w14:paraId="02C9DC14">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项目支出，是用于保障机关、下属事业单位等机构为完成特定的行政工作任务或事业发展目标，用于专项业务工作的经费支出。</w:t>
      </w:r>
    </w:p>
    <w:p w14:paraId="29D28AE0">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五、一般公共预算当年拨款情况说明</w:t>
      </w:r>
    </w:p>
    <w:p w14:paraId="3BBE6CF8">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（一）一般公共预算当年拨款规模变化情况</w:t>
      </w:r>
    </w:p>
    <w:p w14:paraId="1381290F">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井研县门坎镇卫生院</w:t>
      </w:r>
      <w:r>
        <w:rPr>
          <w:rFonts w:ascii="方正仿宋_GB2312" w:hAnsi="方正仿宋_GB2312" w:eastAsia="方正仿宋_GB2312" w:cs="方正仿宋_GB2312"/>
          <w:sz w:val="32"/>
          <w:u w:color="auto"/>
        </w:rPr>
        <w:t>2026年一般公共预算当年拨款195.98万元，比2025年预算数增加13.54万元。主要原因是项目增加。</w:t>
      </w:r>
    </w:p>
    <w:p w14:paraId="3DF98889">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（二）一般公共预算当年拨款结构情况</w:t>
      </w:r>
    </w:p>
    <w:p w14:paraId="1537954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卫生健康支出159.27万元，占81.27%、 住房保障支出13.76万元，占7.02%、 社会保障和就业支出22.94万元，占11.71%。</w:t>
      </w:r>
    </w:p>
    <w:p w14:paraId="35F628EF">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（三）一般公共预算当年拨款具体使用情况</w:t>
      </w:r>
    </w:p>
    <w:p w14:paraId="4D8CF69B">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1.社会保障和就业支出（类）行政事业单位养老支出（款）机关事业单位基本养老保险缴费支出（项）2026年预算数为15.29万元，主要用于：机关事业单位实施养老保险制度由单位缴纳的基本养老保险费支出。</w:t>
      </w:r>
    </w:p>
    <w:p w14:paraId="223D5B4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2.社会保障和就业支出（类）行政事业单位养老支出（款）机关事业单位职业年金缴费支出（项）2026年预算数为7.65万元，主要用于：机关事业单位实施养老保险制度由单位实际缴纳的职业年金支出。</w:t>
      </w:r>
    </w:p>
    <w:p w14:paraId="1D506C2F">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3.卫生健康支出（类）基层医疗卫生机构（款）乡镇卫生院（项）2026年预算数为147.96万元，主要用于：用于乡镇卫生院的支出。</w:t>
      </w:r>
    </w:p>
    <w:p w14:paraId="4A61C305">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4.卫生健康支出（类）基层医疗卫生机构（款）其他基层医疗卫生机构支出（项）2026年预算数为2.77万元，主要用于：除上述项目以外的其他用于基层医疗卫生机构的支出。</w:t>
      </w:r>
    </w:p>
    <w:p w14:paraId="35FE8482">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卫生健康支出（类）行政事业单位医疗（款）事业单位医疗（项）2026年预算数为7.11万元，主要用于：财政部门安排的事业单位基本医疗保险缴费经费，未参加医疗保险的事业单位的公费医疗经费，按国家规定享受离休人员待遇的医疗经费。</w:t>
      </w:r>
    </w:p>
    <w:p w14:paraId="32322DB0">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6.卫生健康支出（类）行政事业单位医疗（款）其他行政事业单位医疗支出（项）2026年预算数为1.44万元，主要用于：除上述项目以外的其他用于行政事业单位医疗方面的支出。</w:t>
      </w:r>
    </w:p>
    <w:p w14:paraId="5FA3858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住房保障支出（类）住房改革支出（款）住房公积金（项）2026年预算数为13.76万元，主要用于：行政事业单位按人力资源和社会保障部、财政部规定的基本工资和津贴补贴以及规定比例为职工缴纳的住房公积金。</w:t>
      </w:r>
    </w:p>
    <w:p w14:paraId="7E1D4DCA">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六、一般公共预算基本支出情况说明</w:t>
      </w:r>
    </w:p>
    <w:p w14:paraId="0C2D7C0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井研县门坎镇卫生院</w:t>
      </w:r>
      <w:r>
        <w:rPr>
          <w:rFonts w:ascii="方正仿宋_GB2312" w:hAnsi="方正仿宋_GB2312" w:eastAsia="方正仿宋_GB2312" w:cs="方正仿宋_GB2312"/>
          <w:sz w:val="32"/>
          <w:u w:color="auto"/>
        </w:rPr>
        <w:t>2026年一般公共预算基本支出155.42万元，其中：</w:t>
      </w:r>
    </w:p>
    <w:p w14:paraId="034072EB">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人员经费 </w:t>
      </w:r>
      <w:r>
        <w:rPr>
          <w:rFonts w:ascii="方正仿宋_GB2312" w:hAnsi="方正仿宋_GB2312" w:eastAsia="方正仿宋_GB2312" w:cs="方正仿宋_GB2312"/>
          <w:sz w:val="32"/>
          <w:u w:color="auto"/>
        </w:rPr>
        <w:t>152.0万元，主要包括：基本工资、津贴补贴、绩效工资、机关事业单位基本养老保险缴费、职业年金缴费、职工基本医疗保险缴费、其他社会保障缴费、住房公积金。</w:t>
      </w:r>
    </w:p>
    <w:p w14:paraId="375C9D4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公用经费 </w:t>
      </w:r>
      <w:r>
        <w:rPr>
          <w:rFonts w:ascii="方正仿宋_GB2312" w:hAnsi="方正仿宋_GB2312" w:eastAsia="方正仿宋_GB2312" w:cs="方正仿宋_GB2312"/>
          <w:sz w:val="32"/>
          <w:u w:color="auto"/>
        </w:rPr>
        <w:t>3.43万元，主要包括：工会经费、其他商品和服务支出。</w:t>
      </w:r>
    </w:p>
    <w:p w14:paraId="78D15BDE">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七、政府性基金预算支出规模及变化情况说明</w:t>
      </w:r>
    </w:p>
    <w:p w14:paraId="1935895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井研县门坎镇卫生院2026年没有使用政府性基金预算拨款安排的支出。</w:t>
      </w:r>
    </w:p>
    <w:p w14:paraId="374AB08C">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八、国有资本经营预算情况说明</w:t>
      </w:r>
    </w:p>
    <w:p w14:paraId="3C20FB78">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井研县门坎镇卫生院2026年没有使用国有资本经营预算拨款安排的支出。</w:t>
      </w:r>
    </w:p>
    <w:p w14:paraId="5B963983">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九、“三公”经费财政拨款预算安排情况说明</w:t>
      </w:r>
    </w:p>
    <w:p w14:paraId="2F2E8083">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井研县门坎镇卫生院2026年没有使用财政拨款安排“三公”经费预算。</w:t>
      </w:r>
    </w:p>
    <w:p w14:paraId="77953643">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 因公出国（境）经费较上年预算0万元，与上年持平</w:t>
      </w:r>
    </w:p>
    <w:p w14:paraId="5836E4D3">
      <w:pPr>
        <w:spacing w:line="580" w:lineRule="exact"/>
        <w:ind w:firstLine="640"/>
        <w:jc w:val="lef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2.</w:t>
      </w:r>
      <w:r>
        <w:rPr>
          <w:rFonts w:ascii="方正仿宋_GB2312" w:hAnsi="方正仿宋_GB2312" w:eastAsia="方正仿宋_GB2312" w:cs="方正仿宋_GB2312"/>
          <w:sz w:val="32"/>
          <w:u w:color="auto"/>
        </w:rPr>
        <w:t>公务接待费与2025年预算数持平。</w:t>
      </w:r>
    </w:p>
    <w:p w14:paraId="4C6CD719">
      <w:pPr>
        <w:tabs>
          <w:tab w:val="right" w:pos="7666"/>
        </w:tabs>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年公务接待费计划用于。</w:t>
      </w:r>
    </w:p>
    <w:p w14:paraId="3D0D8CE2">
      <w:pPr>
        <w:spacing w:line="580" w:lineRule="exact"/>
        <w:ind w:firstLine="640"/>
        <w:jc w:val="lef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Cs/>
          <w:sz w:val="32"/>
          <w:szCs w:val="32"/>
        </w:rPr>
        <w:t>3.</w:t>
      </w:r>
      <w:r>
        <w:rPr>
          <w:rFonts w:hint="eastAsia" w:ascii="方正仿宋_GB2312" w:hAnsi="方正仿宋_GB2312" w:eastAsia="方正仿宋_GB2312" w:cs="方正仿宋_GB2312"/>
          <w:sz w:val="32"/>
          <w:szCs w:val="32"/>
        </w:rPr>
        <w:t>公务用车购置及运行维护费与2025年预算数持平。</w:t>
      </w:r>
    </w:p>
    <w:p w14:paraId="2FBFE460">
      <w:pPr>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单位现有公务用车</w:t>
      </w:r>
      <w:r>
        <w:rPr>
          <w:rFonts w:ascii="方正仿宋_GB2312" w:hAnsi="方正仿宋_GB2312" w:eastAsia="方正仿宋_GB2312" w:cs="方正仿宋_GB2312"/>
          <w:sz w:val="32"/>
          <w:u w:color="auto"/>
        </w:rPr>
        <w:t>0辆，其中：轿车0辆、旅行车（含商务车）0辆、越野车0辆、大型客、货车0辆。</w:t>
      </w:r>
    </w:p>
    <w:p w14:paraId="57CCA597">
      <w:pPr>
        <w:spacing w:line="580" w:lineRule="exact"/>
        <w:ind w:firstLine="640"/>
        <w:jc w:val="left"/>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年安排公务用车购置费0万元，拟购置公务用车0辆，</w:t>
      </w:r>
      <w:r>
        <w:rPr>
          <w:rFonts w:hint="eastAsia" w:ascii="方正仿宋_GB2312" w:hAnsi="方正仿宋_GB2312" w:eastAsia="方正仿宋_GB2312" w:cs="方正仿宋_GB2312"/>
          <w:sz w:val="32"/>
          <w:szCs w:val="32"/>
          <w:lang w:val="en-US" w:eastAsia="zh-CN"/>
        </w:rPr>
        <w:t>用于开展业务活动。</w:t>
      </w:r>
    </w:p>
    <w:p w14:paraId="7D596F91">
      <w:pPr>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年安排公务用车运行维护费0万元，用于公务用车燃油、维修、过路过桥费、保险等方面支出。</w:t>
      </w:r>
    </w:p>
    <w:p w14:paraId="1C870E38">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十、其他重要事项的情况说明</w:t>
      </w:r>
    </w:p>
    <w:p w14:paraId="3BFECE43">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（一）机关运行经费情况</w:t>
      </w:r>
    </w:p>
    <w:p w14:paraId="17E87446">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井研县门坎镇卫生院</w:t>
      </w:r>
      <w:r>
        <w:rPr>
          <w:rFonts w:ascii="方正仿宋_GB2312" w:hAnsi="方正仿宋_GB2312" w:eastAsia="方正仿宋_GB2312" w:cs="方正仿宋_GB2312"/>
          <w:sz w:val="32"/>
          <w:u w:color="auto"/>
        </w:rPr>
        <w:t>为保障单位运行，安排的包括办公及印刷费、邮电费、差旅费、会议费、福利费、日常维修费、专用材料及一般设备购置费、办公用房水电费、办公用房取暖费、办公用房物业管理费、公务用车运行维护费以及其他费用等机关运行经费</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井研县门坎镇卫生院为事业单位，按规定未使用机关运行的相关科目。</w:t>
      </w:r>
    </w:p>
    <w:p w14:paraId="2F76337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（二）政府采购情况</w:t>
      </w:r>
    </w:p>
    <w:p w14:paraId="19B76F7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2026年无政府采购项目，未安排政府采购预算。</w:t>
      </w:r>
    </w:p>
    <w:p w14:paraId="3DAED9D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（三）政府购买服务情况。</w:t>
      </w:r>
    </w:p>
    <w:p w14:paraId="5F1B8E66">
      <w:pPr>
        <w:spacing w:line="580" w:lineRule="exact"/>
        <w:ind w:firstLine="640"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井研县门坎镇卫生院</w:t>
      </w:r>
      <w:r>
        <w:rPr>
          <w:rFonts w:hint="eastAsia" w:ascii="方正仿宋_GB2312" w:hAnsi="方正仿宋_GB2312" w:eastAsia="方正仿宋_GB2312" w:cs="方正仿宋_GB2312"/>
          <w:sz w:val="32"/>
          <w:szCs w:val="32"/>
          <w:lang w:val="en-US" w:eastAsia="zh-CN"/>
        </w:rPr>
        <w:t>未</w:t>
      </w:r>
      <w:r>
        <w:rPr>
          <w:rFonts w:hint="eastAsia" w:ascii="方正仿宋_GB2312" w:hAnsi="方正仿宋_GB2312" w:eastAsia="方正仿宋_GB2312" w:cs="方正仿宋_GB2312"/>
          <w:sz w:val="32"/>
          <w:szCs w:val="32"/>
        </w:rPr>
        <w:t>安排政府购买服务预算。</w:t>
      </w:r>
    </w:p>
    <w:p w14:paraId="3A8479ED">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（四）国有资产占有使用情况</w:t>
      </w:r>
    </w:p>
    <w:p w14:paraId="40D1FDF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截至</w:t>
      </w:r>
      <w:r>
        <w:rPr>
          <w:rFonts w:hint="eastAsia" w:ascii="方正仿宋_GB2312" w:hAnsi="方正仿宋_GB2312" w:eastAsia="方正仿宋_GB2312" w:cs="方正仿宋_GB2312"/>
          <w:sz w:val="32"/>
          <w:szCs w:val="32"/>
          <w:lang w:val="en-US" w:eastAsia="zh-CN"/>
        </w:rPr>
        <w:t>去</w:t>
      </w:r>
      <w:r>
        <w:rPr>
          <w:rFonts w:hint="eastAsia" w:ascii="方正仿宋_GB2312" w:hAnsi="方正仿宋_GB2312" w:eastAsia="方正仿宋_GB2312" w:cs="方正仿宋_GB2312"/>
          <w:sz w:val="32"/>
          <w:szCs w:val="32"/>
        </w:rPr>
        <w:t>年底，</w:t>
      </w:r>
      <w:r>
        <w:rPr>
          <w:rFonts w:ascii="方正仿宋_GB2312" w:hAnsi="方正仿宋_GB2312" w:eastAsia="方正仿宋_GB2312" w:cs="方正仿宋_GB2312"/>
          <w:sz w:val="32"/>
          <w:u w:color="auto"/>
        </w:rPr>
        <w:t>井研县门坎镇卫生院所属各预算单位共有车辆0辆。单位价值200万元以上大型设备0台（套）。</w:t>
      </w:r>
    </w:p>
    <w:p w14:paraId="77D3DE7A">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2026年单位预算未安排购置车辆及单位价值200万元以上大型设备。</w:t>
      </w:r>
    </w:p>
    <w:p w14:paraId="6B1DEAC3">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（五）绩效目标设置情况</w:t>
      </w:r>
    </w:p>
    <w:p w14:paraId="66BA95E5">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井研县门坎镇卫生院</w:t>
      </w:r>
      <w:r>
        <w:rPr>
          <w:rFonts w:ascii="方正仿宋_GB2312" w:hAnsi="方正仿宋_GB2312" w:eastAsia="方正仿宋_GB2312" w:cs="方正仿宋_GB2312"/>
          <w:sz w:val="32"/>
          <w:u w:color="auto"/>
        </w:rPr>
        <w:t>按要求实行绩效目标管理，部门整体绩效目标涉及预算安排</w:t>
      </w:r>
      <w:r>
        <w:rPr>
          <w:rFonts w:hint="eastAsia" w:ascii="方正仿宋_GB2312" w:hAnsi="方正仿宋_GB2312" w:eastAsia="方正仿宋_GB2312" w:cs="方正仿宋_GB2312"/>
          <w:sz w:val="32"/>
          <w:u w:color="auto"/>
          <w:lang w:val="en-US" w:eastAsia="zh-CN"/>
        </w:rPr>
        <w:t>324.67</w:t>
      </w:r>
      <w:r>
        <w:rPr>
          <w:rFonts w:ascii="方正仿宋_GB2312" w:hAnsi="方正仿宋_GB2312" w:eastAsia="方正仿宋_GB2312" w:cs="方正仿宋_GB2312"/>
          <w:sz w:val="32"/>
          <w:u w:color="auto"/>
        </w:rPr>
        <w:t>万元。开展绩效目标管理的项目1</w:t>
      </w:r>
      <w:r>
        <w:rPr>
          <w:rFonts w:hint="eastAsia" w:ascii="方正仿宋_GB2312" w:hAnsi="方正仿宋_GB2312" w:eastAsia="方正仿宋_GB2312" w:cs="方正仿宋_GB2312"/>
          <w:sz w:val="32"/>
          <w:u w:color="auto"/>
          <w:lang w:val="en-US" w:eastAsia="zh-CN"/>
        </w:rPr>
        <w:t>8</w:t>
      </w:r>
      <w:r>
        <w:rPr>
          <w:rFonts w:ascii="方正仿宋_GB2312" w:hAnsi="方正仿宋_GB2312" w:eastAsia="方正仿宋_GB2312" w:cs="方正仿宋_GB2312"/>
          <w:sz w:val="32"/>
          <w:u w:color="auto"/>
        </w:rPr>
        <w:t>个，涉及预算</w:t>
      </w:r>
      <w:r>
        <w:rPr>
          <w:rFonts w:hint="eastAsia" w:ascii="方正仿宋_GB2312" w:hAnsi="方正仿宋_GB2312" w:eastAsia="方正仿宋_GB2312" w:cs="方正仿宋_GB2312"/>
          <w:sz w:val="32"/>
          <w:u w:color="auto"/>
          <w:lang w:val="en-US" w:eastAsia="zh-CN"/>
        </w:rPr>
        <w:t>324.67</w:t>
      </w:r>
      <w:r>
        <w:rPr>
          <w:rFonts w:ascii="方正仿宋_GB2312" w:hAnsi="方正仿宋_GB2312" w:eastAsia="方正仿宋_GB2312" w:cs="方正仿宋_GB2312"/>
          <w:sz w:val="32"/>
          <w:u w:color="auto"/>
        </w:rPr>
        <w:t>万元。</w:t>
      </w:r>
    </w:p>
    <w:p w14:paraId="627D1288">
      <w:pPr>
        <w:spacing w:line="580" w:lineRule="exact"/>
        <w:ind w:firstLine="643" w:firstLineChars="200"/>
        <w:jc w:val="left"/>
        <w:outlineLvl w:val="1"/>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名词解释</w:t>
      </w:r>
    </w:p>
    <w:p w14:paraId="2D42B8CC">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1.财政拨款收支情况：是指一般公共预算、政府性基金预算、国有资本经营预算拨款收支情况。</w:t>
      </w:r>
    </w:p>
    <w:p w14:paraId="1A27923F">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2.一般公共预算拨款收入：指县级财政当年拨付的资金。</w:t>
      </w:r>
    </w:p>
    <w:p w14:paraId="5D79DBDF">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3.政府性基金预算:指通过向社会征收以及出让土地、发行彩票等方式取得收入，并专项用于特定基础设施建设和社会事业发展的财政收支预算。</w:t>
      </w:r>
    </w:p>
    <w:p w14:paraId="6599B981">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4.事业收入：指事业单位开展专业业务活动及辅助活动所取得的收入。</w:t>
      </w:r>
    </w:p>
    <w:p w14:paraId="1AC7846C">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5.事业单位经营收入：指事业单位在专业业务活动及其辅助活动之外开展非独立核算经营活动取得的收入。</w:t>
      </w:r>
    </w:p>
    <w:p w14:paraId="27D6D736">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6.其他收入：指除上述“一般公共预算拨款收入”、“事业收入”、“事业单位经营收入”等以外的收入。主要是利息收入、国有资产出租收入等。</w:t>
      </w:r>
    </w:p>
    <w:p w14:paraId="4444921D">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用事业基金弥补收支差额：指事业单位在当年的收入不足以安排当年会出的情况下，使用以前年度积累的事业基金（事业单位当年收支相抵后按国家规定提取、用于弥补以后年度收支差额的基金）弥补本年度收支缺口的资金。</w:t>
      </w:r>
    </w:p>
    <w:p w14:paraId="7227C005">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8.上年结转：指以前年度尚未完成，结转到本年仍按原规定用途继续使用的资金。 </w:t>
      </w:r>
    </w:p>
    <w:p w14:paraId="592C34AF">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9.社会保障和就业支出（类）行政事业单位养老支出（款）机关事业单位基本养老保险缴费支出（项）：反映机关事业单位实施养老保险制度由单位缴纳的基本养老保险费支出。</w:t>
      </w:r>
    </w:p>
    <w:p w14:paraId="598FF2F1">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10.社会保障和就业支出（类）行政事业单位养老支出（款）机关事业单位职业年金缴费支出（项）：反映机关事业单位实施养老保险制度由单位实际缴纳的职业年金支出。</w:t>
      </w:r>
    </w:p>
    <w:p w14:paraId="428639EC">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11.卫生健康支出（类）基层医疗卫生机构（款）乡镇卫生院（项）：反映用于乡镇卫生院的支出。</w:t>
      </w:r>
    </w:p>
    <w:p w14:paraId="4CCEE760">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12.卫生健康支出（类）基层医疗卫生机构（款）其他基层医疗卫生机构支出（项）：反映除上述项目以外的其他用于基层医疗卫生机构的支出。</w:t>
      </w:r>
    </w:p>
    <w:p w14:paraId="6320B2EF">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13.卫生健康支出（类）行政事业单位医疗（款）事业单位医疗（项）：反映财政部门安排的事业单位基本医疗保险缴费经费，未参加医疗保险的事业单位的公费医疗经费，按国家规定享受离休人员待遇的医疗经费。</w:t>
      </w:r>
    </w:p>
    <w:p w14:paraId="6432A6CA">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14.卫生健康支出（类）行政事业单位医疗（款）其他行政事业单位医疗支出（项）：反映除上述项目以外的其他用于行政事业单位医疗方面的支出。</w:t>
      </w:r>
    </w:p>
    <w:p w14:paraId="6EE74965">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15.住房保障支出（类）住房改革支出（款）住房公积金（项）：反映行政事业单位按人力资源和社会保障部、财政部规定的基本工资和津贴补贴以及规定比例为职工缴纳的住房公积金。</w:t>
      </w:r>
    </w:p>
    <w:p w14:paraId="1295759F">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16.基本支出：指为保证机构正常运转，完成日常工作任务而发生的人员支出和公用支出。</w:t>
      </w:r>
    </w:p>
    <w:p w14:paraId="75FB1152">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17.项目支出：指在基本支出之外为完成特定行政任务和事业发展目标所发生的支出。</w:t>
      </w:r>
    </w:p>
    <w:p w14:paraId="715D862D">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18.“三公”经费：纳入财政厅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1D7EE8B2">
      <w:pPr>
        <w:pStyle w:val="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0" w:leftChars="0" w:firstLine="640" w:firstLineChars="200"/>
        <w:textAlignment w:val="auto"/>
        <w:rPr>
          <w:rFonts w:hint="eastAsia" w:ascii="MiSans Normal" w:hAnsi="MiSans Normal" w:eastAsia="MiSans Normal" w:cs="MiSans Normal"/>
        </w:rPr>
      </w:pPr>
      <w:r>
        <w:rPr>
          <w:rFonts w:hint="eastAsia" w:ascii="方正仿宋_GB2312" w:hAnsi="方正仿宋_GB2312" w:eastAsia="方正仿宋_GB2312" w:cs="方正仿宋_GB2312"/>
          <w:sz w:val="32"/>
          <w:szCs w:val="32"/>
          <w:lang w:val="en-US" w:eastAsia="zh-CN"/>
        </w:rPr>
        <w:t>19.</w:t>
      </w:r>
      <w:r>
        <w:rPr>
          <w:rFonts w:hint="eastAsia" w:ascii="方正仿宋_GB2312" w:hAnsi="方正仿宋_GB2312" w:eastAsia="方正仿宋_GB2312" w:cs="方正仿宋_GB2312"/>
          <w:sz w:val="32"/>
          <w:szCs w:val="32"/>
        </w:rPr>
        <w:t>机关运行经费：为保障行政单位（包含参照公务员法管理的事业单位）运行用于购买货物和服务的各项资金。包括办公及印刷费、邮电费、差旅费、会议费一般设备购置费等费用开支。</w:t>
      </w:r>
      <w:r>
        <w:rPr>
          <w:rFonts w:hint="eastAsia" w:ascii="方正仿宋_GB2312" w:hAnsi="方正仿宋_GB2312" w:eastAsia="方正仿宋_GB2312" w:cs="方正仿宋_GB2312"/>
          <w:sz w:val="32"/>
          <w:szCs w:val="32"/>
        </w:rPr>
        <w:cr/>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34FD4B5-A5E9-4838-BA98-D844A8F24D0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embedRegular r:id="rId2" w:fontKey="{57D4B5FC-E7E6-4528-9A1A-0EF4853D96EB}"/>
  </w:font>
  <w:font w:name="方正仿宋_GB2312">
    <w:panose1 w:val="02000000000000000000"/>
    <w:charset w:val="86"/>
    <w:family w:val="auto"/>
    <w:pitch w:val="default"/>
    <w:sig w:usb0="A00002BF" w:usb1="184F6CFA" w:usb2="00000012" w:usb3="00000000" w:csb0="00040001" w:csb1="00000000"/>
    <w:embedRegular r:id="rId3" w:fontKey="{DB30728E-D25D-49C4-B207-381FD2C5415F}"/>
  </w:font>
  <w:font w:name="MiSans Normal">
    <w:altName w:val="宋体"/>
    <w:panose1 w:val="00000500000000000000"/>
    <w:charset w:val="86"/>
    <w:family w:val="auto"/>
    <w:pitch w:val="default"/>
    <w:sig w:usb0="00000000" w:usb1="00000000" w:usb2="00000016" w:usb3="00000000" w:csb0="00040001" w:csb1="00000000"/>
    <w:embedRegular r:id="rId4" w:fontKey="{13F3766F-F7E9-47EC-A6F9-6D4F53A8361A}"/>
  </w:font>
  <w:font w:name="WPSEMBED1">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137F8">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C678A6">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43C678A6">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Y2U5NTEyYmI3OTdhMDllNmUyMWU1NTVmN2NhODIifQ=="/>
  </w:docVars>
  <w:rsids>
    <w:rsidRoot w:val="575844F0"/>
    <w:rsid w:val="000F56AF"/>
    <w:rsid w:val="0016505C"/>
    <w:rsid w:val="002571C7"/>
    <w:rsid w:val="002801C7"/>
    <w:rsid w:val="0029051A"/>
    <w:rsid w:val="002B0F3C"/>
    <w:rsid w:val="002D582F"/>
    <w:rsid w:val="00401700"/>
    <w:rsid w:val="0043110D"/>
    <w:rsid w:val="00436E3F"/>
    <w:rsid w:val="004F75C2"/>
    <w:rsid w:val="005C6D07"/>
    <w:rsid w:val="005D3952"/>
    <w:rsid w:val="006A5B49"/>
    <w:rsid w:val="00753106"/>
    <w:rsid w:val="00764EDC"/>
    <w:rsid w:val="00782473"/>
    <w:rsid w:val="0079706E"/>
    <w:rsid w:val="007E3C34"/>
    <w:rsid w:val="008D7735"/>
    <w:rsid w:val="0092774E"/>
    <w:rsid w:val="00A40906"/>
    <w:rsid w:val="00AF17CA"/>
    <w:rsid w:val="00B234EC"/>
    <w:rsid w:val="00CF121D"/>
    <w:rsid w:val="00D03AFF"/>
    <w:rsid w:val="00D51414"/>
    <w:rsid w:val="00D7246C"/>
    <w:rsid w:val="00E90C48"/>
    <w:rsid w:val="00EA26C5"/>
    <w:rsid w:val="00F20CDD"/>
    <w:rsid w:val="00F31DEC"/>
    <w:rsid w:val="00F66036"/>
    <w:rsid w:val="00FD5790"/>
    <w:rsid w:val="011E0F37"/>
    <w:rsid w:val="018F6151"/>
    <w:rsid w:val="025F2B31"/>
    <w:rsid w:val="02AA63F4"/>
    <w:rsid w:val="02F620C9"/>
    <w:rsid w:val="03043EF9"/>
    <w:rsid w:val="034827B4"/>
    <w:rsid w:val="043645C2"/>
    <w:rsid w:val="04D63DFA"/>
    <w:rsid w:val="04FC52D9"/>
    <w:rsid w:val="05125475"/>
    <w:rsid w:val="05B9052D"/>
    <w:rsid w:val="05C26836"/>
    <w:rsid w:val="05DE6DF3"/>
    <w:rsid w:val="06213135"/>
    <w:rsid w:val="075449B1"/>
    <w:rsid w:val="07866B9E"/>
    <w:rsid w:val="078E3C79"/>
    <w:rsid w:val="08275449"/>
    <w:rsid w:val="08BD1201"/>
    <w:rsid w:val="09DD37D5"/>
    <w:rsid w:val="0A2B0EC0"/>
    <w:rsid w:val="0A370B6F"/>
    <w:rsid w:val="0A414E59"/>
    <w:rsid w:val="0A984F45"/>
    <w:rsid w:val="0AEC1DC7"/>
    <w:rsid w:val="0B325009"/>
    <w:rsid w:val="0BEF216F"/>
    <w:rsid w:val="0C1139E0"/>
    <w:rsid w:val="0C545FE7"/>
    <w:rsid w:val="0C95246B"/>
    <w:rsid w:val="0D295D36"/>
    <w:rsid w:val="0DA6100C"/>
    <w:rsid w:val="0DAE2941"/>
    <w:rsid w:val="0DAE5B59"/>
    <w:rsid w:val="0E5E6115"/>
    <w:rsid w:val="0E722914"/>
    <w:rsid w:val="0E8D7DFF"/>
    <w:rsid w:val="0EB14B08"/>
    <w:rsid w:val="0EB44926"/>
    <w:rsid w:val="0EE00EF5"/>
    <w:rsid w:val="0F033DE0"/>
    <w:rsid w:val="0F5B493B"/>
    <w:rsid w:val="0F9C6EF5"/>
    <w:rsid w:val="0FB32491"/>
    <w:rsid w:val="0FC92752"/>
    <w:rsid w:val="104D4694"/>
    <w:rsid w:val="10572219"/>
    <w:rsid w:val="10635C65"/>
    <w:rsid w:val="112F484C"/>
    <w:rsid w:val="11786165"/>
    <w:rsid w:val="118874D4"/>
    <w:rsid w:val="118F1F82"/>
    <w:rsid w:val="11E23462"/>
    <w:rsid w:val="121C1DAE"/>
    <w:rsid w:val="12280F14"/>
    <w:rsid w:val="12B74046"/>
    <w:rsid w:val="12FF7083"/>
    <w:rsid w:val="13287F73"/>
    <w:rsid w:val="136174EF"/>
    <w:rsid w:val="13A179F5"/>
    <w:rsid w:val="14043CC2"/>
    <w:rsid w:val="143A4F2F"/>
    <w:rsid w:val="14BF1A72"/>
    <w:rsid w:val="14D54669"/>
    <w:rsid w:val="15E00400"/>
    <w:rsid w:val="169447F0"/>
    <w:rsid w:val="169923E1"/>
    <w:rsid w:val="17451DFF"/>
    <w:rsid w:val="188624F1"/>
    <w:rsid w:val="18EF58AD"/>
    <w:rsid w:val="195C14A3"/>
    <w:rsid w:val="19665E75"/>
    <w:rsid w:val="19793B64"/>
    <w:rsid w:val="198975C1"/>
    <w:rsid w:val="1A5A0F33"/>
    <w:rsid w:val="1A8A0974"/>
    <w:rsid w:val="1ADB600A"/>
    <w:rsid w:val="1AE72EE7"/>
    <w:rsid w:val="1B9C22AA"/>
    <w:rsid w:val="1C001B5A"/>
    <w:rsid w:val="1C676AC0"/>
    <w:rsid w:val="1C8979CD"/>
    <w:rsid w:val="1D1309C5"/>
    <w:rsid w:val="1D4E37F9"/>
    <w:rsid w:val="1E484DA2"/>
    <w:rsid w:val="1F32416D"/>
    <w:rsid w:val="1F400809"/>
    <w:rsid w:val="1F990304"/>
    <w:rsid w:val="1FD07044"/>
    <w:rsid w:val="200F074F"/>
    <w:rsid w:val="205E0FD1"/>
    <w:rsid w:val="206A30F3"/>
    <w:rsid w:val="20E14771"/>
    <w:rsid w:val="20E325CD"/>
    <w:rsid w:val="215E491F"/>
    <w:rsid w:val="21785E72"/>
    <w:rsid w:val="223312B9"/>
    <w:rsid w:val="22511DC1"/>
    <w:rsid w:val="23066A9B"/>
    <w:rsid w:val="237925CB"/>
    <w:rsid w:val="238A54C0"/>
    <w:rsid w:val="23DE7685"/>
    <w:rsid w:val="23FC256D"/>
    <w:rsid w:val="23FE4F26"/>
    <w:rsid w:val="24113B37"/>
    <w:rsid w:val="242A3E0B"/>
    <w:rsid w:val="24B357B1"/>
    <w:rsid w:val="2508404D"/>
    <w:rsid w:val="2514554D"/>
    <w:rsid w:val="253240EC"/>
    <w:rsid w:val="256736AA"/>
    <w:rsid w:val="25776E44"/>
    <w:rsid w:val="25A91AAB"/>
    <w:rsid w:val="25AC0D38"/>
    <w:rsid w:val="25CF77BC"/>
    <w:rsid w:val="26233A75"/>
    <w:rsid w:val="269C0E16"/>
    <w:rsid w:val="26E20150"/>
    <w:rsid w:val="28225455"/>
    <w:rsid w:val="286E0FD4"/>
    <w:rsid w:val="28C44B3D"/>
    <w:rsid w:val="28D004A8"/>
    <w:rsid w:val="29225C8F"/>
    <w:rsid w:val="292D2913"/>
    <w:rsid w:val="292F1B91"/>
    <w:rsid w:val="2A355B25"/>
    <w:rsid w:val="2ADC2F09"/>
    <w:rsid w:val="2B0639E9"/>
    <w:rsid w:val="2B591D85"/>
    <w:rsid w:val="2B6D0EA0"/>
    <w:rsid w:val="2BA666ED"/>
    <w:rsid w:val="2C015FA1"/>
    <w:rsid w:val="2C4C35F9"/>
    <w:rsid w:val="2CE82D06"/>
    <w:rsid w:val="2CE850D0"/>
    <w:rsid w:val="2D121841"/>
    <w:rsid w:val="2D161F29"/>
    <w:rsid w:val="2D626ABC"/>
    <w:rsid w:val="2D7E5A3A"/>
    <w:rsid w:val="2DAF4CE9"/>
    <w:rsid w:val="2DB253D5"/>
    <w:rsid w:val="2DE37BA3"/>
    <w:rsid w:val="2DF301D1"/>
    <w:rsid w:val="2E410E41"/>
    <w:rsid w:val="2F5B380A"/>
    <w:rsid w:val="2F5D19C6"/>
    <w:rsid w:val="2FDC17BA"/>
    <w:rsid w:val="2FEA1E20"/>
    <w:rsid w:val="30FE4C1A"/>
    <w:rsid w:val="31C81974"/>
    <w:rsid w:val="31C9463A"/>
    <w:rsid w:val="31D87EB9"/>
    <w:rsid w:val="31E71DFA"/>
    <w:rsid w:val="32607DFF"/>
    <w:rsid w:val="33F6376D"/>
    <w:rsid w:val="344C1C18"/>
    <w:rsid w:val="346E542F"/>
    <w:rsid w:val="348204D4"/>
    <w:rsid w:val="34921118"/>
    <w:rsid w:val="34E22C0C"/>
    <w:rsid w:val="35D53A26"/>
    <w:rsid w:val="35E81EFF"/>
    <w:rsid w:val="35F03248"/>
    <w:rsid w:val="3618452C"/>
    <w:rsid w:val="362A47F6"/>
    <w:rsid w:val="36701078"/>
    <w:rsid w:val="367D3C26"/>
    <w:rsid w:val="36D21200"/>
    <w:rsid w:val="3799225C"/>
    <w:rsid w:val="379E73FF"/>
    <w:rsid w:val="37EE75A4"/>
    <w:rsid w:val="3851430F"/>
    <w:rsid w:val="38BE762D"/>
    <w:rsid w:val="38CC1B12"/>
    <w:rsid w:val="38E33F54"/>
    <w:rsid w:val="39B247EB"/>
    <w:rsid w:val="39C50EAB"/>
    <w:rsid w:val="39FA0695"/>
    <w:rsid w:val="3A142E50"/>
    <w:rsid w:val="3A3A601E"/>
    <w:rsid w:val="3A622985"/>
    <w:rsid w:val="3A992100"/>
    <w:rsid w:val="3AB900AC"/>
    <w:rsid w:val="3AD204DC"/>
    <w:rsid w:val="3B7D732B"/>
    <w:rsid w:val="3BB9695E"/>
    <w:rsid w:val="3BBB1358"/>
    <w:rsid w:val="3BC80616"/>
    <w:rsid w:val="3CC21C50"/>
    <w:rsid w:val="3CEB3ACE"/>
    <w:rsid w:val="3D1B4EA8"/>
    <w:rsid w:val="3D396F49"/>
    <w:rsid w:val="3DAB5EF3"/>
    <w:rsid w:val="3E0A7F35"/>
    <w:rsid w:val="3E3D0EE5"/>
    <w:rsid w:val="3E5C591E"/>
    <w:rsid w:val="3E7C76D5"/>
    <w:rsid w:val="3F4B70E6"/>
    <w:rsid w:val="402E20EA"/>
    <w:rsid w:val="40360D66"/>
    <w:rsid w:val="404847A8"/>
    <w:rsid w:val="40F85D24"/>
    <w:rsid w:val="41002113"/>
    <w:rsid w:val="417358BA"/>
    <w:rsid w:val="417E7039"/>
    <w:rsid w:val="41856F3A"/>
    <w:rsid w:val="41A336F5"/>
    <w:rsid w:val="41CE4038"/>
    <w:rsid w:val="42697F33"/>
    <w:rsid w:val="42F94AE0"/>
    <w:rsid w:val="42FC2819"/>
    <w:rsid w:val="43C94609"/>
    <w:rsid w:val="44701EE3"/>
    <w:rsid w:val="447B54A6"/>
    <w:rsid w:val="44C935E1"/>
    <w:rsid w:val="45700DD8"/>
    <w:rsid w:val="466A3D31"/>
    <w:rsid w:val="468076BF"/>
    <w:rsid w:val="4697179A"/>
    <w:rsid w:val="469C7200"/>
    <w:rsid w:val="46DA091D"/>
    <w:rsid w:val="479F062A"/>
    <w:rsid w:val="47A8558B"/>
    <w:rsid w:val="488A1960"/>
    <w:rsid w:val="488E172A"/>
    <w:rsid w:val="48EA3B26"/>
    <w:rsid w:val="496F21D8"/>
    <w:rsid w:val="49923B77"/>
    <w:rsid w:val="4A174159"/>
    <w:rsid w:val="4ABE7A9C"/>
    <w:rsid w:val="4BBF5B71"/>
    <w:rsid w:val="4D477799"/>
    <w:rsid w:val="4D6455F8"/>
    <w:rsid w:val="4E784F4E"/>
    <w:rsid w:val="4E8A5B90"/>
    <w:rsid w:val="4EE869F3"/>
    <w:rsid w:val="4F006B29"/>
    <w:rsid w:val="4F5F6F42"/>
    <w:rsid w:val="5029634D"/>
    <w:rsid w:val="503D0CD7"/>
    <w:rsid w:val="507A38E4"/>
    <w:rsid w:val="515C63F7"/>
    <w:rsid w:val="51621046"/>
    <w:rsid w:val="5187285A"/>
    <w:rsid w:val="518A72F6"/>
    <w:rsid w:val="519216B7"/>
    <w:rsid w:val="51D30C43"/>
    <w:rsid w:val="524474CD"/>
    <w:rsid w:val="52BB4C7B"/>
    <w:rsid w:val="52F8052A"/>
    <w:rsid w:val="530E439E"/>
    <w:rsid w:val="5317764D"/>
    <w:rsid w:val="53594EE9"/>
    <w:rsid w:val="539253D8"/>
    <w:rsid w:val="53C97C7B"/>
    <w:rsid w:val="54384218"/>
    <w:rsid w:val="546E0E19"/>
    <w:rsid w:val="54E02E76"/>
    <w:rsid w:val="55310F00"/>
    <w:rsid w:val="557871D2"/>
    <w:rsid w:val="55841B9E"/>
    <w:rsid w:val="559F553A"/>
    <w:rsid w:val="55A9703D"/>
    <w:rsid w:val="56274477"/>
    <w:rsid w:val="5689702C"/>
    <w:rsid w:val="574451E3"/>
    <w:rsid w:val="575844F0"/>
    <w:rsid w:val="57E977B0"/>
    <w:rsid w:val="57ED201E"/>
    <w:rsid w:val="57F42B0E"/>
    <w:rsid w:val="583E3F5E"/>
    <w:rsid w:val="58472D43"/>
    <w:rsid w:val="5863513E"/>
    <w:rsid w:val="58D25844"/>
    <w:rsid w:val="58EF1411"/>
    <w:rsid w:val="58EF4BBE"/>
    <w:rsid w:val="594436A7"/>
    <w:rsid w:val="595074AE"/>
    <w:rsid w:val="597B3B32"/>
    <w:rsid w:val="59F6760E"/>
    <w:rsid w:val="5A4A2633"/>
    <w:rsid w:val="5B08601D"/>
    <w:rsid w:val="5B217190"/>
    <w:rsid w:val="5B2E7013"/>
    <w:rsid w:val="5B766F46"/>
    <w:rsid w:val="5BB7496B"/>
    <w:rsid w:val="5CA8447B"/>
    <w:rsid w:val="5D213B63"/>
    <w:rsid w:val="5D375134"/>
    <w:rsid w:val="5DD62B9F"/>
    <w:rsid w:val="5E0B017F"/>
    <w:rsid w:val="5E1758B9"/>
    <w:rsid w:val="5E1F431D"/>
    <w:rsid w:val="5EB217FD"/>
    <w:rsid w:val="5EB85D88"/>
    <w:rsid w:val="5F5C38AD"/>
    <w:rsid w:val="5F6064D4"/>
    <w:rsid w:val="606320F1"/>
    <w:rsid w:val="60A94AA3"/>
    <w:rsid w:val="60D15BBA"/>
    <w:rsid w:val="60D4713E"/>
    <w:rsid w:val="6117044B"/>
    <w:rsid w:val="61A7112A"/>
    <w:rsid w:val="61BD486A"/>
    <w:rsid w:val="61DB6731"/>
    <w:rsid w:val="62385AEB"/>
    <w:rsid w:val="6263198D"/>
    <w:rsid w:val="62A0552A"/>
    <w:rsid w:val="630006BE"/>
    <w:rsid w:val="63062529"/>
    <w:rsid w:val="630E7EAE"/>
    <w:rsid w:val="6313764B"/>
    <w:rsid w:val="63161C90"/>
    <w:rsid w:val="6367280D"/>
    <w:rsid w:val="641C5084"/>
    <w:rsid w:val="64771E53"/>
    <w:rsid w:val="64CD4737"/>
    <w:rsid w:val="64D1385B"/>
    <w:rsid w:val="64DD1C81"/>
    <w:rsid w:val="65154E9C"/>
    <w:rsid w:val="66075A53"/>
    <w:rsid w:val="666A4FCB"/>
    <w:rsid w:val="66D14F9A"/>
    <w:rsid w:val="66F729EF"/>
    <w:rsid w:val="68D03361"/>
    <w:rsid w:val="690A194F"/>
    <w:rsid w:val="69492530"/>
    <w:rsid w:val="699675A8"/>
    <w:rsid w:val="69B8303B"/>
    <w:rsid w:val="69E53C69"/>
    <w:rsid w:val="6A145D73"/>
    <w:rsid w:val="6A6E5F0E"/>
    <w:rsid w:val="6AE228CC"/>
    <w:rsid w:val="6B1860D6"/>
    <w:rsid w:val="6BBD539F"/>
    <w:rsid w:val="6BC86B43"/>
    <w:rsid w:val="6BD32E45"/>
    <w:rsid w:val="6C2A775D"/>
    <w:rsid w:val="6C9963D7"/>
    <w:rsid w:val="6CC91C6E"/>
    <w:rsid w:val="6D5D1401"/>
    <w:rsid w:val="6D887C10"/>
    <w:rsid w:val="6DC26AF9"/>
    <w:rsid w:val="6ED22F0F"/>
    <w:rsid w:val="6F021B09"/>
    <w:rsid w:val="6FC844B9"/>
    <w:rsid w:val="6FD238B4"/>
    <w:rsid w:val="700A5D51"/>
    <w:rsid w:val="70F6046F"/>
    <w:rsid w:val="714B6FA9"/>
    <w:rsid w:val="71944EA7"/>
    <w:rsid w:val="71D71D1B"/>
    <w:rsid w:val="721171F3"/>
    <w:rsid w:val="723D2D95"/>
    <w:rsid w:val="72451C4A"/>
    <w:rsid w:val="728E0759"/>
    <w:rsid w:val="729953A7"/>
    <w:rsid w:val="729A1F96"/>
    <w:rsid w:val="72B03B7B"/>
    <w:rsid w:val="72F8291C"/>
    <w:rsid w:val="74BD01BD"/>
    <w:rsid w:val="7537110F"/>
    <w:rsid w:val="75DA4139"/>
    <w:rsid w:val="75F14C5D"/>
    <w:rsid w:val="77211164"/>
    <w:rsid w:val="77613287"/>
    <w:rsid w:val="77B21D62"/>
    <w:rsid w:val="77DE0B76"/>
    <w:rsid w:val="783D0D9D"/>
    <w:rsid w:val="78982C37"/>
    <w:rsid w:val="789D7D64"/>
    <w:rsid w:val="78C733B9"/>
    <w:rsid w:val="78E81443"/>
    <w:rsid w:val="78F51DD9"/>
    <w:rsid w:val="79660872"/>
    <w:rsid w:val="799F24B9"/>
    <w:rsid w:val="7A4461CE"/>
    <w:rsid w:val="7A57026F"/>
    <w:rsid w:val="7AF54E28"/>
    <w:rsid w:val="7B52696E"/>
    <w:rsid w:val="7BDB4226"/>
    <w:rsid w:val="7CD275EF"/>
    <w:rsid w:val="7CEF6249"/>
    <w:rsid w:val="7CF4381E"/>
    <w:rsid w:val="7CF63C25"/>
    <w:rsid w:val="7D454310"/>
    <w:rsid w:val="7DC756D2"/>
    <w:rsid w:val="7E543940"/>
    <w:rsid w:val="7EE41AB2"/>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link w:val="8"/>
    <w:qFormat/>
    <w:uiPriority w:val="0"/>
    <w:pP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character" w:customStyle="1" w:styleId="8">
    <w:name w:val="页眉 字符"/>
    <w:basedOn w:val="7"/>
    <w:link w:val="4"/>
    <w:qFormat/>
    <w:uiPriority w:val="0"/>
    <w:rPr>
      <w:rFonts w:ascii="Calibri" w:hAnsi="Calibri"/>
      <w:kern w:val="2"/>
      <w:sz w:val="18"/>
      <w:szCs w:val="18"/>
    </w:rPr>
  </w:style>
  <w:style w:type="paragraph" w:customStyle="1" w:styleId="9">
    <w:name w:val="〖C01〗正文"/>
    <w:basedOn w:val="1"/>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4402</Words>
  <Characters>4697</Characters>
  <Lines>1</Lines>
  <Paragraphs>1</Paragraphs>
  <TotalTime>1</TotalTime>
  <ScaleCrop>false</ScaleCrop>
  <LinksUpToDate>false</LinksUpToDate>
  <CharactersWithSpaces>4750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2023-02-17T01:20:00Z</dcterms:created>
  <dc:creator>丹尼</dc:creator>
  <cp:lastModifiedBy>玉</cp:lastModifiedBy>
  <dcterms:modified xsi:type="dcterms:W3CDTF">2026-02-26T06:28:30Z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4BCC831FF0F24F18A9453E268540240F_13</vt:lpwstr>
  </property>
  <property fmtid="{D5CDD505-2E9C-101B-9397-08002B2CF9AE}" pid="4" name="KSOTemplateDocerSaveRecord">
    <vt:lpwstr>eyJoZGlkIjoiYjdkYzRmZjc2OWNkODU0OTQ1NTVlMTk5ZTdiMjgyNWUiLCJ1c2VySWQiOiI2MjQzMDk1NzUifQ==</vt:lpwstr>
  </property>
</Properties>
</file>