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bidi="ar"/>
        </w:rPr>
        <w:t>井研县镇阳镇卫生院</w:t>
      </w:r>
      <w:r>
        <w:rPr>
          <w:rFonts w:hint="eastAsia" w:ascii="黑体" w:hAnsi="黑体" w:eastAsia="黑体" w:cs="黑体"/>
          <w:color w:val="000000"/>
          <w:sz w:val="44"/>
          <w:u w:color="auto"/>
        </w:rPr>
        <w:t>单位</w:t>
      </w:r>
    </w:p>
    <w:p w14:paraId="5E38A76C">
      <w:pPr>
        <w:widowControl/>
        <w:jc w:val="center"/>
        <w:rPr>
          <w:rFonts w:hint="eastAsia" w:ascii="黑体" w:hAnsi="黑体" w:eastAsia="黑体" w:cs="黑体"/>
        </w:rPr>
      </w:pPr>
      <w:r>
        <w:rPr>
          <w:rFonts w:hint="eastAsia" w:ascii="黑体" w:hAnsi="黑体" w:eastAsia="黑体" w:cs="黑体"/>
          <w:color w:val="000000"/>
          <w:kern w:val="0"/>
          <w:sz w:val="44"/>
          <w:szCs w:val="44"/>
          <w:lang w:bidi="ar"/>
        </w:rPr>
        <w:t>2026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井研县镇阳镇卫生院单位职能简介。</w:t>
      </w:r>
    </w:p>
    <w:p w14:paraId="53EA27A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井研县镇阳镇卫生院是该乡镇设立的卫生行政和医疗预防工作的非营利性基层医疗卫生机构，其职责承担辖区医疗卫生综合管理服务工作，以公共卫生服务为主，综合提供预防、保健和基本医疗服务；开展计划生育服务等。一、基本医疗服务：开展一般常见病、多发病、地方病的基本医疗服务；现场救护和转诊服务。二、公共卫生服务：负责辖区居民健康档案管理、健康教育、预防接种、儿童健康管理服务、孕产妇健康管理、老年人健康管理、慢性病患者健康管理、严重精神障碍患者管理、传染病及突发公共卫生事件报告和处理、结核病患者健康管理、卫生监督协管、中医药健康管理服务。三、指导辖区内诊所、村卫生室业务工作，对村医生进行相关技能培训，做好医疗卫生信息统计报告工作，完整、及时、准确报告相关信息，逐步推进乡村卫生服务一体化管理。</w:t>
      </w:r>
      <w:r>
        <w:rPr>
          <w:rFonts w:hint="eastAsia" w:ascii="方正仿宋_GB2312" w:hAnsi="方正仿宋_GB2312" w:eastAsia="方正仿宋_GB2312" w:cs="方正仿宋_GB2312"/>
          <w:bCs/>
          <w:sz w:val="32"/>
          <w:szCs w:val="32"/>
        </w:rPr>
        <w:tab/>
      </w:r>
      <w:r>
        <w:rPr>
          <w:rFonts w:hint="eastAsia" w:ascii="方正仿宋_GB2312" w:hAnsi="方正仿宋_GB2312" w:eastAsia="方正仿宋_GB2312" w:cs="方正仿宋_GB2312"/>
          <w:bCs/>
          <w:sz w:val="32"/>
          <w:szCs w:val="32"/>
        </w:rPr>
        <w:tab/>
      </w:r>
      <w:r>
        <w:rPr>
          <w:rFonts w:hint="eastAsia" w:ascii="方正仿宋_GB2312" w:hAnsi="方正仿宋_GB2312" w:eastAsia="方正仿宋_GB2312" w:cs="方正仿宋_GB2312"/>
          <w:bCs/>
          <w:sz w:val="32"/>
          <w:szCs w:val="32"/>
        </w:rPr>
        <w:tab/>
      </w:r>
      <w:r>
        <w:rPr>
          <w:rFonts w:hint="eastAsia" w:ascii="方正仿宋_GB2312" w:hAnsi="方正仿宋_GB2312" w:eastAsia="方正仿宋_GB2312" w:cs="方正仿宋_GB2312"/>
          <w:bCs/>
          <w:sz w:val="32"/>
          <w:szCs w:val="32"/>
        </w:rPr>
        <w:tab/>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井研县镇阳镇卫生院</w:t>
      </w:r>
      <w:r>
        <w:rPr>
          <w:rFonts w:ascii="楷体" w:hAnsi="楷体" w:eastAsia="楷体" w:cs="楷体"/>
          <w:sz w:val="32"/>
          <w:u w:color="auto"/>
        </w:rPr>
        <w:t>单位重点工作。</w:t>
      </w:r>
    </w:p>
    <w:p w14:paraId="0114600F">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1.加强党风廉政建设工作。</w:t>
      </w:r>
    </w:p>
    <w:p w14:paraId="6671480A">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2.加强卫生院行风建设。</w:t>
      </w:r>
    </w:p>
    <w:p w14:paraId="4E91DDFF">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3.加强运营管理，全面落实医院增收节支工作。</w:t>
      </w:r>
    </w:p>
    <w:p w14:paraId="6D345A7B">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4.严格执行医疗制度，规范医疗行为。</w:t>
      </w:r>
    </w:p>
    <w:p w14:paraId="071E93F8">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5.对标医保政策，规范并熟透DRG付费。</w:t>
      </w:r>
    </w:p>
    <w:p w14:paraId="5C18C00F">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6.加强信息化建设，完善人才队伍培养。</w:t>
      </w:r>
    </w:p>
    <w:p w14:paraId="0F12A0A9">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7.做实基本公共卫生服务工作。</w:t>
      </w:r>
    </w:p>
    <w:p w14:paraId="48A3081B">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8.高效完成2026年综合目标考核工作。</w:t>
      </w:r>
    </w:p>
    <w:p w14:paraId="335DFF5F">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9.加强班子队伍作风建设，做好安全维稳工作。</w:t>
      </w:r>
    </w:p>
    <w:p w14:paraId="529F4E61">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10.全面抓好其他临时性工作。</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76F9B4AF">
      <w:pPr>
        <w:spacing w:line="580" w:lineRule="exact"/>
        <w:ind w:firstLine="640" w:firstLineChars="200"/>
        <w:jc w:val="left"/>
        <w:outlineLvl w:val="2"/>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Cs/>
          <w:sz w:val="32"/>
          <w:szCs w:val="32"/>
        </w:rPr>
        <w:t>井研县镇阳镇卫生院是卫生健康局下设的基层医疗机构。人员情况：本年年初在职职工数26人，其中正编职工16人，招聘职工10人。年初实有退休职工8人。</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井研县镇阳镇卫生院所有收入和支出均纳入单位预算管理。井研县镇阳镇卫生院2026年收支预算总数</w:t>
      </w:r>
      <w:r>
        <w:rPr>
          <w:rFonts w:hint="eastAsia" w:ascii="方正仿宋_GB2312" w:hAnsi="方正仿宋_GB2312" w:eastAsia="方正仿宋_GB2312" w:cs="方正仿宋_GB2312"/>
          <w:sz w:val="32"/>
          <w:u w:color="auto"/>
          <w:lang w:val="en-US" w:eastAsia="zh-CN"/>
        </w:rPr>
        <w:t>544.41</w:t>
      </w:r>
      <w:r>
        <w:rPr>
          <w:rFonts w:ascii="方正仿宋_GB2312" w:hAnsi="方正仿宋_GB2312" w:eastAsia="方正仿宋_GB2312" w:cs="方正仿宋_GB2312"/>
          <w:sz w:val="32"/>
          <w:u w:color="auto"/>
        </w:rPr>
        <w:t>万元，比2025年减少54.39万元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井研县镇阳镇卫生院</w:t>
      </w:r>
      <w:r>
        <w:rPr>
          <w:rFonts w:ascii="方正仿宋_GB2312" w:hAnsi="方正仿宋_GB2312" w:eastAsia="方正仿宋_GB2312" w:cs="方正仿宋_GB2312"/>
          <w:sz w:val="32"/>
          <w:u w:color="auto"/>
        </w:rPr>
        <w:t>2026年收入预算544.41万元，上年结转0万元；一般公共预算拨款收入237.31万元，占43.59%；其他收入7.1万元，占1.30%；事业收入300.0万元，占55.11%。</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544.41万元，其中：基本支出345.31万元，占63.43%；项目支出199.1万元，占36.57%。</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井研县镇阳镇卫生院</w:t>
      </w:r>
      <w:r>
        <w:rPr>
          <w:rFonts w:ascii="方正仿宋_GB2312" w:hAnsi="方正仿宋_GB2312" w:eastAsia="方正仿宋_GB2312" w:cs="方正仿宋_GB2312"/>
          <w:sz w:val="32"/>
          <w:u w:color="auto"/>
        </w:rPr>
        <w:t>2026年财政拨款收支预算总数237.31万元，比2025年财政拨款收支预算总数增加13.51万元。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井研县镇阳镇卫生院</w:t>
      </w:r>
      <w:r>
        <w:rPr>
          <w:rFonts w:ascii="方正仿宋_GB2312" w:hAnsi="方正仿宋_GB2312" w:eastAsia="方正仿宋_GB2312" w:cs="方正仿宋_GB2312"/>
          <w:sz w:val="32"/>
          <w:u w:color="auto"/>
        </w:rPr>
        <w:t>2026年一般公共预算当年拨款237.31万元，比2025年预算数增加13.51万元。主要原因是项目增加。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卫生健康支出194.37万元，占81.91%、 住房保障支出16.19万元，占6.82%、 社会保障和就业支出26.75万元，占11.27%。</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35AF14F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1.社会保障和就业支出（类）行政事业单位养老支出（款）机关事业单位基本养老保险缴费支出（项）2026年预算数为17.83万元，主要用于：机关事业单位实施养老保险制度由单位缴纳的基本养老保险费支出。</w:t>
      </w:r>
    </w:p>
    <w:p w14:paraId="127BEBC0">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2.社会保障和就业支出（类）行政事业单位养老支出（款）机关事业单位职业年金缴费支出（项）2026年预算数为8.92万元，主要用于：机关事业单位实施养老保险制度由单位实际缴纳的职业年金支出。</w:t>
      </w:r>
    </w:p>
    <w:p w14:paraId="67AF39F2">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3.卫生健康支出（类）基层医疗卫生机构（款）乡镇卫生院（项）2026年预算数为178.96万元，主要用于：用于乡镇卫生院的支出。</w:t>
      </w:r>
    </w:p>
    <w:p w14:paraId="51344DD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4.卫生健康支出（类）基层医疗卫生机构（款）其他基层医疗卫生机构支出（项）2026年预算数为5.39万元，主要用于：除上述项目以外的其他用于基层医疗卫生机构的支出。</w:t>
      </w:r>
    </w:p>
    <w:p w14:paraId="7901B6E3">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8.58万元，主要用于：财政部门安排的事业单位基本医疗保险缴费经费，未参加医疗保险的事业单位的公费医疗经费，按国家规定享受离休人员待遇的医疗经费。</w:t>
      </w:r>
    </w:p>
    <w:p w14:paraId="45E80B73">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6.卫生健康支出（类）行政事业单位医疗（款）其他行政事业单位医疗支出（项）2026年预算数为1.44万元，主要用于：除上述项目以外的其他用于行政事业单位医疗方面的支出。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16.19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井研县镇阳镇卫生院</w:t>
      </w:r>
      <w:r>
        <w:rPr>
          <w:rFonts w:ascii="方正仿宋_GB2312" w:hAnsi="方正仿宋_GB2312" w:eastAsia="方正仿宋_GB2312" w:cs="方正仿宋_GB2312"/>
          <w:sz w:val="32"/>
          <w:u w:color="auto"/>
        </w:rPr>
        <w:t>2026年一般公共预算基本支出186.83万元，其中：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182.84万元，主要包括：基本工资、津贴补贴、绩效工资、机关事业单位基本养老保险缴费、职业年金缴费、职工基本医疗保险缴费、其他社会保障缴费、住房公积金、生活补助、奖励金。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3.99万元，主要包括：工会经费、其他商品和服务支出。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井研县镇阳镇卫生院2026年没有使用政府性基金预算拨款安排的支出。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井研县镇阳镇卫生院2026年没有使用国有资本经营预算拨款安排的支出。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井研县镇阳镇卫生院2026年没有使用财政拨款安排“三公”经费预算。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ascii="方正仿宋_GB2312" w:hAnsi="方正仿宋_GB2312" w:eastAsia="方正仿宋_GB2312" w:cs="方正仿宋_GB2312"/>
          <w:sz w:val="32"/>
          <w:u w:color="auto"/>
        </w:rPr>
        <w:t>0辆，其中：轿车0辆、旅行车（含商务车）0辆、越野车0辆、大型客、货车0辆。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井研县镇阳镇卫生院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井研县镇阳镇卫生院为事业单位，按规定未使用机关运行的相关科目。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井研县镇阳镇卫生院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井研县镇阳镇卫生院所属各预算单位共有车辆0辆。单位价值200万元以上大型设备0台（套）。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井研县镇阳镇卫生院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lang w:val="en-US" w:eastAsia="zh-CN"/>
        </w:rPr>
        <w:t>225.27</w:t>
      </w:r>
      <w:r>
        <w:rPr>
          <w:rFonts w:ascii="方正仿宋_GB2312" w:hAnsi="方正仿宋_GB2312" w:eastAsia="方正仿宋_GB2312" w:cs="方正仿宋_GB2312"/>
          <w:sz w:val="32"/>
          <w:u w:color="auto"/>
        </w:rPr>
        <w:t>万元。开展绩效目标管理的项目</w:t>
      </w:r>
      <w:r>
        <w:rPr>
          <w:rFonts w:hint="eastAsia" w:ascii="方正仿宋_GB2312" w:hAnsi="方正仿宋_GB2312" w:eastAsia="方正仿宋_GB2312" w:cs="方正仿宋_GB2312"/>
          <w:sz w:val="32"/>
          <w:u w:color="auto"/>
          <w:lang w:val="en-US" w:eastAsia="zh-CN"/>
        </w:rPr>
        <w:t>18</w:t>
      </w:r>
      <w:bookmarkStart w:id="0" w:name="_GoBack"/>
      <w:bookmarkEnd w:id="0"/>
      <w:r>
        <w:rPr>
          <w:rFonts w:ascii="方正仿宋_GB2312" w:hAnsi="方正仿宋_GB2312" w:eastAsia="方正仿宋_GB2312" w:cs="方正仿宋_GB2312"/>
          <w:sz w:val="32"/>
          <w:u w:color="auto"/>
        </w:rPr>
        <w:t>个，涉及预算2</w:t>
      </w:r>
      <w:r>
        <w:rPr>
          <w:rFonts w:hint="eastAsia" w:ascii="方正仿宋_GB2312" w:hAnsi="方正仿宋_GB2312" w:eastAsia="方正仿宋_GB2312" w:cs="方正仿宋_GB2312"/>
          <w:sz w:val="32"/>
          <w:u w:color="auto"/>
          <w:lang w:val="en-US" w:eastAsia="zh-CN"/>
        </w:rPr>
        <w:t>25.27</w:t>
      </w:r>
      <w:r>
        <w:rPr>
          <w:rFonts w:ascii="方正仿宋_GB2312" w:hAnsi="方正仿宋_GB2312" w:eastAsia="方正仿宋_GB2312" w:cs="方正仿宋_GB2312"/>
          <w:sz w:val="32"/>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1E26B4B">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财政拨款收支情况：是指一般公共预算、政府性基金预算、国有资本经营预算拨款收支情况。</w:t>
      </w:r>
    </w:p>
    <w:p w14:paraId="0570D0A2">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一般公共预算拨款收入：指县级财政当年拨付的资金。</w:t>
      </w:r>
    </w:p>
    <w:p w14:paraId="2512A918">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政府性基金预算:指通过向社会征收以及出让土地、发行彩票等方式取得收入，并专项用于特定基础设施建设和社会事业发展的财政收支预算。</w:t>
      </w:r>
    </w:p>
    <w:p w14:paraId="7770BD24">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事业收入：指事业单位开展专业业务活动及辅助活动所取得的收入。</w:t>
      </w:r>
    </w:p>
    <w:p w14:paraId="29B2D506">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事业单位经营收入：指事业单位在专业业务活动及其辅助活动之外开展非独立核算经营活动取得的收入。</w:t>
      </w:r>
    </w:p>
    <w:p w14:paraId="5C8D2573">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其他收入：指除上述“一般公共预算拨款收入”、“事业收入”、“事业单位经营收入”等以外的收入。主要是利息收入、国有资产出租收入等。</w:t>
      </w:r>
    </w:p>
    <w:p w14:paraId="31665061">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6579457B">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上年结转：指以前年度尚未完成，结转到本年仍按原规定用途继续使用的资金。 </w:t>
      </w:r>
    </w:p>
    <w:p w14:paraId="06A9ED21">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社会保障和就业支出（类）行政事业单位养老支出（款）机关事业单位基本养老保险缴费支出（项）：反映机关事业单位实施养老保险制度由单位缴纳的基本养老保险费支出。</w:t>
      </w:r>
    </w:p>
    <w:p w14:paraId="76A68435">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社会保障和就业支出（类）行政事业单位养老支出（款）机关事业单位职业年金缴费支出（项）：反映机关事业单位实施养老保险制度由单位实际缴纳的职业年金支出。</w:t>
      </w:r>
    </w:p>
    <w:p w14:paraId="3E5D1B8F">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卫生健康支出（类）基层医疗卫生机构（款）乡镇卫生院（项）：反映用于乡镇卫生院的支出。</w:t>
      </w:r>
    </w:p>
    <w:p w14:paraId="573922BA">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卫生健康支出（类）基层医疗卫生机构（款）其他基层医疗卫生机构支出（项）：反映除上述项目以外的其他用于基层医疗卫生机构的支出。</w:t>
      </w:r>
    </w:p>
    <w:p w14:paraId="78B73D53">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3DB3F389">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卫生健康支出（类）行政事业单位医疗（款）其他行政事业单位医疗支出（项）：反映除上述项目以外的其他用于行政事业单位医疗方面的支出。</w:t>
      </w:r>
    </w:p>
    <w:p w14:paraId="7B101C11">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住房保障支出（类）住房改革支出（款）住房公积金（项）：反映行政事业单位按人力资源和社会保障部、财政部规定的基本工资和津贴补贴以及规定比例为职工缴纳的住房公积金。</w:t>
      </w:r>
    </w:p>
    <w:p w14:paraId="78D583B9">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基本支出：指为保证机构正常运转，完成日常工作任务而发生的人员支出和公用支出。</w:t>
      </w:r>
    </w:p>
    <w:p w14:paraId="3986FEBC">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14:paraId="219C6149">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pStyle w:val="5"/>
        <w:widowControl/>
        <w:numPr>
          <w:ilvl w:val="0"/>
          <w:numId w:val="1"/>
        </w:numPr>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B78130-6F17-4832-BBF6-F6C9F58B8B7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2" w:fontKey="{246801F5-91A1-4CFC-A41A-018BC9C35454}"/>
  </w:font>
  <w:font w:name="方正仿宋_GB2312">
    <w:panose1 w:val="02000000000000000000"/>
    <w:charset w:val="86"/>
    <w:family w:val="auto"/>
    <w:pitch w:val="default"/>
    <w:sig w:usb0="A00002BF" w:usb1="184F6CFA" w:usb2="00000012" w:usb3="00000000" w:csb0="00040001" w:csb1="00000000"/>
    <w:embedRegular r:id="rId3" w:fontKey="{0D861F92-B73A-4B83-B79F-62B774C05AAF}"/>
  </w:font>
  <w:font w:name="MiSans Normal">
    <w:altName w:val="宋体"/>
    <w:panose1 w:val="00000500000000000000"/>
    <w:charset w:val="86"/>
    <w:family w:val="auto"/>
    <w:pitch w:val="default"/>
    <w:sig w:usb0="00000000" w:usb1="00000000" w:usb2="00000016" w:usb3="00000000" w:csb0="00040001" w:csb1="00000000"/>
    <w:embedRegular r:id="rId4" w:fontKey="{2F307B93-22E9-46B8-892B-5DCDA18C855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CA5456"/>
    <w:multiLevelType w:val="singleLevel"/>
    <w:tmpl w:val="CFCA545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CE6C96"/>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9E662C"/>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5FD10046"/>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7FC58AB"/>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3971</Words>
  <Characters>4248</Characters>
  <Lines>12</Lines>
  <Paragraphs>3</Paragraphs>
  <TotalTime>2</TotalTime>
  <ScaleCrop>false</ScaleCrop>
  <LinksUpToDate>false</LinksUpToDate>
  <CharactersWithSpaces>4259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CRUEL</cp:lastModifiedBy>
  <dcterms:modified xsi:type="dcterms:W3CDTF">2026-02-25T08:45:30Z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4BCC831FF0F24F18A9453E268540240F_13</vt:lpwstr>
  </property>
  <property fmtid="{D5CDD505-2E9C-101B-9397-08002B2CF9AE}" pid="4" name="KSOTemplateDocerSaveRecord">
    <vt:lpwstr>eyJoZGlkIjoiOTE2NjczMDkzMmUzMzJiZTA1MDQ1YzA1MzE0NmUyZjUiLCJ1c2VySWQiOiIzNDU2NzIyMjYifQ==</vt:lpwstr>
  </property>
</Properties>
</file>