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B49F4">
      <w:pPr>
        <w:widowControl/>
        <w:jc w:val="center"/>
        <w:rPr>
          <w:rFonts w:hint="eastAsia" w:ascii="方正小标宋简体" w:hAnsi="方正小标宋简体" w:eastAsia="方正小标宋简体" w:cs="方正小标宋简体"/>
          <w:color w:val="000000"/>
          <w:kern w:val="0"/>
          <w:sz w:val="44"/>
          <w:szCs w:val="44"/>
          <w:lang w:bidi="ar"/>
        </w:rPr>
      </w:pPr>
      <w:r>
        <w:rPr>
          <w:rFonts w:hint="eastAsia" w:ascii="黑体" w:hAnsi="黑体" w:eastAsia="黑体" w:cs="黑体"/>
          <w:color w:val="000000"/>
          <w:kern w:val="0"/>
          <w:sz w:val="44"/>
          <w:szCs w:val="44"/>
          <w:lang w:val="en-US" w:eastAsia="zh-CN" w:bidi="ar"/>
        </w:rPr>
        <w:t>关于</w:t>
      </w:r>
      <w:r>
        <w:rPr>
          <w:rFonts w:hint="eastAsia" w:ascii="黑体" w:hAnsi="黑体" w:eastAsia="黑体" w:cs="黑体"/>
          <w:color w:val="000000"/>
          <w:kern w:val="0"/>
          <w:sz w:val="44"/>
          <w:szCs w:val="44"/>
          <w:lang w:eastAsia="zh-CN" w:bidi="ar"/>
        </w:rPr>
        <w:t>井研县疾病预防控制中心</w:t>
      </w:r>
      <w:r>
        <w:rPr>
          <w:rFonts w:hint="eastAsia" w:ascii="黑体" w:hAnsi="黑体" w:eastAsia="黑体" w:cs="黑体"/>
          <w:color w:val="000000"/>
          <w:sz w:val="44"/>
          <w:u w:color="auto"/>
        </w:rPr>
        <w:t>单位</w:t>
      </w:r>
    </w:p>
    <w:p w14:paraId="5E38A76C">
      <w:pPr>
        <w:widowControl/>
        <w:jc w:val="center"/>
        <w:rPr>
          <w:rFonts w:hint="eastAsia" w:ascii="MiSans Normal" w:hAnsi="MiSans Normal" w:eastAsia="MiSans Normal" w:cs="MiSans Normal"/>
        </w:rPr>
      </w:pPr>
      <w:r>
        <w:rPr>
          <w:rFonts w:hint="eastAsia" w:ascii="方正小标宋简体" w:hAnsi="方正小标宋简体" w:eastAsia="方正小标宋简体" w:cs="方正小标宋简体"/>
          <w:color w:val="000000"/>
          <w:kern w:val="0"/>
          <w:sz w:val="44"/>
          <w:szCs w:val="44"/>
          <w:lang w:bidi="ar"/>
        </w:rPr>
        <w:t>2026</w:t>
      </w:r>
      <w:r>
        <w:rPr>
          <w:rFonts w:ascii="方正小标宋简体" w:hAnsi="方正小标宋简体" w:eastAsia="方正小标宋简体" w:cs="方正小标宋简体"/>
          <w:color w:val="000000"/>
          <w:sz w:val="44"/>
          <w:u w:color="auto"/>
        </w:rPr>
        <w:t>年部门预算编制</w:t>
      </w:r>
      <w:r>
        <w:rPr>
          <w:rFonts w:hint="eastAsia" w:ascii="方正小标宋简体" w:hAnsi="方正小标宋简体" w:eastAsia="方正小标宋简体" w:cs="方正小标宋简体"/>
          <w:color w:val="000000"/>
          <w:kern w:val="0"/>
          <w:sz w:val="44"/>
          <w:szCs w:val="44"/>
          <w:lang w:val="en-US" w:eastAsia="zh-CN" w:bidi="ar"/>
        </w:rPr>
        <w:t>的</w:t>
      </w:r>
      <w:r>
        <w:rPr>
          <w:rFonts w:hint="eastAsia" w:ascii="方正小标宋简体" w:hAnsi="方正小标宋简体" w:eastAsia="方正小标宋简体" w:cs="方正小标宋简体"/>
          <w:color w:val="000000"/>
          <w:kern w:val="0"/>
          <w:sz w:val="44"/>
          <w:szCs w:val="44"/>
          <w:lang w:bidi="ar"/>
        </w:rPr>
        <w:t>说明</w:t>
      </w:r>
    </w:p>
    <w:p w14:paraId="615FE939">
      <w:pPr>
        <w:pStyle w:val="9"/>
      </w:pPr>
      <w:r>
        <w:rPr>
          <w:rFonts w:hint="eastAsia"/>
        </w:rPr>
        <w:t>按照预算管理有关规定，目前部门预算的编制实行综合预算制度，即全部收入和支出都反映在预算中。</w:t>
      </w:r>
    </w:p>
    <w:p w14:paraId="6527D6F4">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一、基本职能及主要工作</w:t>
      </w:r>
    </w:p>
    <w:p w14:paraId="49F0E2B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w:t>
      </w:r>
      <w:r>
        <w:rPr>
          <w:rFonts w:hint="eastAsia" w:ascii="楷体" w:hAnsi="楷体" w:eastAsia="楷体" w:cs="楷体"/>
          <w:sz w:val="32"/>
          <w:u w:color="auto"/>
          <w:lang w:eastAsia="zh-CN"/>
        </w:rPr>
        <w:t>井研县疾病预防控制中心</w:t>
      </w:r>
      <w:r>
        <w:rPr>
          <w:rFonts w:ascii="楷体" w:hAnsi="楷体" w:eastAsia="楷体" w:cs="楷体"/>
          <w:sz w:val="32"/>
          <w:u w:color="auto"/>
        </w:rPr>
        <w:t>单位职能简介。</w:t>
      </w:r>
    </w:p>
    <w:p w14:paraId="53EA27A5">
      <w:pPr>
        <w:spacing w:line="580" w:lineRule="exact"/>
        <w:ind w:firstLine="640" w:firstLineChars="200"/>
        <w:jc w:val="left"/>
        <w:outlineLvl w:val="2"/>
        <w:rPr>
          <w:rFonts w:hint="eastAsia" w:ascii="方正仿宋_GB2312" w:hAnsi="方正仿宋_GB2312" w:eastAsia="方正仿宋_GB2312" w:cs="方正仿宋_GB2312"/>
          <w:bCs/>
          <w:sz w:val="32"/>
          <w:szCs w:val="32"/>
        </w:rPr>
      </w:pPr>
      <w:r>
        <w:rPr>
          <w:rFonts w:hint="eastAsia" w:ascii="方正仿宋_GB2312" w:hAnsi="方正仿宋_GB2312" w:eastAsia="方正仿宋_GB2312" w:cs="方正仿宋_GB2312"/>
          <w:bCs/>
          <w:sz w:val="32"/>
          <w:szCs w:val="32"/>
        </w:rPr>
        <w:t>在县委、县政府及上级主管部门的坚强领导下，中心坚守 “预防为主、防治结合” 工作方针，以保障全县人民健康为核心，稳步推进疾控体系改革，高效落实各项疾病预防控制任务，</w:t>
      </w:r>
      <w:r>
        <w:rPr>
          <w:rFonts w:hint="eastAsia" w:ascii="方正仿宋_GB2312" w:hAnsi="方正仿宋_GB2312" w:eastAsia="方正仿宋_GB2312" w:cs="方正仿宋_GB2312"/>
          <w:bCs/>
          <w:sz w:val="32"/>
          <w:szCs w:val="32"/>
          <w:lang w:val="en-US" w:eastAsia="zh-CN"/>
        </w:rPr>
        <w:t>控制</w:t>
      </w:r>
      <w:r>
        <w:rPr>
          <w:rFonts w:hint="eastAsia" w:ascii="方正仿宋_GB2312" w:hAnsi="方正仿宋_GB2312" w:eastAsia="方正仿宋_GB2312" w:cs="方正仿宋_GB2312"/>
          <w:bCs/>
          <w:sz w:val="32"/>
          <w:szCs w:val="32"/>
        </w:rPr>
        <w:t>全县重大传染病疫情总体平稳，</w:t>
      </w:r>
      <w:r>
        <w:rPr>
          <w:rFonts w:hint="eastAsia" w:ascii="方正仿宋_GB2312" w:hAnsi="方正仿宋_GB2312" w:eastAsia="方正仿宋_GB2312" w:cs="方正仿宋_GB2312"/>
          <w:bCs/>
          <w:sz w:val="32"/>
          <w:szCs w:val="32"/>
          <w:lang w:val="en-US" w:eastAsia="zh-CN"/>
        </w:rPr>
        <w:t>应对</w:t>
      </w:r>
      <w:r>
        <w:rPr>
          <w:rFonts w:hint="eastAsia" w:ascii="方正仿宋_GB2312" w:hAnsi="方正仿宋_GB2312" w:eastAsia="方正仿宋_GB2312" w:cs="方正仿宋_GB2312"/>
          <w:bCs/>
          <w:sz w:val="32"/>
          <w:szCs w:val="32"/>
        </w:rPr>
        <w:t>突发公共卫生事件。</w:t>
      </w:r>
    </w:p>
    <w:p w14:paraId="632920C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二）</w:t>
      </w:r>
      <w:r>
        <w:rPr>
          <w:rFonts w:hint="eastAsia" w:ascii="楷体" w:hAnsi="楷体" w:eastAsia="楷体" w:cs="楷体"/>
          <w:b w:val="0"/>
          <w:bCs/>
          <w:sz w:val="32"/>
          <w:szCs w:val="32"/>
          <w:lang w:eastAsia="zh-CN"/>
        </w:rPr>
        <w:t>井研县疾病预防控制中心</w:t>
      </w:r>
      <w:r>
        <w:rPr>
          <w:rFonts w:ascii="楷体" w:hAnsi="楷体" w:eastAsia="楷体" w:cs="楷体"/>
          <w:sz w:val="32"/>
          <w:u w:color="auto"/>
        </w:rPr>
        <w:t>单位重点工作。</w:t>
      </w:r>
    </w:p>
    <w:p w14:paraId="0A733DD9">
      <w:pPr>
        <w:spacing w:line="580" w:lineRule="exact"/>
        <w:ind w:firstLine="640" w:firstLineChars="200"/>
        <w:jc w:val="left"/>
        <w:outlineLvl w:val="2"/>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lang w:val="en-US" w:eastAsia="zh-CN"/>
        </w:rPr>
        <w:t>1、</w:t>
      </w:r>
      <w:r>
        <w:rPr>
          <w:rFonts w:hint="eastAsia" w:ascii="方正仿宋_GB2312" w:hAnsi="方正仿宋_GB2312" w:eastAsia="方正仿宋_GB2312" w:cs="方正仿宋_GB2312"/>
          <w:b w:val="0"/>
          <w:bCs/>
          <w:sz w:val="32"/>
          <w:szCs w:val="32"/>
        </w:rPr>
        <w:t>深化疾控体系改革，健全协同机制。全面落实医疗机构疾控监督员制度，细化《医疗机构传染病防控责任清单》，推动医防协同从“有形覆盖”向“有效运行”转变。</w:t>
      </w:r>
    </w:p>
    <w:p w14:paraId="3021EAF5">
      <w:pPr>
        <w:spacing w:line="580" w:lineRule="exact"/>
        <w:ind w:firstLine="640" w:firstLineChars="200"/>
        <w:jc w:val="left"/>
        <w:outlineLvl w:val="2"/>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lang w:val="en-US" w:eastAsia="zh-CN"/>
        </w:rPr>
        <w:t>2、</w:t>
      </w:r>
      <w:r>
        <w:rPr>
          <w:rFonts w:hint="eastAsia" w:ascii="方正仿宋_GB2312" w:hAnsi="方正仿宋_GB2312" w:eastAsia="方正仿宋_GB2312" w:cs="方正仿宋_GB2312"/>
          <w:b w:val="0"/>
          <w:bCs/>
          <w:sz w:val="32"/>
          <w:szCs w:val="32"/>
        </w:rPr>
        <w:t>聚焦重点传染病，实施精准防控：持续加大结核病主动筛查力度，强化学校等重点场所防控。</w:t>
      </w:r>
    </w:p>
    <w:p w14:paraId="6F421C95">
      <w:pPr>
        <w:spacing w:line="580" w:lineRule="exact"/>
        <w:ind w:firstLine="640" w:firstLineChars="200"/>
        <w:jc w:val="left"/>
        <w:outlineLvl w:val="2"/>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lang w:val="en-US" w:eastAsia="zh-CN"/>
        </w:rPr>
        <w:t>3、</w:t>
      </w:r>
      <w:r>
        <w:rPr>
          <w:rFonts w:hint="eastAsia" w:ascii="方正仿宋_GB2312" w:hAnsi="方正仿宋_GB2312" w:eastAsia="方正仿宋_GB2312" w:cs="方正仿宋_GB2312"/>
          <w:b w:val="0"/>
          <w:bCs/>
          <w:sz w:val="32"/>
          <w:szCs w:val="32"/>
        </w:rPr>
        <w:t>筑牢免疫屏障，优化服务模式。持续推进预防接种门诊数字化、智能化建设。加强入学入托接种证查验，重点做好麻疹、脊髓灰质炎等疫苗的查漏补种。</w:t>
      </w:r>
    </w:p>
    <w:p w14:paraId="5515E9D3">
      <w:pPr>
        <w:spacing w:line="580" w:lineRule="exact"/>
        <w:ind w:firstLine="640" w:firstLineChars="200"/>
        <w:jc w:val="left"/>
        <w:outlineLvl w:val="2"/>
        <w:rPr>
          <w:rFonts w:hint="eastAsia" w:ascii="方正仿宋_GB2312" w:hAnsi="方正仿宋_GB2312" w:eastAsia="方正仿宋_GB2312" w:cs="方正仿宋_GB2312"/>
          <w:b w:val="0"/>
          <w:bCs/>
          <w:sz w:val="32"/>
          <w:szCs w:val="32"/>
        </w:rPr>
      </w:pPr>
      <w:r>
        <w:rPr>
          <w:rFonts w:hint="eastAsia" w:ascii="方正仿宋_GB2312" w:hAnsi="方正仿宋_GB2312" w:eastAsia="方正仿宋_GB2312" w:cs="方正仿宋_GB2312"/>
          <w:b w:val="0"/>
          <w:bCs/>
          <w:sz w:val="32"/>
          <w:szCs w:val="32"/>
          <w:lang w:val="en-US" w:eastAsia="zh-CN"/>
        </w:rPr>
        <w:t>4、</w:t>
      </w:r>
      <w:r>
        <w:rPr>
          <w:rFonts w:hint="eastAsia" w:ascii="方正仿宋_GB2312" w:hAnsi="方正仿宋_GB2312" w:eastAsia="方正仿宋_GB2312" w:cs="方正仿宋_GB2312"/>
          <w:b w:val="0"/>
          <w:bCs/>
          <w:sz w:val="32"/>
          <w:szCs w:val="32"/>
        </w:rPr>
        <w:t>强化能力建设，补齐人才短板。积极争取编制资源，加强流行病学、检验检测等紧缺人才的引进与培养。常态化开展“大练兵、大比武”活动，提升卫生应急实战能力。</w:t>
      </w:r>
    </w:p>
    <w:p w14:paraId="55979D41">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二、部门概况</w:t>
      </w:r>
    </w:p>
    <w:p w14:paraId="0A37894F">
      <w:pPr>
        <w:pStyle w:val="5"/>
        <w:widowControl/>
        <w:spacing w:before="0" w:beforeAutospacing="0" w:after="0" w:afterAutospacing="0" w:line="600" w:lineRule="exact"/>
        <w:ind w:firstLine="640" w:firstLineChars="200"/>
        <w:outlineLvl w:val="1"/>
        <w:rPr>
          <w:rFonts w:hint="default" w:ascii="方正仿宋_GB2312" w:hAnsi="方正仿宋_GB2312" w:eastAsia="方正仿宋_GB2312" w:cs="方正仿宋_GB2312"/>
          <w:bCs/>
          <w:kern w:val="2"/>
          <w:sz w:val="32"/>
          <w:szCs w:val="32"/>
          <w:lang w:val="en-US" w:eastAsia="zh-CN" w:bidi="ar-SA"/>
        </w:rPr>
      </w:pPr>
      <w:r>
        <w:rPr>
          <w:rFonts w:hint="eastAsia" w:ascii="方正仿宋_GB2312" w:hAnsi="方正仿宋_GB2312" w:eastAsia="方正仿宋_GB2312" w:cs="方正仿宋_GB2312"/>
          <w:bCs/>
          <w:kern w:val="2"/>
          <w:sz w:val="32"/>
          <w:szCs w:val="32"/>
          <w:lang w:val="en-US" w:eastAsia="zh-CN" w:bidi="ar-SA"/>
        </w:rPr>
        <w:t>井研县疾病预防和控制中心是隶属于井研县卫生健康局的二级预算单位，本单位无下属预算单位。</w:t>
      </w:r>
    </w:p>
    <w:p w14:paraId="56F86116">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三、收支预算总体情况</w:t>
      </w:r>
    </w:p>
    <w:p w14:paraId="3CA3C227">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按照综合预算的原则，</w:t>
      </w:r>
      <w:r>
        <w:rPr>
          <w:rFonts w:hint="eastAsia" w:ascii="方正仿宋_GB2312" w:hAnsi="方正仿宋_GB2312" w:eastAsia="方正仿宋_GB2312" w:cs="方正仿宋_GB2312"/>
          <w:sz w:val="32"/>
          <w:u w:color="auto"/>
          <w:lang w:eastAsia="zh-CN"/>
        </w:rPr>
        <w:t>井研县疾病预防控制中心</w:t>
      </w:r>
      <w:r>
        <w:rPr>
          <w:rFonts w:ascii="方正仿宋_GB2312" w:hAnsi="方正仿宋_GB2312" w:eastAsia="方正仿宋_GB2312" w:cs="方正仿宋_GB2312"/>
          <w:sz w:val="32"/>
          <w:u w:color="auto"/>
        </w:rPr>
        <w:t>所有收入和支出均纳入单位预算管理。</w:t>
      </w:r>
      <w:r>
        <w:rPr>
          <w:rFonts w:hint="eastAsia" w:ascii="方正仿宋_GB2312" w:hAnsi="方正仿宋_GB2312" w:eastAsia="方正仿宋_GB2312" w:cs="方正仿宋_GB2312"/>
          <w:sz w:val="32"/>
          <w:u w:color="auto"/>
          <w:lang w:eastAsia="zh-CN"/>
        </w:rPr>
        <w:t>井研县疾病预防控制中心</w:t>
      </w:r>
      <w:r>
        <w:rPr>
          <w:rFonts w:ascii="方正仿宋_GB2312" w:hAnsi="方正仿宋_GB2312" w:eastAsia="方正仿宋_GB2312" w:cs="方正仿宋_GB2312"/>
          <w:sz w:val="32"/>
          <w:u w:color="auto"/>
        </w:rPr>
        <w:t>2026年收支预算总数</w:t>
      </w:r>
      <w:r>
        <w:rPr>
          <w:rFonts w:hint="eastAsia" w:ascii="方正仿宋_GB2312" w:hAnsi="方正仿宋_GB2312" w:eastAsia="方正仿宋_GB2312" w:cs="方正仿宋_GB2312"/>
          <w:sz w:val="32"/>
          <w:u w:color="auto"/>
        </w:rPr>
        <w:t>2976</w:t>
      </w:r>
      <w:r>
        <w:rPr>
          <w:rFonts w:hint="eastAsia" w:ascii="方正仿宋_GB2312" w:hAnsi="方正仿宋_GB2312" w:eastAsia="方正仿宋_GB2312" w:cs="方正仿宋_GB2312"/>
          <w:sz w:val="32"/>
          <w:u w:color="auto"/>
          <w:lang w:val="en-US" w:eastAsia="zh-CN"/>
        </w:rPr>
        <w:t>.</w:t>
      </w:r>
      <w:r>
        <w:rPr>
          <w:rFonts w:hint="eastAsia" w:ascii="方正仿宋_GB2312" w:hAnsi="方正仿宋_GB2312" w:eastAsia="方正仿宋_GB2312" w:cs="方正仿宋_GB2312"/>
          <w:sz w:val="32"/>
          <w:u w:color="auto"/>
        </w:rPr>
        <w:t>4</w:t>
      </w:r>
      <w:r>
        <w:rPr>
          <w:rFonts w:hint="eastAsia" w:ascii="方正仿宋_GB2312" w:hAnsi="方正仿宋_GB2312" w:eastAsia="方正仿宋_GB2312" w:cs="方正仿宋_GB2312"/>
          <w:sz w:val="32"/>
          <w:u w:color="auto"/>
          <w:lang w:val="en-US" w:eastAsia="zh-CN"/>
        </w:rPr>
        <w:t>2</w:t>
      </w:r>
      <w:r>
        <w:rPr>
          <w:rFonts w:ascii="方正仿宋_GB2312" w:hAnsi="方正仿宋_GB2312" w:eastAsia="方正仿宋_GB2312" w:cs="方正仿宋_GB2312"/>
          <w:sz w:val="32"/>
          <w:u w:color="auto"/>
        </w:rPr>
        <w:t>万元，比2025年增加951.71万元</w:t>
      </w:r>
      <w:r>
        <w:rPr>
          <w:rFonts w:hint="eastAsia" w:ascii="方正仿宋_GB2312" w:hAnsi="方正仿宋_GB2312" w:eastAsia="方正仿宋_GB2312" w:cs="方正仿宋_GB2312"/>
          <w:sz w:val="32"/>
          <w:szCs w:val="32"/>
          <w:lang w:eastAsia="zh-CN"/>
        </w:rPr>
        <w:t>。井研县疾病预防控制中心</w:t>
      </w:r>
      <w:r>
        <w:rPr>
          <w:rFonts w:ascii="方正仿宋_GB2312" w:hAnsi="方正仿宋_GB2312" w:eastAsia="方正仿宋_GB2312" w:cs="方正仿宋_GB2312"/>
          <w:sz w:val="32"/>
          <w:u w:color="auto"/>
        </w:rPr>
        <w:t>2026年收入预算2976.42万元，其中：上年结转1017.52万元，占34.19%；一般公共预算拨款收入1158.9</w:t>
      </w:r>
      <w:r>
        <w:rPr>
          <w:rFonts w:hint="eastAsia" w:ascii="方正仿宋_GB2312" w:hAnsi="方正仿宋_GB2312" w:eastAsia="方正仿宋_GB2312" w:cs="方正仿宋_GB2312"/>
          <w:sz w:val="32"/>
          <w:u w:color="auto"/>
          <w:lang w:val="en-US" w:eastAsia="zh-CN"/>
        </w:rPr>
        <w:t>0</w:t>
      </w:r>
      <w:r>
        <w:rPr>
          <w:rFonts w:ascii="方正仿宋_GB2312" w:hAnsi="方正仿宋_GB2312" w:eastAsia="方正仿宋_GB2312" w:cs="方正仿宋_GB2312"/>
          <w:sz w:val="32"/>
          <w:u w:color="auto"/>
        </w:rPr>
        <w:t>万元，占38.94%；事业收入800.0万元，占26.88%。</w:t>
      </w:r>
      <w:r>
        <w:rPr>
          <w:rFonts w:hint="eastAsia" w:ascii="方正仿宋_GB2312" w:hAnsi="方正仿宋_GB2312" w:eastAsia="方正仿宋_GB2312" w:cs="方正仿宋_GB2312"/>
          <w:sz w:val="32"/>
          <w:szCs w:val="32"/>
          <w:lang w:eastAsia="zh-CN"/>
        </w:rPr>
        <w:t>。相应安排</w:t>
      </w:r>
      <w:r>
        <w:rPr>
          <w:rFonts w:hint="eastAsia" w:ascii="方正仿宋_GB2312" w:hAnsi="方正仿宋_GB2312" w:eastAsia="方正仿宋_GB2312" w:cs="方正仿宋_GB2312"/>
          <w:sz w:val="32"/>
          <w:szCs w:val="32"/>
        </w:rPr>
        <w:t>支出预算</w:t>
      </w:r>
      <w:r>
        <w:rPr>
          <w:rFonts w:ascii="方正仿宋_GB2312" w:hAnsi="方正仿宋_GB2312" w:eastAsia="方正仿宋_GB2312" w:cs="方正仿宋_GB2312"/>
          <w:sz w:val="32"/>
          <w:u w:color="auto"/>
        </w:rPr>
        <w:t>2976.42万元，其中：基本支出998.42万元，占33.54%；项目支出1978.0万元，占66.46%。</w:t>
      </w:r>
    </w:p>
    <w:p w14:paraId="67302901">
      <w:pPr>
        <w:pStyle w:val="5"/>
        <w:widowControl/>
        <w:spacing w:before="0" w:beforeAutospacing="0" w:after="0" w:afterAutospacing="0" w:line="600" w:lineRule="exact"/>
        <w:ind w:firstLine="640" w:firstLineChars="200"/>
        <w:outlineLvl w:val="1"/>
        <w:rPr>
          <w:rFonts w:hint="eastAsia" w:ascii="方正仿宋_GB2312" w:hAnsi="方正仿宋_GB2312" w:eastAsia="方正仿宋_GB2312" w:cs="方正仿宋_GB2312"/>
          <w:sz w:val="32"/>
          <w:szCs w:val="32"/>
        </w:rPr>
      </w:pPr>
      <w:r>
        <w:rPr>
          <w:rFonts w:hint="eastAsia" w:ascii="黑体" w:hAnsi="黑体" w:eastAsia="黑体" w:cs="黑体"/>
          <w:sz w:val="32"/>
          <w:szCs w:val="32"/>
        </w:rPr>
        <w:t>四、财政拨款支</w:t>
      </w:r>
      <w:r>
        <w:rPr>
          <w:rFonts w:hint="eastAsia" w:ascii="黑体" w:hAnsi="黑体" w:eastAsia="黑体" w:cs="黑体"/>
          <w:sz w:val="32"/>
          <w:szCs w:val="32"/>
          <w:lang w:val="en-US" w:eastAsia="zh-CN"/>
        </w:rPr>
        <w:t>出</w:t>
      </w:r>
      <w:r>
        <w:rPr>
          <w:rFonts w:hint="eastAsia" w:ascii="黑体" w:hAnsi="黑体" w:eastAsia="黑体" w:cs="黑体"/>
          <w:sz w:val="32"/>
          <w:szCs w:val="32"/>
        </w:rPr>
        <w:t>预算情况说明</w:t>
      </w:r>
    </w:p>
    <w:p w14:paraId="3420053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eastAsia="zh-CN"/>
        </w:rPr>
        <w:t>井研县疾病预防控制中心</w:t>
      </w:r>
      <w:r>
        <w:rPr>
          <w:rFonts w:ascii="方正仿宋_GB2312" w:hAnsi="方正仿宋_GB2312" w:eastAsia="方正仿宋_GB2312" w:cs="方正仿宋_GB2312"/>
          <w:sz w:val="32"/>
          <w:u w:color="auto"/>
        </w:rPr>
        <w:t>2026年财政拨款收支预算总数2176.42万元，比2025年财政拨款收支预算总数增加1151.71万元。</w:t>
      </w:r>
    </w:p>
    <w:p w14:paraId="2122AD5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基本支出，是用于保障机关、下属事业单位等机构正常运转的日常支出，包括基本工资、津贴补贴等人员经费以及办公费、印刷费、水电费、办公设备购置等日常公用经费。</w:t>
      </w:r>
    </w:p>
    <w:p w14:paraId="02C9DC14">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项目支出，是用于保障机关、下属事业单位等机构为完成特定的行政工作任务或事业发展目标，用于专项业务工作的经费支出。</w:t>
      </w:r>
    </w:p>
    <w:p w14:paraId="29D28AE0">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14:paraId="3BBE6CF8">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（一）一般公共预算当年拨款规模变化情况</w:t>
      </w:r>
    </w:p>
    <w:p w14:paraId="1381290F">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eastAsia="zh-CN"/>
        </w:rPr>
        <w:t>井研县疾病预防控制中心</w:t>
      </w:r>
      <w:r>
        <w:rPr>
          <w:rFonts w:ascii="方正仿宋_GB2312" w:hAnsi="方正仿宋_GB2312" w:eastAsia="方正仿宋_GB2312" w:cs="方正仿宋_GB2312"/>
          <w:sz w:val="32"/>
          <w:u w:color="auto"/>
        </w:rPr>
        <w:t>2026年一般公共预算当年拨款1158.9</w:t>
      </w:r>
      <w:r>
        <w:rPr>
          <w:rFonts w:hint="eastAsia" w:ascii="方正仿宋_GB2312" w:hAnsi="方正仿宋_GB2312" w:eastAsia="方正仿宋_GB2312" w:cs="方正仿宋_GB2312"/>
          <w:sz w:val="32"/>
          <w:u w:color="auto"/>
          <w:lang w:val="en-US" w:eastAsia="zh-CN"/>
        </w:rPr>
        <w:t>0</w:t>
      </w:r>
      <w:r>
        <w:rPr>
          <w:rFonts w:ascii="方正仿宋_GB2312" w:hAnsi="方正仿宋_GB2312" w:eastAsia="方正仿宋_GB2312" w:cs="方正仿宋_GB2312"/>
          <w:sz w:val="32"/>
          <w:u w:color="auto"/>
        </w:rPr>
        <w:t>万元，比2025年预算数增加134.19万元。主要原因是项目增加。</w:t>
      </w:r>
    </w:p>
    <w:p w14:paraId="3DF98889">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（二）一般公共预算当年拨款结构情况</w:t>
      </w:r>
    </w:p>
    <w:p w14:paraId="1537954E">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卫生健康支出1005.65万元，占81.09%、 住房保障支出85.14万元，占6.87%、 社会保障和就业支出149.36万元，占12.04%。</w:t>
      </w:r>
    </w:p>
    <w:p w14:paraId="35F628EF">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（三）一般公共预算当年拨款具体使用情况</w:t>
      </w:r>
    </w:p>
    <w:p w14:paraId="5FA3858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1.社会保障和就业支出（类）行政事业单位养老支出（款）机关事业单位基本养老保险缴费支出（项）2026年预算数为99.58万元，主要用于：机关事业单位实施养老保险制度由单位缴纳的基本养老保险费支出。</w:t>
      </w:r>
      <w:r>
        <w:rPr>
          <w:rFonts w:hint="eastAsia" w:ascii="方正仿宋_GB2312" w:hAnsi="方正仿宋_GB2312" w:eastAsia="方正仿宋_GB2312" w:cs="方正仿宋_GB2312"/>
          <w:sz w:val="32"/>
          <w:szCs w:val="32"/>
        </w:rPr>
        <w:cr/>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2.社会保障和就业支出（类）行政事业单位养老支出（款）机关事业单位职业年金缴费支出（项）2026年预算数为49.79万元，主要用于：机关事业单位实施养老保险制度由单位实际缴纳的职业年金支出。</w:t>
      </w:r>
      <w:r>
        <w:rPr>
          <w:rFonts w:hint="eastAsia" w:ascii="方正仿宋_GB2312" w:hAnsi="方正仿宋_GB2312" w:eastAsia="方正仿宋_GB2312" w:cs="方正仿宋_GB2312"/>
          <w:sz w:val="32"/>
          <w:szCs w:val="32"/>
        </w:rPr>
        <w:cr/>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3.卫生健康支出（类）公共卫生（款）疾病预防控制机构（项）2026年预算数为814.2万元，主要用于：卫生健康部门所属疾病预防控制机构的支出。</w:t>
      </w:r>
      <w:r>
        <w:rPr>
          <w:rFonts w:hint="eastAsia" w:ascii="方正仿宋_GB2312" w:hAnsi="方正仿宋_GB2312" w:eastAsia="方正仿宋_GB2312" w:cs="方正仿宋_GB2312"/>
          <w:sz w:val="32"/>
          <w:szCs w:val="32"/>
        </w:rPr>
        <w:cr/>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4.卫生健康支出（类）公共卫生（款）重大公共卫生服务（项）2026年预算数为74.4万元，主要用于：重大疾病、重大传染病预防控制等重大公共卫生服务项目支出。</w:t>
      </w:r>
      <w:r>
        <w:rPr>
          <w:rFonts w:hint="eastAsia" w:ascii="方正仿宋_GB2312" w:hAnsi="方正仿宋_GB2312" w:eastAsia="方正仿宋_GB2312" w:cs="方正仿宋_GB2312"/>
          <w:sz w:val="32"/>
          <w:szCs w:val="32"/>
        </w:rPr>
        <w:cr/>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5.卫生健康支出（类）行政事业单位医疗（款）行政单位医疗（项）2026年预算数为2.65万元，主要用于：财政部门安排的行政单位（包括实行公务员管理的事业单位，下同）基本医疗保险缴费经费，未参加医疗保险的行政单位的公费医疗经费，按国家规定享受离休人员、红军老战士待遇人员的医疗经费。</w:t>
      </w:r>
      <w:r>
        <w:rPr>
          <w:rFonts w:hint="eastAsia" w:ascii="方正仿宋_GB2312" w:hAnsi="方正仿宋_GB2312" w:eastAsia="方正仿宋_GB2312" w:cs="方正仿宋_GB2312"/>
          <w:sz w:val="32"/>
          <w:szCs w:val="32"/>
        </w:rPr>
        <w:cr/>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6.卫生健康支出（类）行政事业单位医疗（款）事业单位医疗（项）2026年预算数为27.28万元，主要用于：财政部门安排的事业单位基本医疗保险缴费经费，未参加医疗保险的事业单位的公费医疗经费，按国家规定享受离休人员待遇的医疗经费。</w:t>
      </w:r>
      <w:r>
        <w:rPr>
          <w:rFonts w:hint="eastAsia" w:ascii="方正仿宋_GB2312" w:hAnsi="方正仿宋_GB2312" w:eastAsia="方正仿宋_GB2312" w:cs="方正仿宋_GB2312"/>
          <w:sz w:val="32"/>
          <w:szCs w:val="32"/>
        </w:rPr>
        <w:cr/>
      </w:r>
      <w:r>
        <w:rPr>
          <w:rFonts w:hint="eastAsia" w:ascii="仿宋" w:hAnsi="仿宋" w:eastAsia="仿宋" w:cs="仿宋"/>
          <w:sz w:val="32"/>
          <w:szCs w:val="32"/>
          <w:lang w:val="en-US" w:eastAsia="zh-CN"/>
        </w:rPr>
        <w:t xml:space="preserve">    7.</w:t>
      </w:r>
      <w:r>
        <w:rPr>
          <w:rFonts w:hint="eastAsia" w:ascii="仿宋" w:hAnsi="仿宋" w:eastAsia="仿宋" w:cs="仿宋"/>
          <w:sz w:val="32"/>
          <w:szCs w:val="32"/>
        </w:rPr>
        <w:t>卫生健康支出（类）行政事业单位医疗（款）公务员医疗补助（项）2026年预算数为0.54万元，主要用于：财政部门安排的公务员医疗补助经费。</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方正仿宋_GB2312" w:hAnsi="方正仿宋_GB2312" w:eastAsia="方正仿宋_GB2312" w:cs="方正仿宋_GB2312"/>
          <w:sz w:val="32"/>
          <w:szCs w:val="32"/>
        </w:rPr>
        <w:t>8.卫生健康支出（类）行政事业单位医疗（款）其他行政事业单位医疗支出（项）2026年预算数为5.34万元，主要用于：除上述项目以外的其他用于行政事业单位医疗方面的支出。</w:t>
      </w:r>
      <w:r>
        <w:rPr>
          <w:rFonts w:hint="eastAsia" w:ascii="方正仿宋_GB2312" w:hAnsi="方正仿宋_GB2312" w:eastAsia="方正仿宋_GB2312" w:cs="方正仿宋_GB2312"/>
          <w:sz w:val="32"/>
          <w:szCs w:val="32"/>
        </w:rPr>
        <w:cr/>
      </w:r>
      <w:r>
        <w:rPr>
          <w:rFonts w:hint="eastAsia" w:ascii="方正仿宋_GB2312" w:hAnsi="方正仿宋_GB2312" w:eastAsia="方正仿宋_GB2312" w:cs="方正仿宋_GB2312"/>
          <w:sz w:val="32"/>
          <w:szCs w:val="32"/>
          <w:lang w:val="en-US" w:eastAsia="zh-CN"/>
        </w:rPr>
        <w:t xml:space="preserve">    </w:t>
      </w:r>
      <w:r>
        <w:rPr>
          <w:rFonts w:hint="eastAsia" w:ascii="方正仿宋_GB2312" w:hAnsi="方正仿宋_GB2312" w:eastAsia="方正仿宋_GB2312" w:cs="方正仿宋_GB2312"/>
          <w:sz w:val="32"/>
          <w:szCs w:val="32"/>
        </w:rPr>
        <w:t>9.住房保障支出（类）住房改革支出（款）住房公积金（项）2026年预算数为85.14万元，主要用于：行政事业单位按人力资源和社会保障部、财政部规定的基本工资和津贴补贴以及规定比例为职工缴纳的住房公积金。</w:t>
      </w:r>
      <w:r>
        <w:rPr>
          <w:rFonts w:hint="eastAsia" w:ascii="方正仿宋_GB2312" w:hAnsi="方正仿宋_GB2312" w:eastAsia="方正仿宋_GB2312" w:cs="方正仿宋_GB2312"/>
          <w:sz w:val="32"/>
          <w:szCs w:val="32"/>
        </w:rPr>
        <w:cr/>
      </w:r>
    </w:p>
    <w:p w14:paraId="7E1D4DCA">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14:paraId="0C2D7C0C">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eastAsia="zh-CN"/>
        </w:rPr>
        <w:t>井研县疾病预防控制中心</w:t>
      </w:r>
      <w:r>
        <w:rPr>
          <w:rFonts w:ascii="方正仿宋_GB2312" w:hAnsi="方正仿宋_GB2312" w:eastAsia="方正仿宋_GB2312" w:cs="方正仿宋_GB2312"/>
          <w:sz w:val="32"/>
          <w:u w:color="auto"/>
        </w:rPr>
        <w:t>2026年一般公共预算基本支出998.42万元，其中：</w:t>
      </w:r>
    </w:p>
    <w:p w14:paraId="034072EB">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人员经费 </w:t>
      </w:r>
      <w:r>
        <w:rPr>
          <w:rFonts w:ascii="方正仿宋_GB2312" w:hAnsi="方正仿宋_GB2312" w:eastAsia="方正仿宋_GB2312" w:cs="方正仿宋_GB2312"/>
          <w:sz w:val="32"/>
          <w:u w:color="auto"/>
        </w:rPr>
        <w:t>918.37万元，主要包括：基本工资、津贴补贴、奖金、绩效工资、机关事业单位基本养老保险缴费、职业年金缴费、职工基本医疗保险缴费、公务员医疗补助缴费、其他社会保障缴费、住房公积金、生活补助、奖励金。</w:t>
      </w:r>
    </w:p>
    <w:p w14:paraId="375C9D4A">
      <w:pPr>
        <w:spacing w:line="580"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公用经费 </w:t>
      </w:r>
      <w:r>
        <w:rPr>
          <w:rFonts w:ascii="方正仿宋_GB2312" w:hAnsi="方正仿宋_GB2312" w:eastAsia="方正仿宋_GB2312" w:cs="方正仿宋_GB2312"/>
          <w:sz w:val="32"/>
          <w:u w:color="auto"/>
        </w:rPr>
        <w:t>80.04万元，主要包括：办公费、印刷费、水费、电费、邮电费、差旅费、维修（护）费、公务接待费、劳务费、工会经费、公务用车运行维护费、其他交通费用、其他商品和服务支出。</w:t>
      </w:r>
    </w:p>
    <w:p w14:paraId="78D15BDE">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七、政府性基金预算支出规模及变化情况说明</w:t>
      </w:r>
    </w:p>
    <w:p w14:paraId="1935895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eastAsia="zh-CN"/>
        </w:rPr>
        <w:t>井研县疾病预防控制中心</w:t>
      </w:r>
      <w:r>
        <w:rPr>
          <w:rFonts w:hint="eastAsia" w:ascii="方正仿宋_GB2312" w:hAnsi="方正仿宋_GB2312" w:eastAsia="方正仿宋_GB2312" w:cs="方正仿宋_GB2312"/>
          <w:sz w:val="32"/>
          <w:szCs w:val="32"/>
          <w:highlight w:val="none"/>
        </w:rPr>
        <w:t>2026年使用政府性基金预算拨款安排的支出</w:t>
      </w:r>
      <w:r>
        <w:rPr>
          <w:rFonts w:hint="eastAsia" w:ascii="方正仿宋_GB2312" w:hAnsi="方正仿宋_GB2312" w:eastAsia="方正仿宋_GB2312" w:cs="方正仿宋_GB2312"/>
          <w:sz w:val="32"/>
          <w:szCs w:val="32"/>
          <w:highlight w:val="none"/>
          <w:lang w:val="en-US" w:eastAsia="zh-CN"/>
        </w:rPr>
        <w:t>936.27万元。</w:t>
      </w:r>
      <w:r>
        <w:rPr>
          <w:rFonts w:hint="eastAsia" w:ascii="方正仿宋_GB2312" w:hAnsi="方正仿宋_GB2312" w:eastAsia="方正仿宋_GB2312" w:cs="方正仿宋_GB2312"/>
          <w:sz w:val="32"/>
          <w:szCs w:val="32"/>
        </w:rPr>
        <w:t>其中：基本支出0万元，项目支出936</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sz w:val="32"/>
          <w:szCs w:val="32"/>
        </w:rPr>
        <w:t>2</w:t>
      </w:r>
      <w:r>
        <w:rPr>
          <w:rFonts w:hint="eastAsia" w:ascii="方正仿宋_GB2312" w:hAnsi="方正仿宋_GB2312" w:eastAsia="方正仿宋_GB2312" w:cs="方正仿宋_GB2312"/>
          <w:sz w:val="32"/>
          <w:szCs w:val="32"/>
          <w:lang w:val="en-US" w:eastAsia="zh-CN"/>
        </w:rPr>
        <w:t>7</w:t>
      </w:r>
      <w:r>
        <w:rPr>
          <w:rFonts w:hint="eastAsia" w:ascii="方正仿宋_GB2312" w:hAnsi="方正仿宋_GB2312" w:eastAsia="方正仿宋_GB2312" w:cs="方正仿宋_GB2312"/>
          <w:sz w:val="32"/>
          <w:szCs w:val="32"/>
        </w:rPr>
        <w:t>万元。</w:t>
      </w:r>
    </w:p>
    <w:p w14:paraId="374AB08C">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八、国有资本经营预算情况说明</w:t>
      </w:r>
    </w:p>
    <w:p w14:paraId="3C20FB78">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eastAsia="zh-CN"/>
        </w:rPr>
        <w:t>井研县疾病预防控制中心</w:t>
      </w:r>
      <w:r>
        <w:rPr>
          <w:rFonts w:hint="eastAsia" w:ascii="方正仿宋_GB2312" w:hAnsi="方正仿宋_GB2312" w:eastAsia="方正仿宋_GB2312" w:cs="方正仿宋_GB2312"/>
          <w:sz w:val="32"/>
          <w:szCs w:val="32"/>
        </w:rPr>
        <w:t>2026年没有使用国有资本经营预算拨款安排的支出。</w:t>
      </w:r>
    </w:p>
    <w:p w14:paraId="5B963983">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九、“三公”经费财政拨款预算安排情况说明</w:t>
      </w:r>
    </w:p>
    <w:p w14:paraId="2F2E808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eastAsia="zh-CN"/>
        </w:rPr>
        <w:t>井研县疾病预防控制中心</w:t>
      </w:r>
      <w:r>
        <w:rPr>
          <w:rFonts w:hint="eastAsia" w:ascii="方正仿宋_GB2312" w:hAnsi="方正仿宋_GB2312" w:eastAsia="方正仿宋_GB2312" w:cs="方正仿宋_GB2312"/>
          <w:sz w:val="32"/>
          <w:szCs w:val="32"/>
        </w:rPr>
        <w:t>2026年“三公”经费财政拨款预算数6.2万元，其中公务接待费0.2万元，公务用车购置及运行维护费6.0万元。</w:t>
      </w:r>
    </w:p>
    <w:p w14:paraId="77953643">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1.因公出国（境）经费较上年预算0万元，与上年持平</w:t>
      </w:r>
    </w:p>
    <w:p w14:paraId="5836E4D3">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w:t>
      </w:r>
      <w:r>
        <w:rPr>
          <w:rFonts w:ascii="方正仿宋_GB2312" w:hAnsi="方正仿宋_GB2312" w:eastAsia="方正仿宋_GB2312" w:cs="方正仿宋_GB2312"/>
          <w:sz w:val="32"/>
          <w:u w:color="auto"/>
        </w:rPr>
        <w:t>公务接待费与2025年预算数持平。</w:t>
      </w:r>
    </w:p>
    <w:p w14:paraId="4C6CD719">
      <w:pPr>
        <w:tabs>
          <w:tab w:val="right" w:pos="7666"/>
        </w:tabs>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年公务接待费计划用于。</w:t>
      </w:r>
    </w:p>
    <w:p w14:paraId="3D0D8CE2">
      <w:pPr>
        <w:spacing w:line="580" w:lineRule="exact"/>
        <w:ind w:firstLine="640"/>
        <w:jc w:val="left"/>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Cs/>
          <w:sz w:val="32"/>
          <w:szCs w:val="32"/>
        </w:rPr>
        <w:t>3.</w:t>
      </w:r>
      <w:r>
        <w:rPr>
          <w:rFonts w:hint="eastAsia" w:ascii="方正仿宋_GB2312" w:hAnsi="方正仿宋_GB2312" w:eastAsia="方正仿宋_GB2312" w:cs="方正仿宋_GB2312"/>
          <w:sz w:val="32"/>
          <w:szCs w:val="32"/>
        </w:rPr>
        <w:t>公务用车购置及运行维护费与2025年预算数减少16.67%。</w:t>
      </w:r>
      <w:r>
        <w:rPr>
          <w:rFonts w:ascii="方正仿宋_GB2312" w:hAnsi="方正仿宋_GB2312" w:eastAsia="方正仿宋_GB2312" w:cs="方正仿宋_GB2312"/>
          <w:sz w:val="32"/>
          <w:u w:color="auto"/>
        </w:rPr>
        <w:t>主要原因是减少运行维护费</w:t>
      </w:r>
    </w:p>
    <w:p w14:paraId="2FBFE460">
      <w:pPr>
        <w:spacing w:line="580" w:lineRule="exact"/>
        <w:ind w:firstLine="640"/>
        <w:jc w:val="left"/>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单位现有公务用车</w:t>
      </w:r>
      <w:r>
        <w:rPr>
          <w:rFonts w:hint="eastAsia" w:ascii="方正仿宋_GB2312" w:hAnsi="方正仿宋_GB2312" w:eastAsia="方正仿宋_GB2312" w:cs="方正仿宋_GB2312"/>
          <w:sz w:val="32"/>
          <w:u w:color="auto"/>
          <w:lang w:val="en-US" w:eastAsia="zh-CN"/>
        </w:rPr>
        <w:t>4</w:t>
      </w:r>
      <w:r>
        <w:rPr>
          <w:rFonts w:ascii="方正仿宋_GB2312" w:hAnsi="方正仿宋_GB2312" w:eastAsia="方正仿宋_GB2312" w:cs="方正仿宋_GB2312"/>
          <w:sz w:val="32"/>
          <w:u w:color="auto"/>
        </w:rPr>
        <w:t>辆，其中：轿车0辆、旅行车（含商务车）0辆、越野车0辆、大型客、货车0辆</w:t>
      </w:r>
      <w:r>
        <w:rPr>
          <w:rFonts w:hint="eastAsia" w:ascii="方正仿宋_GB2312" w:hAnsi="方正仿宋_GB2312" w:eastAsia="方正仿宋_GB2312" w:cs="方正仿宋_GB2312"/>
          <w:sz w:val="32"/>
          <w:u w:color="auto"/>
          <w:lang w:eastAsia="zh-CN"/>
        </w:rPr>
        <w:t>、</w:t>
      </w:r>
      <w:r>
        <w:rPr>
          <w:rFonts w:hint="eastAsia" w:ascii="方正仿宋_GB2312" w:hAnsi="方正仿宋_GB2312" w:eastAsia="方正仿宋_GB2312" w:cs="方正仿宋_GB2312"/>
          <w:sz w:val="32"/>
          <w:u w:color="auto"/>
          <w:lang w:val="en-US" w:eastAsia="zh-CN"/>
        </w:rPr>
        <w:t>其他用车4辆。</w:t>
      </w:r>
    </w:p>
    <w:p w14:paraId="57CCA597">
      <w:pPr>
        <w:spacing w:line="580" w:lineRule="exact"/>
        <w:ind w:firstLine="640"/>
        <w:jc w:val="left"/>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年安排公务用车购置费0万元，拟购置公务用车0辆，</w:t>
      </w:r>
      <w:r>
        <w:rPr>
          <w:rFonts w:hint="eastAsia" w:ascii="方正仿宋_GB2312" w:hAnsi="方正仿宋_GB2312" w:eastAsia="方正仿宋_GB2312" w:cs="方正仿宋_GB2312"/>
          <w:sz w:val="32"/>
          <w:szCs w:val="32"/>
          <w:lang w:val="en-US" w:eastAsia="zh-CN"/>
        </w:rPr>
        <w:t>用于开展业务活动。</w:t>
      </w:r>
    </w:p>
    <w:p w14:paraId="7D596F91">
      <w:pPr>
        <w:spacing w:line="580" w:lineRule="exact"/>
        <w:ind w:firstLine="64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年安排公务用车运行维护费6.0万元，用于公务用车燃油、维修、过路过桥费、保险等方面支出。</w:t>
      </w:r>
    </w:p>
    <w:p w14:paraId="1C870E38">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十、其他重要事项的情况说明</w:t>
      </w:r>
    </w:p>
    <w:p w14:paraId="3BFECE43">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（一）机关运行经费情况</w:t>
      </w:r>
    </w:p>
    <w:p w14:paraId="17E87446">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，井研县疾病预防控制中心</w:t>
      </w:r>
      <w:r>
        <w:rPr>
          <w:rFonts w:ascii="方正仿宋_GB2312" w:hAnsi="方正仿宋_GB2312" w:eastAsia="方正仿宋_GB2312" w:cs="方正仿宋_GB2312"/>
          <w:sz w:val="32"/>
          <w:u w:color="auto"/>
        </w:rPr>
        <w:t>为保障单位运行，安排的包括办公及印刷费、邮电费、差旅费、会议费、福利费、日常维修费、专用材料及一般设备购置费、办公用房水电费、办公用房取暖费、办公用房物业管理费、公务用车运行维护费以及其他费用等机关运行经费</w:t>
      </w:r>
      <w:r>
        <w:rPr>
          <w:rFonts w:hint="eastAsia" w:ascii="方正仿宋_GB2312" w:hAnsi="方正仿宋_GB2312" w:eastAsia="方正仿宋_GB2312" w:cs="方正仿宋_GB2312"/>
          <w:sz w:val="32"/>
          <w:szCs w:val="32"/>
          <w:lang w:eastAsia="zh-CN"/>
        </w:rPr>
        <w:t>。井研县疾病预防控制中心</w:t>
      </w:r>
      <w:r>
        <w:rPr>
          <w:rFonts w:hint="eastAsia" w:ascii="方正仿宋_GB2312" w:hAnsi="方正仿宋_GB2312" w:eastAsia="方正仿宋_GB2312" w:cs="方正仿宋_GB2312"/>
          <w:sz w:val="32"/>
          <w:szCs w:val="32"/>
        </w:rPr>
        <w:t>2026年的机关运行经费财政拨款预算为80.04万元，比2025年预算数增加28.04万元。主要原因是主要原因是增加经费。</w:t>
      </w:r>
    </w:p>
    <w:p w14:paraId="2F76337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（二）政府采购情况</w:t>
      </w:r>
    </w:p>
    <w:p w14:paraId="19B76F7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2026年无政府采购项目，未安排政府采购预算。</w:t>
      </w:r>
    </w:p>
    <w:p w14:paraId="3DAED9D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（三）政府购买服务情况。</w:t>
      </w:r>
    </w:p>
    <w:p w14:paraId="5F1B8E66">
      <w:pPr>
        <w:spacing w:line="580" w:lineRule="exact"/>
        <w:ind w:firstLine="640"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，井研县疾病预防控制中心</w:t>
      </w:r>
      <w:r>
        <w:rPr>
          <w:rFonts w:hint="eastAsia" w:ascii="方正仿宋_GB2312" w:hAnsi="方正仿宋_GB2312" w:eastAsia="方正仿宋_GB2312" w:cs="方正仿宋_GB2312"/>
          <w:sz w:val="32"/>
          <w:szCs w:val="32"/>
          <w:lang w:val="en-US" w:eastAsia="zh-CN"/>
        </w:rPr>
        <w:t>未</w:t>
      </w:r>
      <w:r>
        <w:rPr>
          <w:rFonts w:hint="eastAsia" w:ascii="方正仿宋_GB2312" w:hAnsi="方正仿宋_GB2312" w:eastAsia="方正仿宋_GB2312" w:cs="方正仿宋_GB2312"/>
          <w:sz w:val="32"/>
          <w:szCs w:val="32"/>
        </w:rPr>
        <w:t>安排政府购买服务预算。</w:t>
      </w:r>
    </w:p>
    <w:p w14:paraId="3A8479ED">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（四）国有资产占有使用情况</w:t>
      </w:r>
    </w:p>
    <w:p w14:paraId="40D1FDFB">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截至</w:t>
      </w:r>
      <w:r>
        <w:rPr>
          <w:rFonts w:hint="eastAsia" w:ascii="方正仿宋_GB2312" w:hAnsi="方正仿宋_GB2312" w:eastAsia="方正仿宋_GB2312" w:cs="方正仿宋_GB2312"/>
          <w:sz w:val="32"/>
          <w:szCs w:val="32"/>
          <w:lang w:val="en-US" w:eastAsia="zh-CN"/>
        </w:rPr>
        <w:t>去</w:t>
      </w:r>
      <w:r>
        <w:rPr>
          <w:rFonts w:hint="eastAsia" w:ascii="方正仿宋_GB2312" w:hAnsi="方正仿宋_GB2312" w:eastAsia="方正仿宋_GB2312" w:cs="方正仿宋_GB2312"/>
          <w:sz w:val="32"/>
          <w:szCs w:val="32"/>
        </w:rPr>
        <w:t>年底，</w:t>
      </w:r>
      <w:r>
        <w:rPr>
          <w:rFonts w:hint="eastAsia" w:ascii="方正仿宋_GB2312" w:hAnsi="方正仿宋_GB2312" w:eastAsia="方正仿宋_GB2312" w:cs="方正仿宋_GB2312"/>
          <w:sz w:val="32"/>
          <w:u w:color="auto"/>
          <w:lang w:eastAsia="zh-CN"/>
        </w:rPr>
        <w:t>井研县疾病预防控制中心</w:t>
      </w:r>
      <w:r>
        <w:rPr>
          <w:rFonts w:ascii="方正仿宋_GB2312" w:hAnsi="方正仿宋_GB2312" w:eastAsia="方正仿宋_GB2312" w:cs="方正仿宋_GB2312"/>
          <w:sz w:val="32"/>
          <w:u w:color="auto"/>
        </w:rPr>
        <w:t>所属各预算单位共有车辆</w:t>
      </w:r>
      <w:r>
        <w:rPr>
          <w:rFonts w:hint="eastAsia" w:ascii="方正仿宋_GB2312" w:hAnsi="方正仿宋_GB2312" w:eastAsia="方正仿宋_GB2312" w:cs="方正仿宋_GB2312"/>
          <w:sz w:val="32"/>
          <w:u w:color="auto"/>
          <w:lang w:val="en-US" w:eastAsia="zh-CN"/>
        </w:rPr>
        <w:t>4</w:t>
      </w:r>
      <w:bookmarkStart w:id="0" w:name="_GoBack"/>
      <w:bookmarkEnd w:id="0"/>
      <w:r>
        <w:rPr>
          <w:rFonts w:ascii="方正仿宋_GB2312" w:hAnsi="方正仿宋_GB2312" w:eastAsia="方正仿宋_GB2312" w:cs="方正仿宋_GB2312"/>
          <w:sz w:val="32"/>
          <w:u w:color="auto"/>
        </w:rPr>
        <w:t>辆。单位价值200万元以上大型设备0台（套）。</w:t>
      </w:r>
    </w:p>
    <w:p w14:paraId="77D3DE7A">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2026年单位预算未安排购置车辆及单位价值200万元以上大型设备。</w:t>
      </w:r>
    </w:p>
    <w:p w14:paraId="6B1DEAC3">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（五）绩效目标设置情况</w:t>
      </w:r>
    </w:p>
    <w:p w14:paraId="66BA95E5">
      <w:pPr>
        <w:spacing w:line="578" w:lineRule="exact"/>
        <w:ind w:firstLine="640" w:firstLineChars="200"/>
        <w:jc w:val="left"/>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2026</w:t>
      </w:r>
      <w:r>
        <w:rPr>
          <w:rFonts w:ascii="方正仿宋_GB2312" w:hAnsi="方正仿宋_GB2312" w:eastAsia="方正仿宋_GB2312" w:cs="方正仿宋_GB2312"/>
          <w:sz w:val="32"/>
          <w:u w:color="auto"/>
        </w:rPr>
        <w:t>年</w:t>
      </w:r>
      <w:r>
        <w:rPr>
          <w:rFonts w:hint="eastAsia" w:ascii="方正仿宋_GB2312" w:hAnsi="方正仿宋_GB2312" w:eastAsia="方正仿宋_GB2312" w:cs="方正仿宋_GB2312"/>
          <w:sz w:val="32"/>
          <w:szCs w:val="32"/>
          <w:lang w:eastAsia="zh-CN"/>
        </w:rPr>
        <w:t>，井研县疾病预防控制中心</w:t>
      </w:r>
      <w:r>
        <w:rPr>
          <w:rFonts w:ascii="方正仿宋_GB2312" w:hAnsi="方正仿宋_GB2312" w:eastAsia="方正仿宋_GB2312" w:cs="方正仿宋_GB2312"/>
          <w:sz w:val="32"/>
          <w:u w:color="auto"/>
        </w:rPr>
        <w:t>按要求实行绩效目标管理，部门整体绩效目标涉及预算安排</w:t>
      </w:r>
      <w:r>
        <w:rPr>
          <w:rFonts w:hint="eastAsia" w:ascii="方正仿宋_GB2312" w:hAnsi="方正仿宋_GB2312" w:eastAsia="方正仿宋_GB2312" w:cs="方正仿宋_GB2312"/>
          <w:sz w:val="32"/>
          <w:highlight w:val="none"/>
          <w:u w:color="auto"/>
          <w:lang w:val="en-US" w:eastAsia="zh-CN"/>
        </w:rPr>
        <w:t>1040.53</w:t>
      </w:r>
      <w:r>
        <w:rPr>
          <w:rFonts w:ascii="方正仿宋_GB2312" w:hAnsi="方正仿宋_GB2312" w:eastAsia="方正仿宋_GB2312" w:cs="方正仿宋_GB2312"/>
          <w:sz w:val="32"/>
          <w:highlight w:val="none"/>
          <w:u w:color="auto"/>
        </w:rPr>
        <w:t>万元。开展绩效目标管理的项目</w:t>
      </w:r>
      <w:r>
        <w:rPr>
          <w:rFonts w:hint="eastAsia" w:ascii="方正仿宋_GB2312" w:hAnsi="方正仿宋_GB2312" w:eastAsia="方正仿宋_GB2312" w:cs="方正仿宋_GB2312"/>
          <w:sz w:val="32"/>
          <w:highlight w:val="none"/>
          <w:u w:color="auto"/>
          <w:lang w:val="en-US" w:eastAsia="zh-CN"/>
        </w:rPr>
        <w:t>16</w:t>
      </w:r>
      <w:r>
        <w:rPr>
          <w:rFonts w:ascii="方正仿宋_GB2312" w:hAnsi="方正仿宋_GB2312" w:eastAsia="方正仿宋_GB2312" w:cs="方正仿宋_GB2312"/>
          <w:sz w:val="32"/>
          <w:highlight w:val="none"/>
          <w:u w:color="auto"/>
        </w:rPr>
        <w:t>个，涉及预算</w:t>
      </w:r>
      <w:r>
        <w:rPr>
          <w:rFonts w:hint="eastAsia" w:ascii="方正仿宋_GB2312" w:hAnsi="方正仿宋_GB2312" w:eastAsia="方正仿宋_GB2312" w:cs="方正仿宋_GB2312"/>
          <w:sz w:val="32"/>
          <w:highlight w:val="none"/>
          <w:u w:color="auto"/>
          <w:lang w:val="en-US" w:eastAsia="zh-CN"/>
        </w:rPr>
        <w:t>1040.53</w:t>
      </w:r>
      <w:r>
        <w:rPr>
          <w:rFonts w:ascii="方正仿宋_GB2312" w:hAnsi="方正仿宋_GB2312" w:eastAsia="方正仿宋_GB2312" w:cs="方正仿宋_GB2312"/>
          <w:sz w:val="32"/>
          <w:highlight w:val="none"/>
          <w:u w:color="auto"/>
        </w:rPr>
        <w:t>万元。</w:t>
      </w:r>
    </w:p>
    <w:p w14:paraId="627D1288">
      <w:pPr>
        <w:spacing w:line="580" w:lineRule="exact"/>
        <w:ind w:firstLine="643" w:firstLineChars="200"/>
        <w:jc w:val="left"/>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名词解释</w:t>
      </w:r>
    </w:p>
    <w:p w14:paraId="2558452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1.财政拨款收支情况：是指一般公共预算、政府性基金预算、国有资本经营预算拨款收支情况。</w:t>
      </w:r>
    </w:p>
    <w:p w14:paraId="460FFDE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2.一般公共预算拨款收入：指县级财政当年拨付的资金。</w:t>
      </w:r>
    </w:p>
    <w:p w14:paraId="40BBF70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3.政府性基金预算:指通过向社会征收以及出让土地、发行彩票等方式取得收入，并专项用于特定基础设施建设和社会事业发展的财政收支预算。</w:t>
      </w:r>
    </w:p>
    <w:p w14:paraId="4F1A045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4.事业收入：指事业单位开展专业业务活动及辅助活动所取得的收入。</w:t>
      </w:r>
    </w:p>
    <w:p w14:paraId="2A50AEF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5.事业单位经营收入：指事业单位在专业业务活动及其辅助活动之外开展非独立核算经营活动取得的收入。</w:t>
      </w:r>
    </w:p>
    <w:p w14:paraId="251A481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6.其他收入：指除上述“一般公共预算拨款收入”、“事业收入”、“事业单位经营收入”等以外的收入。主要是利息收入、国有资产出租收入等。</w:t>
      </w:r>
    </w:p>
    <w:p w14:paraId="71B7063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用事业基金弥补收支差额：指事业单位在当年的收入不足以安排当年会出的情况下，使用以前年度积累的事业基金（事业单位当年收支相抵后按国家规定提取、用于弥补以后年度收支差额的基金）弥补本年度收支缺口的资金。</w:t>
      </w:r>
    </w:p>
    <w:p w14:paraId="1131B4F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8.上年结转：指以前年度尚未完成，结转到本年仍按原规定用途继续使用的资金。 </w:t>
      </w:r>
    </w:p>
    <w:p w14:paraId="2FFCC32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w:t>
      </w:r>
      <w:r>
        <w:rPr>
          <w:rFonts w:hint="eastAsia" w:ascii="仿宋" w:hAnsi="仿宋" w:eastAsia="仿宋" w:cs="仿宋"/>
          <w:sz w:val="32"/>
          <w:szCs w:val="32"/>
        </w:rPr>
        <w:t>.社会保障和就业支出（类）行政事业单位养老支出（款）机关事业单位基本养老保险缴费支出（项）：反映机关事业单位实施养老保险制度由单位缴纳的基本养老保险费支出。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10</w:t>
      </w:r>
      <w:r>
        <w:rPr>
          <w:rFonts w:hint="eastAsia" w:ascii="仿宋" w:hAnsi="仿宋" w:eastAsia="仿宋" w:cs="仿宋"/>
          <w:sz w:val="32"/>
          <w:szCs w:val="32"/>
        </w:rPr>
        <w:t>.社会保障和就业支出（类）行政事业单位养老支出（款）机关事业单位职业年金缴费支出（项）：反映机关事业单位实施养老保险制度由单位实际缴纳的职业年金支出。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11</w:t>
      </w:r>
      <w:r>
        <w:rPr>
          <w:rFonts w:hint="eastAsia" w:ascii="仿宋" w:hAnsi="仿宋" w:eastAsia="仿宋" w:cs="仿宋"/>
          <w:sz w:val="32"/>
          <w:szCs w:val="32"/>
        </w:rPr>
        <w:t>.卫生健康支出（类）公共卫生（款）疾病预防控制机构（项）：反映卫生健康部门所属疾病预防控制机构的支出。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12</w:t>
      </w:r>
      <w:r>
        <w:rPr>
          <w:rFonts w:hint="eastAsia" w:ascii="仿宋" w:hAnsi="仿宋" w:eastAsia="仿宋" w:cs="仿宋"/>
          <w:sz w:val="32"/>
          <w:szCs w:val="32"/>
        </w:rPr>
        <w:t>.卫生健康支出（类）公共卫生（款）重大公共卫生服务（项）：反映重大疾病、重大传染病预防控制等重大公共卫生服务项目支出。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13</w:t>
      </w:r>
      <w:r>
        <w:rPr>
          <w:rFonts w:hint="eastAsia" w:ascii="仿宋" w:hAnsi="仿宋" w:eastAsia="仿宋" w:cs="仿宋"/>
          <w:sz w:val="32"/>
          <w:szCs w:val="32"/>
        </w:rPr>
        <w:t>.卫生健康支出（类）行政事业单位医疗（款）行政单位医疗（项）：反映财政部门安排的行政单位（包括实行公务员管理的事业单位，下同）基本医疗保险缴费经费，未参加医疗保险的行政单位的公费医疗经费，按国家规定享受离休人员、红军老战士待遇人员的医疗经费。</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14</w:t>
      </w:r>
      <w:r>
        <w:rPr>
          <w:rFonts w:hint="eastAsia" w:ascii="仿宋" w:hAnsi="仿宋" w:eastAsia="仿宋" w:cs="仿宋"/>
          <w:sz w:val="32"/>
          <w:szCs w:val="32"/>
        </w:rPr>
        <w:t>.卫生健康支出（类）行政事业单位医疗（款）事业单位医疗（项）：反映财政部门安排的事业单位基本医疗保险缴费经费，未参加医疗保险的事业单位的公费医疗经费，按国家规定享受离休人员待遇的医疗经费。</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15</w:t>
      </w:r>
      <w:r>
        <w:rPr>
          <w:rFonts w:hint="eastAsia" w:ascii="仿宋" w:hAnsi="仿宋" w:eastAsia="仿宋" w:cs="仿宋"/>
          <w:sz w:val="32"/>
          <w:szCs w:val="32"/>
        </w:rPr>
        <w:t>.卫生健康支出（类）行政事业单位医疗（款）公务员医疗补助（项）：反映财政部门安排的公务员医疗补助经费。</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16</w:t>
      </w:r>
      <w:r>
        <w:rPr>
          <w:rFonts w:hint="eastAsia" w:ascii="仿宋" w:hAnsi="仿宋" w:eastAsia="仿宋" w:cs="仿宋"/>
          <w:sz w:val="32"/>
          <w:szCs w:val="32"/>
        </w:rPr>
        <w:t>.卫生健康支出（类）行政事业单位医疗（款）其他行政事业单位医疗支出（项）：反映除上述项目以外的其他用于行政事业单位医疗方面的支出。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1</w:t>
      </w:r>
      <w:r>
        <w:rPr>
          <w:rFonts w:hint="eastAsia" w:ascii="仿宋" w:hAnsi="仿宋" w:eastAsia="仿宋" w:cs="仿宋"/>
          <w:sz w:val="32"/>
          <w:szCs w:val="32"/>
          <w:lang w:val="en-US" w:eastAsia="zh-CN"/>
        </w:rPr>
        <w:t>7</w:t>
      </w:r>
      <w:r>
        <w:rPr>
          <w:rFonts w:hint="eastAsia" w:ascii="仿宋" w:hAnsi="仿宋" w:eastAsia="仿宋" w:cs="仿宋"/>
          <w:sz w:val="32"/>
          <w:szCs w:val="32"/>
        </w:rPr>
        <w:t>.住房保障支出（类）住房改革支出（款）住房公积金（项）：反映行政事业单位按人力资源和社会保障部、财政部规定的基本工资和津贴补贴以及规定比例为职工缴纳的住房公积金。</w:t>
      </w:r>
    </w:p>
    <w:p w14:paraId="4FEB270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8</w:t>
      </w:r>
      <w:r>
        <w:rPr>
          <w:rFonts w:hint="eastAsia" w:ascii="仿宋" w:hAnsi="仿宋" w:eastAsia="仿宋" w:cs="仿宋"/>
          <w:sz w:val="32"/>
          <w:szCs w:val="32"/>
        </w:rPr>
        <w:t>.基本支出：指为保证机构正常运转，完成日常工作任务而发生的人员支出和公用支出。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1</w:t>
      </w:r>
      <w:r>
        <w:rPr>
          <w:rFonts w:hint="eastAsia" w:ascii="仿宋" w:hAnsi="仿宋" w:eastAsia="仿宋" w:cs="仿宋"/>
          <w:sz w:val="32"/>
          <w:szCs w:val="32"/>
          <w:lang w:val="en-US" w:eastAsia="zh-CN"/>
        </w:rPr>
        <w:t>9</w:t>
      </w:r>
      <w:r>
        <w:rPr>
          <w:rFonts w:hint="eastAsia" w:ascii="仿宋" w:hAnsi="仿宋" w:eastAsia="仿宋" w:cs="仿宋"/>
          <w:sz w:val="32"/>
          <w:szCs w:val="32"/>
        </w:rPr>
        <w:t>.项目支出：指在基本支出之外为完成特定行政任务和事业发展目标所发生的支出。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20</w:t>
      </w:r>
      <w:r>
        <w:rPr>
          <w:rFonts w:hint="eastAsia" w:ascii="仿宋" w:hAnsi="仿宋" w:eastAsia="仿宋" w:cs="仿宋"/>
          <w:sz w:val="32"/>
          <w:szCs w:val="32"/>
        </w:rPr>
        <w:t>.“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 w:hAnsi="仿宋" w:eastAsia="仿宋" w:cs="仿宋"/>
          <w:sz w:val="32"/>
          <w:szCs w:val="32"/>
        </w:rPr>
        <w:cr/>
      </w:r>
      <w:r>
        <w:rPr>
          <w:rFonts w:hint="eastAsia" w:ascii="仿宋" w:hAnsi="仿宋" w:eastAsia="仿宋" w:cs="仿宋"/>
          <w:sz w:val="32"/>
          <w:szCs w:val="32"/>
          <w:lang w:val="en-US" w:eastAsia="zh-CN"/>
        </w:rPr>
        <w:t xml:space="preserve">    21</w:t>
      </w:r>
      <w:r>
        <w:rPr>
          <w:rFonts w:hint="eastAsia" w:ascii="仿宋" w:hAnsi="仿宋" w:eastAsia="仿宋" w:cs="仿宋"/>
          <w:sz w:val="32"/>
          <w:szCs w:val="32"/>
        </w:rPr>
        <w:t>.机关运行经费：为保障行政单位（包含参照公务员法管理的事业单位）运行用于购买货物和服务的各项资金。包括办公及印刷费、邮电费、差旅费、会议费一般设备购置费等费用开支。</w:t>
      </w:r>
      <w:r>
        <w:rPr>
          <w:rFonts w:hint="eastAsia" w:ascii="仿宋" w:hAnsi="仿宋" w:eastAsia="仿宋" w:cs="仿宋"/>
          <w:sz w:val="32"/>
          <w:szCs w:val="32"/>
        </w:rPr>
        <w:cr/>
      </w:r>
    </w:p>
    <w:p w14:paraId="1D7EE8B2">
      <w:pPr>
        <w:jc w:val="left"/>
        <w:rPr>
          <w:rFonts w:hint="eastAsia" w:ascii="MiSans Normal" w:hAnsi="MiSans Normal" w:eastAsia="MiSans Normal" w:cs="MiSans Norma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MiSans Normal">
    <w:altName w:val="宋体"/>
    <w:panose1 w:val="00000500000000000000"/>
    <w:charset w:val="86"/>
    <w:family w:val="auto"/>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KSOFE885277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137F8">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Y2U5NTEyYmI3OTdhMDllNmUyMWU1NTVmN2NhODIifQ=="/>
  </w:docVars>
  <w:rsids>
    <w:rsidRoot w:val="575844F0"/>
    <w:rsid w:val="000F56AF"/>
    <w:rsid w:val="0016505C"/>
    <w:rsid w:val="002571C7"/>
    <w:rsid w:val="002801C7"/>
    <w:rsid w:val="0029051A"/>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D51414"/>
    <w:rsid w:val="00D7246C"/>
    <w:rsid w:val="00E90C48"/>
    <w:rsid w:val="00EA26C5"/>
    <w:rsid w:val="00F20CDD"/>
    <w:rsid w:val="00F31DEC"/>
    <w:rsid w:val="00F66036"/>
    <w:rsid w:val="00FD5790"/>
    <w:rsid w:val="011E0F37"/>
    <w:rsid w:val="018F6151"/>
    <w:rsid w:val="025F2B31"/>
    <w:rsid w:val="027F6AB2"/>
    <w:rsid w:val="02AA63F4"/>
    <w:rsid w:val="02F620C9"/>
    <w:rsid w:val="03043EF9"/>
    <w:rsid w:val="034827B4"/>
    <w:rsid w:val="043645C2"/>
    <w:rsid w:val="04D63DFA"/>
    <w:rsid w:val="04FC52D9"/>
    <w:rsid w:val="05125475"/>
    <w:rsid w:val="05B9052D"/>
    <w:rsid w:val="05C26836"/>
    <w:rsid w:val="06213135"/>
    <w:rsid w:val="075449B1"/>
    <w:rsid w:val="07866B9E"/>
    <w:rsid w:val="078E3C79"/>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4C3CC0"/>
    <w:rsid w:val="0E5E6115"/>
    <w:rsid w:val="0E722914"/>
    <w:rsid w:val="0E8D7DFF"/>
    <w:rsid w:val="0EB14B08"/>
    <w:rsid w:val="0EB44926"/>
    <w:rsid w:val="0EE00EF5"/>
    <w:rsid w:val="0F033DE0"/>
    <w:rsid w:val="0F5B493B"/>
    <w:rsid w:val="0F9C6EF5"/>
    <w:rsid w:val="0FB32491"/>
    <w:rsid w:val="0FC92752"/>
    <w:rsid w:val="104D4694"/>
    <w:rsid w:val="10572219"/>
    <w:rsid w:val="10635C65"/>
    <w:rsid w:val="112F484C"/>
    <w:rsid w:val="11786165"/>
    <w:rsid w:val="118874D4"/>
    <w:rsid w:val="118F1F82"/>
    <w:rsid w:val="11E23462"/>
    <w:rsid w:val="121C1DAE"/>
    <w:rsid w:val="12280F14"/>
    <w:rsid w:val="12B74046"/>
    <w:rsid w:val="12FF7083"/>
    <w:rsid w:val="13287F73"/>
    <w:rsid w:val="136174EF"/>
    <w:rsid w:val="13A179F5"/>
    <w:rsid w:val="14043CC2"/>
    <w:rsid w:val="143A4F2F"/>
    <w:rsid w:val="14BF1A72"/>
    <w:rsid w:val="14D54669"/>
    <w:rsid w:val="15E00400"/>
    <w:rsid w:val="169447F0"/>
    <w:rsid w:val="169923E1"/>
    <w:rsid w:val="17451DFF"/>
    <w:rsid w:val="188624F1"/>
    <w:rsid w:val="18BE13A8"/>
    <w:rsid w:val="18EF58AD"/>
    <w:rsid w:val="195C14A3"/>
    <w:rsid w:val="19665E75"/>
    <w:rsid w:val="19793B64"/>
    <w:rsid w:val="198975C1"/>
    <w:rsid w:val="1A5A0F33"/>
    <w:rsid w:val="1A8A0974"/>
    <w:rsid w:val="1ADB600A"/>
    <w:rsid w:val="1AE72EE7"/>
    <w:rsid w:val="1B9C22AA"/>
    <w:rsid w:val="1C001B5A"/>
    <w:rsid w:val="1C676AC0"/>
    <w:rsid w:val="1C8979CD"/>
    <w:rsid w:val="1D1309C5"/>
    <w:rsid w:val="1D4E37F9"/>
    <w:rsid w:val="1E484DA2"/>
    <w:rsid w:val="1F32416D"/>
    <w:rsid w:val="1F400809"/>
    <w:rsid w:val="1F990304"/>
    <w:rsid w:val="1FD07044"/>
    <w:rsid w:val="1FE77B24"/>
    <w:rsid w:val="200F074F"/>
    <w:rsid w:val="205E0FD1"/>
    <w:rsid w:val="206A30F3"/>
    <w:rsid w:val="20E14771"/>
    <w:rsid w:val="20E325CD"/>
    <w:rsid w:val="215E491F"/>
    <w:rsid w:val="21785E72"/>
    <w:rsid w:val="223312B9"/>
    <w:rsid w:val="22511DC1"/>
    <w:rsid w:val="23066A9B"/>
    <w:rsid w:val="237925CB"/>
    <w:rsid w:val="238A54C0"/>
    <w:rsid w:val="23DE7685"/>
    <w:rsid w:val="23FC256D"/>
    <w:rsid w:val="23FE4F26"/>
    <w:rsid w:val="24113B37"/>
    <w:rsid w:val="242A3E0B"/>
    <w:rsid w:val="24B357B1"/>
    <w:rsid w:val="2508404D"/>
    <w:rsid w:val="2514554D"/>
    <w:rsid w:val="253240EC"/>
    <w:rsid w:val="256736AA"/>
    <w:rsid w:val="25776E44"/>
    <w:rsid w:val="25A91AAB"/>
    <w:rsid w:val="25AC0D38"/>
    <w:rsid w:val="25CF77BC"/>
    <w:rsid w:val="26233A75"/>
    <w:rsid w:val="269C0E16"/>
    <w:rsid w:val="26E20150"/>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AF4CE9"/>
    <w:rsid w:val="2DB253D5"/>
    <w:rsid w:val="2DE37BA3"/>
    <w:rsid w:val="2DF301D1"/>
    <w:rsid w:val="2E410E41"/>
    <w:rsid w:val="2F5B380A"/>
    <w:rsid w:val="2F5D19C6"/>
    <w:rsid w:val="2FDC17BA"/>
    <w:rsid w:val="2FEA1E20"/>
    <w:rsid w:val="30FE4C1A"/>
    <w:rsid w:val="31C81974"/>
    <w:rsid w:val="31C9463A"/>
    <w:rsid w:val="31D87EB9"/>
    <w:rsid w:val="31E71DFA"/>
    <w:rsid w:val="32607DFF"/>
    <w:rsid w:val="33F6376D"/>
    <w:rsid w:val="344C1C18"/>
    <w:rsid w:val="346E542F"/>
    <w:rsid w:val="348204D4"/>
    <w:rsid w:val="34921118"/>
    <w:rsid w:val="34E22C0C"/>
    <w:rsid w:val="35D53A26"/>
    <w:rsid w:val="35E81EFF"/>
    <w:rsid w:val="35F03248"/>
    <w:rsid w:val="3618452C"/>
    <w:rsid w:val="362A47F6"/>
    <w:rsid w:val="36701078"/>
    <w:rsid w:val="367D3C26"/>
    <w:rsid w:val="36D21200"/>
    <w:rsid w:val="36E07107"/>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AE3337B"/>
    <w:rsid w:val="3B7D732B"/>
    <w:rsid w:val="3BB9695E"/>
    <w:rsid w:val="3BBB1358"/>
    <w:rsid w:val="3BC80616"/>
    <w:rsid w:val="3CC21C50"/>
    <w:rsid w:val="3CEB3ACE"/>
    <w:rsid w:val="3D396F49"/>
    <w:rsid w:val="3DAB5EF3"/>
    <w:rsid w:val="3E0A7F35"/>
    <w:rsid w:val="3E3D0EE5"/>
    <w:rsid w:val="3E5C591E"/>
    <w:rsid w:val="3E7C76D5"/>
    <w:rsid w:val="3F4B70E6"/>
    <w:rsid w:val="402E20EA"/>
    <w:rsid w:val="40360D66"/>
    <w:rsid w:val="404847A8"/>
    <w:rsid w:val="40F85D24"/>
    <w:rsid w:val="41002113"/>
    <w:rsid w:val="417358BA"/>
    <w:rsid w:val="417E7039"/>
    <w:rsid w:val="41856F3A"/>
    <w:rsid w:val="41A336F5"/>
    <w:rsid w:val="41CE4038"/>
    <w:rsid w:val="42697F33"/>
    <w:rsid w:val="42F94AE0"/>
    <w:rsid w:val="42FC2819"/>
    <w:rsid w:val="43C94609"/>
    <w:rsid w:val="44701EE3"/>
    <w:rsid w:val="447B54A6"/>
    <w:rsid w:val="44C935E1"/>
    <w:rsid w:val="45700DD8"/>
    <w:rsid w:val="466A3D31"/>
    <w:rsid w:val="468076BF"/>
    <w:rsid w:val="469C7200"/>
    <w:rsid w:val="46DA091D"/>
    <w:rsid w:val="479F062A"/>
    <w:rsid w:val="47A8558B"/>
    <w:rsid w:val="488A1960"/>
    <w:rsid w:val="488E172A"/>
    <w:rsid w:val="48EA3B26"/>
    <w:rsid w:val="493245BA"/>
    <w:rsid w:val="496F21D8"/>
    <w:rsid w:val="49923B77"/>
    <w:rsid w:val="4A174159"/>
    <w:rsid w:val="4ABE7A9C"/>
    <w:rsid w:val="4BBF5B71"/>
    <w:rsid w:val="4D477799"/>
    <w:rsid w:val="4D6455F8"/>
    <w:rsid w:val="4E784F4E"/>
    <w:rsid w:val="4E8A5B90"/>
    <w:rsid w:val="4EE869F3"/>
    <w:rsid w:val="4F006B29"/>
    <w:rsid w:val="4F5F6F42"/>
    <w:rsid w:val="5029634D"/>
    <w:rsid w:val="503D0CD7"/>
    <w:rsid w:val="507A38E4"/>
    <w:rsid w:val="515C63F7"/>
    <w:rsid w:val="51621046"/>
    <w:rsid w:val="5187285A"/>
    <w:rsid w:val="518A72F6"/>
    <w:rsid w:val="519216B7"/>
    <w:rsid w:val="51D30C43"/>
    <w:rsid w:val="524474CD"/>
    <w:rsid w:val="52BB4C7B"/>
    <w:rsid w:val="52F8052A"/>
    <w:rsid w:val="530A525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89702C"/>
    <w:rsid w:val="574451E3"/>
    <w:rsid w:val="575844F0"/>
    <w:rsid w:val="57E977B0"/>
    <w:rsid w:val="57ED201E"/>
    <w:rsid w:val="57F42B0E"/>
    <w:rsid w:val="583E3F5E"/>
    <w:rsid w:val="58472D43"/>
    <w:rsid w:val="5863513E"/>
    <w:rsid w:val="58A35061"/>
    <w:rsid w:val="58D25844"/>
    <w:rsid w:val="58EF1411"/>
    <w:rsid w:val="58EF4BBE"/>
    <w:rsid w:val="594436A7"/>
    <w:rsid w:val="595074AE"/>
    <w:rsid w:val="597B3B32"/>
    <w:rsid w:val="59F6760E"/>
    <w:rsid w:val="5A4A2633"/>
    <w:rsid w:val="5B08601D"/>
    <w:rsid w:val="5B217190"/>
    <w:rsid w:val="5B2E7013"/>
    <w:rsid w:val="5B766F46"/>
    <w:rsid w:val="5BB7496B"/>
    <w:rsid w:val="5CA8447B"/>
    <w:rsid w:val="5D213B63"/>
    <w:rsid w:val="5DD62B9F"/>
    <w:rsid w:val="5E0B017F"/>
    <w:rsid w:val="5E1758B9"/>
    <w:rsid w:val="5E1F431D"/>
    <w:rsid w:val="5EB217FD"/>
    <w:rsid w:val="5EB85D88"/>
    <w:rsid w:val="5F5C38AD"/>
    <w:rsid w:val="5F6064D4"/>
    <w:rsid w:val="606320F1"/>
    <w:rsid w:val="60A94AA3"/>
    <w:rsid w:val="60D15BBA"/>
    <w:rsid w:val="60D4713E"/>
    <w:rsid w:val="6117044B"/>
    <w:rsid w:val="61A7112A"/>
    <w:rsid w:val="61BD486A"/>
    <w:rsid w:val="61DB6731"/>
    <w:rsid w:val="6263198D"/>
    <w:rsid w:val="62A0552A"/>
    <w:rsid w:val="630006BE"/>
    <w:rsid w:val="63062529"/>
    <w:rsid w:val="630E7EAE"/>
    <w:rsid w:val="6313764B"/>
    <w:rsid w:val="63161C90"/>
    <w:rsid w:val="6367280D"/>
    <w:rsid w:val="641C5084"/>
    <w:rsid w:val="64771E53"/>
    <w:rsid w:val="64CD4737"/>
    <w:rsid w:val="64D1385B"/>
    <w:rsid w:val="64DD1C81"/>
    <w:rsid w:val="65154E9C"/>
    <w:rsid w:val="66075A53"/>
    <w:rsid w:val="666A4FCB"/>
    <w:rsid w:val="66D14F9A"/>
    <w:rsid w:val="66F729EF"/>
    <w:rsid w:val="67E759A9"/>
    <w:rsid w:val="68D03361"/>
    <w:rsid w:val="690A194F"/>
    <w:rsid w:val="69492530"/>
    <w:rsid w:val="699675A8"/>
    <w:rsid w:val="69B8303B"/>
    <w:rsid w:val="69E53C69"/>
    <w:rsid w:val="6A145D73"/>
    <w:rsid w:val="6A6E5F0E"/>
    <w:rsid w:val="6AE228CC"/>
    <w:rsid w:val="6B1860D6"/>
    <w:rsid w:val="6BBD539F"/>
    <w:rsid w:val="6BC86B43"/>
    <w:rsid w:val="6BD32E45"/>
    <w:rsid w:val="6C2A775D"/>
    <w:rsid w:val="6C9963D7"/>
    <w:rsid w:val="6CC91C6E"/>
    <w:rsid w:val="6D5D1401"/>
    <w:rsid w:val="6D887C10"/>
    <w:rsid w:val="6DC26AF9"/>
    <w:rsid w:val="6ED22F0F"/>
    <w:rsid w:val="6F021B09"/>
    <w:rsid w:val="6FC844B9"/>
    <w:rsid w:val="6FD238B4"/>
    <w:rsid w:val="700A5D51"/>
    <w:rsid w:val="70F6046F"/>
    <w:rsid w:val="714B6FA9"/>
    <w:rsid w:val="71944EA7"/>
    <w:rsid w:val="71D71D1B"/>
    <w:rsid w:val="721171F3"/>
    <w:rsid w:val="723D2D95"/>
    <w:rsid w:val="72451C4A"/>
    <w:rsid w:val="728E0759"/>
    <w:rsid w:val="729953A7"/>
    <w:rsid w:val="729A1F96"/>
    <w:rsid w:val="72B03B7B"/>
    <w:rsid w:val="72F8291C"/>
    <w:rsid w:val="74BD01BD"/>
    <w:rsid w:val="7537110F"/>
    <w:rsid w:val="75DA4139"/>
    <w:rsid w:val="75F14C5D"/>
    <w:rsid w:val="77211164"/>
    <w:rsid w:val="77613287"/>
    <w:rsid w:val="77B21D62"/>
    <w:rsid w:val="77DE0B76"/>
    <w:rsid w:val="783D0D9D"/>
    <w:rsid w:val="78770683"/>
    <w:rsid w:val="78982C37"/>
    <w:rsid w:val="789D7D64"/>
    <w:rsid w:val="78E81443"/>
    <w:rsid w:val="78F51DD9"/>
    <w:rsid w:val="79660872"/>
    <w:rsid w:val="799F24B9"/>
    <w:rsid w:val="7A4461CE"/>
    <w:rsid w:val="7A57026F"/>
    <w:rsid w:val="7AF54E28"/>
    <w:rsid w:val="7B52696E"/>
    <w:rsid w:val="7BDB4226"/>
    <w:rsid w:val="7CD275EF"/>
    <w:rsid w:val="7CEF6249"/>
    <w:rsid w:val="7CF4381E"/>
    <w:rsid w:val="7CF63C25"/>
    <w:rsid w:val="7D454310"/>
    <w:rsid w:val="7DC756D2"/>
    <w:rsid w:val="7E543940"/>
    <w:rsid w:val="7EBB0424"/>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link w:val="8"/>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customStyle="1" w:styleId="8">
    <w:name w:val="页眉 字符"/>
    <w:basedOn w:val="7"/>
    <w:link w:val="4"/>
    <w:qFormat/>
    <w:uiPriority w:val="0"/>
    <w:rPr>
      <w:rFonts w:ascii="Calibri" w:hAnsi="Calibri"/>
      <w:kern w:val="2"/>
      <w:sz w:val="18"/>
      <w:szCs w:val="18"/>
    </w:rPr>
  </w:style>
  <w:style w:type="paragraph" w:customStyle="1" w:styleId="9">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2371</Words>
  <Characters>2648</Characters>
  <Lines>12</Lines>
  <Paragraphs>3</Paragraphs>
  <TotalTime>44</TotalTime>
  <ScaleCrop>false</ScaleCrop>
  <LinksUpToDate>false</LinksUpToDate>
  <CharactersWithSpaces>2687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叮当猫</cp:lastModifiedBy>
  <dcterms:modified xsi:type="dcterms:W3CDTF">2026-02-28T01:27:30Z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387F3B83B3B940DA8CC57237484F46BD_13</vt:lpwstr>
  </property>
  <property fmtid="{D5CDD505-2E9C-101B-9397-08002B2CF9AE}" pid="4" name="KSOTemplateDocerSaveRecord">
    <vt:lpwstr>eyJoZGlkIjoiNGViYzRiMGE1MzVmNzFlYWViMGU1ODljMjljNTQ1NmQiLCJ1c2VySWQiOiI2NzIyOTc3NjgifQ==</vt:lpwstr>
  </property>
</Properties>
</file>