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pStyle w:val="12"/>
        <w:suppressAutoHyphens/>
        <w:rPr>
          <w:rFonts w:hint="eastAsia" w:ascii="黑体" w:hAnsi="黑体" w:eastAsia="黑体" w:cs="黑体"/>
        </w:rPr>
      </w:pPr>
      <w:r>
        <w:rPr>
          <w:rFonts w:hint="eastAsia" w:ascii="黑体" w:hAnsi="黑体" w:eastAsia="黑体" w:cs="黑体"/>
          <w:lang w:val="en-US" w:eastAsia="zh-CN"/>
        </w:rPr>
        <w:t>关于</w:t>
      </w:r>
      <w:r>
        <w:rPr>
          <w:rFonts w:hint="eastAsia" w:ascii="黑体" w:hAnsi="黑体" w:eastAsia="黑体" w:cs="黑体"/>
        </w:rPr>
        <w:t>井研县三江镇卫生院单位</w:t>
      </w:r>
    </w:p>
    <w:p w14:paraId="5E38A76C">
      <w:pPr>
        <w:pStyle w:val="12"/>
        <w:suppressAutoHyphens/>
        <w:rPr>
          <w:rFonts w:hint="eastAsia" w:ascii="黑体" w:hAnsi="黑体" w:eastAsia="黑体" w:cs="黑体"/>
        </w:rPr>
      </w:pPr>
      <w:r>
        <w:rPr>
          <w:rFonts w:hint="eastAsia" w:ascii="黑体" w:hAnsi="黑体" w:eastAsia="黑体" w:cs="黑体"/>
        </w:rPr>
        <w:t>2026年部门预算编制</w:t>
      </w:r>
      <w:r>
        <w:rPr>
          <w:rFonts w:hint="eastAsia" w:ascii="黑体" w:hAnsi="黑体" w:eastAsia="黑体" w:cs="黑体"/>
          <w:lang w:val="en-US" w:eastAsia="zh-CN"/>
        </w:rPr>
        <w:t>的</w:t>
      </w:r>
      <w:r>
        <w:rPr>
          <w:rFonts w:hint="eastAsia" w:ascii="黑体" w:hAnsi="黑体" w:eastAsia="黑体" w:cs="黑体"/>
        </w:rPr>
        <w:t>说明</w:t>
      </w:r>
    </w:p>
    <w:p w14:paraId="7B55611A">
      <w:pPr>
        <w:pStyle w:val="11"/>
        <w:rPr>
          <w:rFonts w:hint="eastAsia"/>
        </w:rPr>
      </w:pPr>
    </w:p>
    <w:p w14:paraId="615FE939">
      <w:pPr>
        <w:pStyle w:val="11"/>
      </w:pPr>
      <w:r>
        <w:rPr>
          <w:rFonts w:hint="eastAsia"/>
        </w:rPr>
        <w:t>按照预算管理有关规定，目前部门预算的编制实行综合预算制度，即全部收入和支出都反映在预算中。</w:t>
      </w:r>
    </w:p>
    <w:p w14:paraId="6527D6F4">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ascii="楷体" w:hAnsi="楷体" w:eastAsia="楷体" w:cs="楷体"/>
          <w:sz w:val="32"/>
          <w:u w:color="auto"/>
        </w:rPr>
        <w:t>井研县三江镇卫生院单位职能简介。</w:t>
      </w:r>
    </w:p>
    <w:p w14:paraId="53EA27A5">
      <w:pPr>
        <w:pStyle w:val="11"/>
        <w:rPr>
          <w:rFonts w:hint="eastAsia"/>
        </w:rPr>
      </w:pPr>
      <w:r>
        <w:rPr>
          <w:rFonts w:hint="eastAsia"/>
          <w:lang w:val="en-US" w:eastAsia="zh-CN"/>
        </w:rPr>
        <w:t>井研县三江镇卫生院</w:t>
      </w:r>
      <w:r>
        <w:rPr>
          <w:rFonts w:hint="default"/>
          <w:lang w:val="en-US" w:eastAsia="zh-CN"/>
        </w:rPr>
        <w:t>是</w:t>
      </w:r>
      <w:r>
        <w:rPr>
          <w:rFonts w:hint="eastAsia"/>
          <w:lang w:val="en-US" w:eastAsia="zh-CN"/>
        </w:rPr>
        <w:t>该</w:t>
      </w:r>
      <w:r>
        <w:rPr>
          <w:rFonts w:hint="default"/>
          <w:lang w:val="en-US" w:eastAsia="zh-CN"/>
        </w:rPr>
        <w:t>乡镇设立的卫生行政和医疗预防工作的非营利性基层医疗卫生机构，其职责承担辖区医疗卫生综合管理服务工作，以公共卫生服务为主，综合提供预防、保健和基本医疗服务；开展计划生育服务等。一、基本医疗服务：开展一般常见病、多发病、地方病的基本医疗服务；</w:t>
      </w:r>
      <w:r>
        <w:rPr>
          <w:rFonts w:hint="eastAsia"/>
          <w:lang w:val="en-US" w:eastAsia="zh-CN"/>
        </w:rPr>
        <w:t>二、</w:t>
      </w:r>
      <w:r>
        <w:rPr>
          <w:rFonts w:hint="default"/>
          <w:lang w:val="en-US" w:eastAsia="zh-CN"/>
        </w:rPr>
        <w:t>公共卫生服务：负责辖区居民健康档案管理、健康教育、预防接种、儿童健康管理服务、孕产妇健康管理、老年人健康管理、慢性病患者健康管理、严重精神障碍患者管理、传染病及突发公共卫生事件报告和处理、结核病患者健康管理、卫生监督协管、中医药健康管理服务。三、指导辖区内诊所、村卫生室业务工作，对村医生进行相关技能培训，做好医疗卫生信息统计报告工作，完整、及时、准确报告相关信息，逐步推进乡村卫生服务一体化管理。</w:t>
      </w:r>
      <w:r>
        <w:rPr>
          <w:rFonts w:hint="default"/>
          <w:lang w:val="en-US" w:eastAsia="zh-CN"/>
        </w:rPr>
        <w:tab/>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井研县三江镇卫生院</w:t>
      </w:r>
      <w:r>
        <w:rPr>
          <w:rFonts w:ascii="楷体" w:hAnsi="楷体" w:eastAsia="楷体" w:cs="楷体"/>
          <w:sz w:val="32"/>
          <w:u w:color="auto"/>
        </w:rPr>
        <w:t>单位重点工作。</w:t>
      </w:r>
    </w:p>
    <w:p w14:paraId="21C5B46B">
      <w:pPr>
        <w:pStyle w:val="11"/>
        <w:rPr>
          <w:rFonts w:hint="eastAsia"/>
          <w:lang w:val="en-US" w:eastAsia="zh-CN"/>
        </w:rPr>
      </w:pPr>
      <w:r>
        <w:rPr>
          <w:rFonts w:hint="eastAsia"/>
          <w:lang w:val="en-US" w:eastAsia="zh-CN"/>
        </w:rPr>
        <w:t>1.加强党风廉政建设工作。</w:t>
      </w:r>
    </w:p>
    <w:p w14:paraId="4DFD8788">
      <w:pPr>
        <w:pStyle w:val="11"/>
        <w:rPr>
          <w:rFonts w:hint="eastAsia"/>
          <w:lang w:val="en-US" w:eastAsia="zh-CN"/>
        </w:rPr>
      </w:pPr>
      <w:r>
        <w:rPr>
          <w:rFonts w:hint="eastAsia"/>
          <w:lang w:val="en-US" w:eastAsia="zh-CN"/>
        </w:rPr>
        <w:t>2.加强卫生院行风建设。</w:t>
      </w:r>
    </w:p>
    <w:p w14:paraId="745148F4">
      <w:pPr>
        <w:pStyle w:val="11"/>
        <w:rPr>
          <w:rFonts w:hint="eastAsia"/>
          <w:lang w:val="en-US" w:eastAsia="zh-CN"/>
        </w:rPr>
      </w:pPr>
      <w:r>
        <w:rPr>
          <w:rFonts w:hint="eastAsia"/>
          <w:lang w:val="en-US" w:eastAsia="zh-CN"/>
        </w:rPr>
        <w:t>3.加强运营管理，落实增收节支，达到收支平衡。</w:t>
      </w:r>
    </w:p>
    <w:p w14:paraId="38EB6DBE">
      <w:pPr>
        <w:pStyle w:val="11"/>
        <w:rPr>
          <w:rFonts w:hint="eastAsia"/>
          <w:lang w:val="en-US" w:eastAsia="zh-CN"/>
        </w:rPr>
      </w:pPr>
      <w:r>
        <w:rPr>
          <w:rFonts w:hint="eastAsia"/>
          <w:lang w:val="en-US" w:eastAsia="zh-CN"/>
        </w:rPr>
        <w:t>4.严格执行医疗制度，规范医疗行为。</w:t>
      </w:r>
    </w:p>
    <w:p w14:paraId="14B57F12">
      <w:pPr>
        <w:pStyle w:val="11"/>
        <w:rPr>
          <w:rFonts w:hint="eastAsia"/>
          <w:lang w:val="en-US" w:eastAsia="zh-CN"/>
        </w:rPr>
      </w:pPr>
      <w:r>
        <w:rPr>
          <w:rFonts w:hint="eastAsia"/>
          <w:lang w:val="en-US" w:eastAsia="zh-CN"/>
        </w:rPr>
        <w:t>5.对标医保政策，规范并熟透DRG付费。</w:t>
      </w:r>
    </w:p>
    <w:p w14:paraId="5118CE61">
      <w:pPr>
        <w:pStyle w:val="11"/>
        <w:rPr>
          <w:rFonts w:hint="eastAsia"/>
          <w:lang w:val="en-US" w:eastAsia="zh-CN"/>
        </w:rPr>
      </w:pPr>
      <w:r>
        <w:rPr>
          <w:rFonts w:hint="eastAsia"/>
          <w:lang w:val="en-US" w:eastAsia="zh-CN"/>
        </w:rPr>
        <w:t>6.加强信息化建设，完善人才队伍培养。</w:t>
      </w:r>
    </w:p>
    <w:p w14:paraId="1798575B">
      <w:pPr>
        <w:pStyle w:val="11"/>
        <w:rPr>
          <w:rFonts w:hint="eastAsia"/>
          <w:lang w:val="en-US" w:eastAsia="zh-CN"/>
        </w:rPr>
      </w:pPr>
      <w:r>
        <w:rPr>
          <w:rFonts w:hint="eastAsia"/>
          <w:lang w:val="en-US" w:eastAsia="zh-CN"/>
        </w:rPr>
        <w:t>7.做实基本公共卫生服务工作。</w:t>
      </w:r>
    </w:p>
    <w:p w14:paraId="7DA25375">
      <w:pPr>
        <w:pStyle w:val="11"/>
        <w:rPr>
          <w:rFonts w:hint="eastAsia"/>
          <w:lang w:val="en-US" w:eastAsia="zh-CN"/>
        </w:rPr>
      </w:pPr>
      <w:r>
        <w:rPr>
          <w:rFonts w:hint="eastAsia"/>
          <w:lang w:val="en-US" w:eastAsia="zh-CN"/>
        </w:rPr>
        <w:t>8.高效完成2026年综合目标考核工作。</w:t>
      </w:r>
    </w:p>
    <w:p w14:paraId="2FB2E979">
      <w:pPr>
        <w:pStyle w:val="11"/>
        <w:rPr>
          <w:rFonts w:hint="eastAsia"/>
          <w:lang w:val="en-US" w:eastAsia="zh-CN"/>
        </w:rPr>
      </w:pPr>
      <w:r>
        <w:rPr>
          <w:rFonts w:hint="eastAsia"/>
          <w:lang w:val="en-US" w:eastAsia="zh-CN"/>
        </w:rPr>
        <w:t>9.加强班子队伍作风建设，做好安全维稳工作。</w:t>
      </w:r>
    </w:p>
    <w:p w14:paraId="288DDF63">
      <w:pPr>
        <w:pStyle w:val="11"/>
        <w:rPr>
          <w:rFonts w:hint="eastAsia"/>
          <w:lang w:val="en-US" w:eastAsia="zh-CN"/>
        </w:rPr>
      </w:pPr>
      <w:r>
        <w:rPr>
          <w:rFonts w:hint="eastAsia"/>
          <w:lang w:val="en-US" w:eastAsia="zh-CN"/>
        </w:rPr>
        <w:t>10.全面抓好其他临时性工作。</w:t>
      </w:r>
    </w:p>
    <w:p w14:paraId="55979D41">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7B8D1D53">
      <w:pPr>
        <w:pStyle w:val="11"/>
        <w:rPr>
          <w:rFonts w:hint="eastAsia"/>
          <w:lang w:val="en-US" w:eastAsia="zh-CN"/>
        </w:rPr>
      </w:pPr>
      <w:r>
        <w:rPr>
          <w:rFonts w:hint="eastAsia"/>
          <w:lang w:val="en-US" w:eastAsia="zh-CN"/>
        </w:rPr>
        <w:t>井研县三江镇卫生院是卫生健康局下设的基层医疗机构。人员情况：本年年初在职职工数24人，其中正编职工16，招聘职工共8人。年初实有退休职工15人。</w:t>
      </w:r>
    </w:p>
    <w:p w14:paraId="56F86116">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ascii="方正仿宋_GB2312" w:hAnsi="方正仿宋_GB2312" w:eastAsia="方正仿宋_GB2312" w:cs="方正仿宋_GB2312"/>
          <w:sz w:val="32"/>
          <w:u w:color="auto"/>
        </w:rPr>
        <w:t>井研县三江镇卫生院所有收入和支出均纳入单位预算管理。井研县三江镇卫生院2026年收支预算总数</w:t>
      </w:r>
      <w:r>
        <w:rPr>
          <w:rFonts w:hint="eastAsia" w:ascii="方正仿宋_GB2312" w:hAnsi="方正仿宋_GB2312" w:eastAsia="方正仿宋_GB2312" w:cs="方正仿宋_GB2312"/>
          <w:sz w:val="32"/>
          <w:u w:color="auto"/>
          <w:lang w:val="en-US" w:eastAsia="zh-CN"/>
        </w:rPr>
        <w:t>547.77</w:t>
      </w:r>
      <w:r>
        <w:rPr>
          <w:rFonts w:ascii="方正仿宋_GB2312" w:hAnsi="方正仿宋_GB2312" w:eastAsia="方正仿宋_GB2312" w:cs="方正仿宋_GB2312"/>
          <w:sz w:val="32"/>
          <w:u w:color="auto"/>
        </w:rPr>
        <w:t>万元，比2025年减少78.38万元</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井研县三江镇卫生院</w:t>
      </w:r>
      <w:r>
        <w:rPr>
          <w:rFonts w:ascii="方正仿宋_GB2312" w:hAnsi="方正仿宋_GB2312" w:eastAsia="方正仿宋_GB2312" w:cs="方正仿宋_GB2312"/>
          <w:sz w:val="32"/>
          <w:u w:color="auto"/>
        </w:rPr>
        <w:t>2026年收入预算547.77万元，上年结转0万元；一般公共预算拨款收入241.57万元，占44.10%；其他收入6.2万元，占1.13%；事业收入300.0万元，占54.77%。</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547.77万元，其中：基本支出333.09万元，占60.81%；项目支出214.68万元，占39.19%。</w:t>
      </w:r>
    </w:p>
    <w:p w14:paraId="67302901">
      <w:pPr>
        <w:pStyle w:val="7"/>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井研县三江镇卫生院</w:t>
      </w:r>
      <w:r>
        <w:rPr>
          <w:rFonts w:ascii="方正仿宋_GB2312" w:hAnsi="方正仿宋_GB2312" w:eastAsia="方正仿宋_GB2312" w:cs="方正仿宋_GB2312"/>
          <w:sz w:val="32"/>
          <w:u w:color="auto"/>
        </w:rPr>
        <w:t>2026年财政拨款收支预算总数241.57万元，比2025年财政拨款收支预算总数增加15.42万元。。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井研县三江镇卫生院</w:t>
      </w:r>
      <w:r>
        <w:rPr>
          <w:rFonts w:ascii="方正仿宋_GB2312" w:hAnsi="方正仿宋_GB2312" w:eastAsia="方正仿宋_GB2312" w:cs="方正仿宋_GB2312"/>
          <w:sz w:val="32"/>
          <w:u w:color="auto"/>
        </w:rPr>
        <w:t>2026年一般公共预算当年拨款241.57万元，比2025年预算数增加15.42万元。主要原因是项目增加。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卫生健康支出195.5万元，占80.93%、 住房保障支出17.24万元，占7.14%、 社会保障和就业支出28.83万元，占11.93%。</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65223EE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1.社会保障和就业支出（类）行政事业单位养老支出（款）机关事业单位基本养老保险缴费支出（项）2026年预算数为19.22万元，主要用于：机关事业单位实施养老保险制度由单位缴纳的基本养老保险费支出。</w:t>
      </w:r>
    </w:p>
    <w:p w14:paraId="283A51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2.社会保障和就业支出（类）行政事业单位养老支出（款）机关事业单位职业年金缴费支出（项）2026年预算数为9.61万元，主要用于：机关事业单位实施养老保险制度由单位实际缴纳的职业年金支出。</w:t>
      </w:r>
    </w:p>
    <w:p w14:paraId="1FA373E5">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3.卫生健康支出（类）基层医疗卫生机构（款）乡镇卫生院（项）2026年预算数为180.3万元，主要用于：用于乡镇卫生院的支出。</w:t>
      </w:r>
    </w:p>
    <w:p w14:paraId="7F89DA89">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4.卫生健康支出（类）基层医疗卫生机构（款）其他基层医疗卫生机构支出（项）2026年预算数为4.64万元，主要用于：除上述项目以外的其他用于基层医疗卫生机构的支出。</w:t>
      </w:r>
    </w:p>
    <w:p w14:paraId="7D509C0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卫生健康支出（类）行政事业单位医疗（款）事业单位医疗（项）2026年预算数为8.7万元，主要用于：财政部门安排的事业单位基本医疗保险缴费经费，未参加医疗保险的事业单位的公费医疗经费，按国家规定享受离休人员待遇的医疗经费。</w:t>
      </w:r>
    </w:p>
    <w:p w14:paraId="1DA6A10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6.卫生健康支出（类）行政事业单位医疗（款）其他行政事业单位医疗支出（项）2026年预算数为1.86万元，主要用于：除上述项目以外的其他用于行政事业单位医疗方面的支出。</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住房保障支出（类）住房改革支出（款）住房公积金（项）2026年预算数为17.24万元，主要用于：行政事业单位按人力资源和社会保障部、财政部规定的基本工资和津贴补贴以及规定比例为职工缴纳的住房公积金。</w:t>
      </w:r>
    </w:p>
    <w:p w14:paraId="7E1D4DCA">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井研县三江镇卫生院</w:t>
      </w:r>
      <w:r>
        <w:rPr>
          <w:rFonts w:ascii="方正仿宋_GB2312" w:hAnsi="方正仿宋_GB2312" w:eastAsia="方正仿宋_GB2312" w:cs="方正仿宋_GB2312"/>
          <w:sz w:val="32"/>
          <w:u w:color="auto"/>
        </w:rPr>
        <w:t>2026年一般公共预算基本支出194.54万元，其中：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190.47万元，主要包括：基本工资、津贴补贴、绩效工资、机关事业单位基本养老保险缴费、职业年金缴费、职工基本医疗保险缴费、其他社会保障缴费、住房公积金。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4.07万元，主要包括：工会经费、其他商品和服务支出。</w:t>
      </w:r>
    </w:p>
    <w:p w14:paraId="78D15BDE">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井研县三江镇卫生院2026年没有使用政府性基金预算拨款安排的支出。</w:t>
      </w:r>
    </w:p>
    <w:p w14:paraId="374AB08C">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井研县三江镇卫生院2026年没有使用国有资本经营预算拨款安排的支出。</w:t>
      </w:r>
    </w:p>
    <w:p w14:paraId="5B963983">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井研县三江镇卫生院2026年没有使用财政拨款安排“三公”经费预算。</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 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r>
        <w:rPr>
          <w:rFonts w:hint="eastAsia" w:ascii="方正仿宋_GB2312" w:hAnsi="方正仿宋_GB2312" w:eastAsia="方正仿宋_GB2312" w:cs="方正仿宋_GB2312"/>
          <w:sz w:val="32"/>
          <w:u w:color="auto"/>
          <w:lang w:val="en-US" w:eastAsia="zh-CN"/>
        </w:rPr>
        <w:t>公务接待</w:t>
      </w:r>
      <w:r>
        <w:rPr>
          <w:rFonts w:ascii="方正仿宋_GB2312" w:hAnsi="方正仿宋_GB2312" w:eastAsia="方正仿宋_GB2312" w:cs="方正仿宋_GB2312"/>
          <w:sz w:val="32"/>
          <w:u w:color="auto"/>
        </w:rPr>
        <w:t>。</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公务用车购置及运行维护费与2025年预算数持平。</w:t>
      </w:r>
    </w:p>
    <w:p w14:paraId="226C0FBB">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单位现有公务用车</w:t>
      </w: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辆，其中：轿车0辆、越野车0辆、大型客、货车0辆、其他用车</w:t>
      </w:r>
      <w:r>
        <w:rPr>
          <w:rFonts w:hint="eastAsia" w:ascii="方正仿宋_GB2312" w:hAnsi="方正仿宋_GB2312" w:eastAsia="方正仿宋_GB2312" w:cs="方正仿宋_GB2312"/>
          <w:sz w:val="32"/>
          <w:szCs w:val="32"/>
          <w:lang w:val="en-US" w:eastAsia="zh-CN"/>
        </w:rPr>
        <w:t>2</w:t>
      </w:r>
      <w:r>
        <w:rPr>
          <w:rFonts w:hint="eastAsia" w:ascii="方正仿宋_GB2312" w:hAnsi="方正仿宋_GB2312" w:eastAsia="方正仿宋_GB2312" w:cs="方正仿宋_GB2312"/>
          <w:sz w:val="32"/>
          <w:szCs w:val="32"/>
        </w:rPr>
        <w:t>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年安排公务用车运行维护费0万元，用于公务用车燃油、维修、过路过桥费、保险等方面支出。</w:t>
      </w:r>
    </w:p>
    <w:p w14:paraId="1C870E38">
      <w:pPr>
        <w:pStyle w:val="7"/>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井研县三江镇卫生院</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井研县三江镇卫生院为事业单位，按规定未使用机关运行的相关科目。</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675164DE">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2026年安排政府采购预算</w:t>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50万元，其中，政府采购货物预算</w:t>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rPr>
        <w:t>50</w:t>
      </w:r>
      <w:r>
        <w:rPr>
          <w:rFonts w:hint="eastAsia" w:ascii="方正仿宋_GB2312" w:hAnsi="方正仿宋_GB2312" w:eastAsia="方正仿宋_GB2312" w:cs="方正仿宋_GB2312"/>
          <w:sz w:val="32"/>
          <w:szCs w:val="32"/>
          <w:lang w:val="en-US" w:eastAsia="zh-CN"/>
        </w:rPr>
        <w:t>万</w:t>
      </w:r>
      <w:r>
        <w:rPr>
          <w:rFonts w:hint="eastAsia" w:ascii="方正仿宋_GB2312" w:hAnsi="方正仿宋_GB2312" w:eastAsia="方正仿宋_GB2312" w:cs="方正仿宋_GB2312"/>
          <w:sz w:val="32"/>
          <w:szCs w:val="32"/>
        </w:rPr>
        <w:t>元、政府采购工程预算0</w:t>
      </w:r>
      <w:r>
        <w:rPr>
          <w:rFonts w:hint="eastAsia" w:ascii="方正仿宋_GB2312" w:hAnsi="方正仿宋_GB2312" w:eastAsia="方正仿宋_GB2312" w:cs="方正仿宋_GB2312"/>
          <w:sz w:val="32"/>
          <w:szCs w:val="32"/>
          <w:lang w:val="en-US" w:eastAsia="zh-CN"/>
        </w:rPr>
        <w:t>万</w:t>
      </w:r>
      <w:r>
        <w:rPr>
          <w:rFonts w:hint="eastAsia" w:ascii="方正仿宋_GB2312" w:hAnsi="方正仿宋_GB2312" w:eastAsia="方正仿宋_GB2312" w:cs="方正仿宋_GB2312"/>
          <w:sz w:val="32"/>
          <w:szCs w:val="32"/>
        </w:rPr>
        <w:t>元、政府采购服务预算0</w:t>
      </w:r>
      <w:r>
        <w:rPr>
          <w:rFonts w:hint="eastAsia" w:ascii="方正仿宋_GB2312" w:hAnsi="方正仿宋_GB2312" w:eastAsia="方正仿宋_GB2312" w:cs="方正仿宋_GB2312"/>
          <w:sz w:val="32"/>
          <w:szCs w:val="32"/>
          <w:lang w:val="en-US" w:eastAsia="zh-CN"/>
        </w:rPr>
        <w:t>万</w:t>
      </w:r>
      <w:r>
        <w:rPr>
          <w:rFonts w:hint="eastAsia" w:ascii="方正仿宋_GB2312" w:hAnsi="方正仿宋_GB2312" w:eastAsia="方正仿宋_GB2312" w:cs="方正仿宋_GB2312"/>
          <w:sz w:val="32"/>
          <w:szCs w:val="32"/>
        </w:rPr>
        <w:t>元。</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井研县三江镇卫生院</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ascii="方正仿宋_GB2312" w:hAnsi="方正仿宋_GB2312" w:eastAsia="方正仿宋_GB2312" w:cs="方正仿宋_GB2312"/>
          <w:sz w:val="32"/>
          <w:u w:color="auto"/>
        </w:rPr>
        <w:t>井研县三江镇卫生院所属各预算单位共有车辆0辆。单位价值200万元以上大型设备0台（套）。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井研县三江镇卫生院</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u w:color="auto"/>
        </w:rPr>
        <w:t>241</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9</w:t>
      </w:r>
      <w:r>
        <w:rPr>
          <w:rFonts w:hint="eastAsia" w:ascii="方正仿宋_GB2312" w:hAnsi="方正仿宋_GB2312" w:eastAsia="方正仿宋_GB2312" w:cs="方正仿宋_GB2312"/>
          <w:sz w:val="32"/>
          <w:u w:color="auto"/>
          <w:lang w:val="en-US" w:eastAsia="zh-CN"/>
        </w:rPr>
        <w:t>7</w:t>
      </w:r>
      <w:r>
        <w:rPr>
          <w:rFonts w:ascii="方正仿宋_GB2312" w:hAnsi="方正仿宋_GB2312" w:eastAsia="方正仿宋_GB2312" w:cs="方正仿宋_GB2312"/>
          <w:sz w:val="32"/>
          <w:u w:color="auto"/>
        </w:rPr>
        <w:t>万元。开展绩效目标管理的项目1</w:t>
      </w:r>
      <w:r>
        <w:rPr>
          <w:rFonts w:hint="eastAsia" w:ascii="方正仿宋_GB2312" w:hAnsi="方正仿宋_GB2312" w:eastAsia="方正仿宋_GB2312" w:cs="方正仿宋_GB2312"/>
          <w:sz w:val="32"/>
          <w:u w:color="auto"/>
          <w:lang w:val="en-US" w:eastAsia="zh-CN"/>
        </w:rPr>
        <w:t>9</w:t>
      </w:r>
      <w:r>
        <w:rPr>
          <w:rFonts w:ascii="方正仿宋_GB2312" w:hAnsi="方正仿宋_GB2312" w:eastAsia="方正仿宋_GB2312" w:cs="方正仿宋_GB2312"/>
          <w:sz w:val="32"/>
          <w:u w:color="auto"/>
        </w:rPr>
        <w:t>个，涉及预算</w:t>
      </w:r>
      <w:r>
        <w:rPr>
          <w:rFonts w:hint="eastAsia" w:ascii="方正仿宋_GB2312" w:hAnsi="方正仿宋_GB2312" w:eastAsia="方正仿宋_GB2312" w:cs="方正仿宋_GB2312"/>
          <w:sz w:val="32"/>
          <w:u w:color="auto"/>
        </w:rPr>
        <w:t>241</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9</w:t>
      </w:r>
      <w:r>
        <w:rPr>
          <w:rFonts w:hint="eastAsia" w:ascii="方正仿宋_GB2312" w:hAnsi="方正仿宋_GB2312" w:eastAsia="方正仿宋_GB2312" w:cs="方正仿宋_GB2312"/>
          <w:sz w:val="32"/>
          <w:u w:color="auto"/>
          <w:lang w:val="en-US" w:eastAsia="zh-CN"/>
        </w:rPr>
        <w:t>7</w:t>
      </w:r>
      <w:r>
        <w:rPr>
          <w:rFonts w:ascii="方正仿宋_GB2312" w:hAnsi="方正仿宋_GB2312" w:eastAsia="方正仿宋_GB2312" w:cs="方正仿宋_GB2312"/>
          <w:sz w:val="32"/>
          <w:u w:color="auto"/>
        </w:rPr>
        <w:t>万元。</w:t>
      </w:r>
      <w:bookmarkStart w:id="0" w:name="_GoBack"/>
      <w:bookmarkEnd w:id="0"/>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1.财政拨款收支情况：是指一般公共预算、政府性基金预算、国有资本经营预算拨款收支情况。</w:t>
      </w:r>
    </w:p>
    <w:p w14:paraId="460FFDE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2.一般公共预算拨款收入：指县级财政当年拨付的资金。</w:t>
      </w:r>
    </w:p>
    <w:p w14:paraId="40BBF70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3.政府性基金预算:指通过向社会征收以及出让土地、发行彩票等方式取得收入，并专项用于特定基础设施建设和社会事业发展的财政收支预算。</w:t>
      </w:r>
    </w:p>
    <w:p w14:paraId="4F1A045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4.事业收入：指事业单位开展专业业务活动及辅助活动所取得的收入。</w:t>
      </w:r>
    </w:p>
    <w:p w14:paraId="2A50AEF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5.事业单位经营收入：指事业单位在专业业务活动及其辅助活动之外开展非独立核算经营活动取得的收入。</w:t>
      </w:r>
    </w:p>
    <w:p w14:paraId="251A4811">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6.其他收入：指除上述“一般公共预算拨款收入”、“事业收入”、“事业单位经营收入”等以外的收入。主要是利息收入、国有资产出租收入等。</w:t>
      </w:r>
    </w:p>
    <w:p w14:paraId="71B7063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8.上年结转：指以前年度尚未完成，结转到本年仍按原规定用途继续使用的资金。 </w:t>
      </w:r>
    </w:p>
    <w:p w14:paraId="2CADC22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.社会保障和就业支出（类）行政事业单位养老支出（款）机关事业单位基本养老保险缴费支出（项）：反映机关事业单位实施养老保险制度由单位缴纳的基本养老保险费支出。</w:t>
      </w:r>
    </w:p>
    <w:p w14:paraId="5A249B99">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10</w:t>
      </w:r>
      <w:r>
        <w:rPr>
          <w:rFonts w:hint="eastAsia" w:ascii="方正仿宋_GB2312" w:hAnsi="方正仿宋_GB2312" w:eastAsia="方正仿宋_GB2312" w:cs="方正仿宋_GB2312"/>
          <w:sz w:val="32"/>
          <w:szCs w:val="32"/>
        </w:rPr>
        <w:t>.社会保障和就业支出（类）行政事业单位养老支出（款）机关事业单位职业年金缴费支出（项）：反映机关事业单位实施养老保险制度由单位实际缴纳的职业年金支出。</w:t>
      </w:r>
    </w:p>
    <w:p w14:paraId="30B423D8">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11</w:t>
      </w:r>
      <w:r>
        <w:rPr>
          <w:rFonts w:hint="eastAsia" w:ascii="方正仿宋_GB2312" w:hAnsi="方正仿宋_GB2312" w:eastAsia="方正仿宋_GB2312" w:cs="方正仿宋_GB2312"/>
          <w:sz w:val="32"/>
          <w:szCs w:val="32"/>
        </w:rPr>
        <w:t>.卫生健康支出（类）基层医疗卫生机构（款）乡镇卫生院（项）：反映用于乡镇卫生院的支出。</w:t>
      </w:r>
    </w:p>
    <w:p w14:paraId="5DB99470">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12</w:t>
      </w:r>
      <w:r>
        <w:rPr>
          <w:rFonts w:hint="eastAsia" w:ascii="方正仿宋_GB2312" w:hAnsi="方正仿宋_GB2312" w:eastAsia="方正仿宋_GB2312" w:cs="方正仿宋_GB2312"/>
          <w:sz w:val="32"/>
          <w:szCs w:val="32"/>
        </w:rPr>
        <w:t>.卫生健康支出（类）基层医疗卫生机构（款）其他基层医疗卫生机构支出（项）：反映除上述项目以外的其他用于基层医疗卫生机构的支出。</w:t>
      </w:r>
    </w:p>
    <w:p w14:paraId="11B36FCC">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13</w:t>
      </w:r>
      <w:r>
        <w:rPr>
          <w:rFonts w:hint="eastAsia" w:ascii="方正仿宋_GB2312" w:hAnsi="方正仿宋_GB2312" w:eastAsia="方正仿宋_GB2312" w:cs="方正仿宋_GB2312"/>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14:paraId="14D819EE">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14</w:t>
      </w:r>
      <w:r>
        <w:rPr>
          <w:rFonts w:hint="eastAsia" w:ascii="方正仿宋_GB2312" w:hAnsi="方正仿宋_GB2312" w:eastAsia="方正仿宋_GB2312" w:cs="方正仿宋_GB2312"/>
          <w:sz w:val="32"/>
          <w:szCs w:val="32"/>
        </w:rPr>
        <w:t>.卫生健康支出（类）行政事业单位医疗（款）其他行政事业单位医疗支出（项）：反映除上述项目以外的其他用于行政事业单位医疗方面的支出。</w:t>
      </w:r>
    </w:p>
    <w:p w14:paraId="2FFCC323">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rPr>
        <w:t>.住房保障支出（类）住房改革支出（款）住房公积金（项）：反映行政事业单位按人力资源和社会保障部、财政部规定的基本工资和津贴补贴以及规定比例为职工缴纳的住房公积金。</w:t>
      </w:r>
    </w:p>
    <w:p w14:paraId="31C66C96">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16</w:t>
      </w:r>
      <w:r>
        <w:rPr>
          <w:rFonts w:hint="eastAsia" w:ascii="方正仿宋_GB2312" w:hAnsi="方正仿宋_GB2312" w:eastAsia="方正仿宋_GB2312" w:cs="方正仿宋_GB2312"/>
          <w:sz w:val="32"/>
          <w:szCs w:val="32"/>
        </w:rPr>
        <w:t>.基本支出：指为保证机构正常运转，完成日常工作任务而发生的人员支出和公用支出。</w:t>
      </w:r>
    </w:p>
    <w:p w14:paraId="51D8038A">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7</w:t>
      </w:r>
      <w:r>
        <w:rPr>
          <w:rFonts w:hint="eastAsia" w:ascii="方正仿宋_GB2312" w:hAnsi="方正仿宋_GB2312" w:eastAsia="方正仿宋_GB2312" w:cs="方正仿宋_GB2312"/>
          <w:sz w:val="32"/>
          <w:szCs w:val="32"/>
        </w:rPr>
        <w:t>.项目支出：指在基本支出之外为完成特定行政任务和事业发展目标所发生的支出。</w:t>
      </w:r>
    </w:p>
    <w:p w14:paraId="2F3F73C2">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8</w:t>
      </w:r>
      <w:r>
        <w:rPr>
          <w:rFonts w:hint="eastAsia" w:ascii="方正仿宋_GB2312" w:hAnsi="方正仿宋_GB2312" w:eastAsia="方正仿宋_GB2312" w:cs="方正仿宋_GB2312"/>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FEB270E">
      <w:pPr>
        <w:pStyle w:val="7"/>
        <w:widowControl/>
        <w:spacing w:before="0" w:beforeAutospacing="0" w:after="0" w:afterAutospacing="0"/>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w:t>
      </w:r>
      <w:r>
        <w:rPr>
          <w:rFonts w:hint="eastAsia" w:ascii="方正仿宋_GB2312" w:hAnsi="方正仿宋_GB2312" w:eastAsia="方正仿宋_GB2312" w:cs="方正仿宋_GB2312"/>
          <w:sz w:val="32"/>
          <w:szCs w:val="32"/>
          <w:lang w:val="en-US" w:eastAsia="zh-CN"/>
        </w:rPr>
        <w:t>9</w:t>
      </w:r>
      <w:r>
        <w:rPr>
          <w:rFonts w:hint="eastAsia" w:ascii="方正仿宋_GB2312" w:hAnsi="方正仿宋_GB2312" w:eastAsia="方正仿宋_GB2312" w:cs="方正仿宋_GB2312"/>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方正仿宋_GB2312" w:hAnsi="方正仿宋_GB2312" w:eastAsia="方正仿宋_GB2312" w:cs="方正仿宋_GB2312"/>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MiSans Normal">
    <w:altName w:val="宋体"/>
    <w:panose1 w:val="00000500000000000000"/>
    <w:charset w:val="86"/>
    <w:family w:val="auto"/>
    <w:pitch w:val="default"/>
    <w:sig w:usb0="00000000" w:usb1="00000000"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5"/>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A06444"/>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4080A"/>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5A0F33"/>
    <w:rsid w:val="1A8A0974"/>
    <w:rsid w:val="1ADB600A"/>
    <w:rsid w:val="1AE72EE7"/>
    <w:rsid w:val="1B811E82"/>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2FD089A"/>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577FB8"/>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871EC"/>
    <w:rsid w:val="559F553A"/>
    <w:rsid w:val="55A9703D"/>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546CC3"/>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BC11D3C"/>
    <w:rsid w:val="7BDB4226"/>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4"/>
    <w:qFormat/>
    <w:uiPriority w:val="1"/>
    <w:rPr>
      <w:rFonts w:ascii="宋体" w:hAnsi="宋体" w:cs="宋体"/>
      <w:sz w:val="32"/>
      <w:szCs w:val="32"/>
      <w:lang w:val="zh-CN" w:bidi="zh-CN"/>
    </w:rPr>
  </w:style>
  <w:style w:type="paragraph" w:customStyle="1" w:styleId="4">
    <w:name w:val="Default"/>
    <w:qFormat/>
    <w:uiPriority w:val="99"/>
    <w:pPr>
      <w:widowControl w:val="0"/>
      <w:autoSpaceDE w:val="0"/>
      <w:autoSpaceDN w:val="0"/>
      <w:adjustRightInd w:val="0"/>
    </w:pPr>
    <w:rPr>
      <w:rFonts w:ascii="宋体" w:hAnsi="Times New Roman" w:eastAsia="宋体" w:cs="Times New Roman"/>
      <w:color w:val="000000"/>
      <w:kern w:val="0"/>
      <w:sz w:val="24"/>
      <w:szCs w:val="24"/>
      <w:lang w:val="en-US" w:eastAsia="en-US" w:bidi="ar-SA"/>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character" w:customStyle="1" w:styleId="10">
    <w:name w:val="页眉 字符"/>
    <w:basedOn w:val="9"/>
    <w:link w:val="6"/>
    <w:qFormat/>
    <w:uiPriority w:val="0"/>
    <w:rPr>
      <w:rFonts w:ascii="Calibri" w:hAnsi="Calibri"/>
      <w:kern w:val="2"/>
      <w:sz w:val="18"/>
      <w:szCs w:val="18"/>
    </w:rPr>
  </w:style>
  <w:style w:type="paragraph" w:customStyle="1" w:styleId="11">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2">
    <w:name w:val="〖A08〗公文标题"/>
    <w:basedOn w:val="1"/>
    <w:next w:val="1"/>
    <w:qFormat/>
    <w:uiPriority w:val="0"/>
    <w:pPr>
      <w:topLinePunct/>
      <w:spacing w:line="600" w:lineRule="exact"/>
      <w:jc w:val="center"/>
    </w:pPr>
    <w:rPr>
      <w:rFonts w:ascii="方正小标宋简体" w:hAnsi="Calibri" w:eastAsia="方正小标宋简体"/>
      <w:sz w:val="44"/>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4000</Words>
  <Characters>4310</Characters>
  <Lines>12</Lines>
  <Paragraphs>3</Paragraphs>
  <TotalTime>1</TotalTime>
  <ScaleCrop>false</ScaleCrop>
  <LinksUpToDate>false</LinksUpToDate>
  <CharactersWithSpaces>4318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黎洛指艺</cp:lastModifiedBy>
  <dcterms:modified xsi:type="dcterms:W3CDTF">2026-02-25T08:40:01Z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4BCC831FF0F24F18A9453E268540240F_13</vt:lpwstr>
  </property>
  <property fmtid="{D5CDD505-2E9C-101B-9397-08002B2CF9AE}" pid="4" name="KSOTemplateDocerSaveRecord">
    <vt:lpwstr>eyJoZGlkIjoiNGU3MjZkYTI4ODNlODcxYjlmOGE1OTdhNjFjYTNkYmMiLCJ1c2VySWQiOiI0NjMwOTU5OTQifQ==</vt:lpwstr>
  </property>
</Properties>
</file>