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57A22">
      <w:pPr>
        <w:spacing w:beforeLines="0" w:afterLines="0" w:line="360" w:lineRule="auto"/>
        <w:jc w:val="center"/>
        <w:rPr>
          <w:rFonts w:hint="eastAsia" w:ascii="方正小标宋简体" w:hAnsi="方正小标宋简体" w:eastAsia="方正小标宋简体"/>
          <w:kern w:val="2"/>
          <w:sz w:val="72"/>
          <w:lang w:val="zh-CN"/>
        </w:rPr>
      </w:pPr>
    </w:p>
    <w:p w14:paraId="6DD304E6">
      <w:pPr>
        <w:spacing w:beforeLines="0" w:afterLines="0" w:line="360" w:lineRule="auto"/>
        <w:jc w:val="center"/>
        <w:rPr>
          <w:rFonts w:hint="eastAsia" w:ascii="方正小标宋简体" w:hAnsi="方正小标宋简体" w:eastAsia="方正小标宋简体"/>
          <w:kern w:val="2"/>
          <w:sz w:val="72"/>
          <w:lang w:val="zh-CN"/>
        </w:rPr>
      </w:pPr>
    </w:p>
    <w:p w14:paraId="035D5374">
      <w:pPr>
        <w:spacing w:beforeLines="0" w:afterLines="0"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2022年度</w:t>
      </w:r>
    </w:p>
    <w:p w14:paraId="61BE3BD1">
      <w:pPr>
        <w:spacing w:beforeLines="0" w:afterLines="0" w:line="360" w:lineRule="auto"/>
        <w:jc w:val="center"/>
        <w:rPr>
          <w:rFonts w:hint="eastAsia" w:ascii="方正小标宋简体" w:hAnsi="方正小标宋简体" w:eastAsia="方正小标宋简体"/>
          <w:kern w:val="2"/>
          <w:sz w:val="72"/>
          <w:lang w:val="zh-CN"/>
        </w:rPr>
      </w:pPr>
      <w:r>
        <w:rPr>
          <w:rFonts w:hint="eastAsia" w:ascii="方正小标宋简体" w:hAnsi="方正小标宋简体" w:eastAsia="方正小标宋简体"/>
          <w:kern w:val="2"/>
          <w:sz w:val="72"/>
          <w:lang w:val="zh-CN"/>
        </w:rPr>
        <w:t>井研县文化体育和旅游局</w:t>
      </w:r>
    </w:p>
    <w:p w14:paraId="4F73E236">
      <w:pPr>
        <w:spacing w:beforeLines="0" w:afterLines="0"/>
        <w:jc w:val="center"/>
        <w:rPr>
          <w:rFonts w:hint="eastAsia" w:ascii="黑体" w:hAnsi="黑体" w:eastAsia="黑体"/>
          <w:color w:val="auto"/>
          <w:kern w:val="2"/>
          <w:sz w:val="48"/>
          <w:lang w:val="zh-CN"/>
        </w:rPr>
      </w:pPr>
    </w:p>
    <w:p w14:paraId="5956FE4D">
      <w:pPr>
        <w:spacing w:beforeLines="0" w:afterLines="0"/>
        <w:jc w:val="center"/>
        <w:rPr>
          <w:rFonts w:hint="eastAsia" w:ascii="黑体" w:hAnsi="黑体" w:eastAsia="黑体"/>
          <w:color w:val="auto"/>
          <w:kern w:val="2"/>
          <w:sz w:val="48"/>
          <w:lang w:val="zh-CN"/>
        </w:rPr>
      </w:pPr>
    </w:p>
    <w:p w14:paraId="33A81DC7">
      <w:pPr>
        <w:spacing w:beforeLines="0" w:afterLines="0"/>
        <w:jc w:val="center"/>
        <w:rPr>
          <w:rFonts w:hint="eastAsia" w:ascii="黑体" w:hAnsi="黑体" w:eastAsia="黑体"/>
          <w:color w:val="auto"/>
          <w:kern w:val="2"/>
          <w:sz w:val="48"/>
          <w:lang w:val="zh-CN"/>
        </w:rPr>
      </w:pPr>
    </w:p>
    <w:p w14:paraId="1D87C845">
      <w:pPr>
        <w:spacing w:beforeLines="0" w:afterLines="0"/>
        <w:jc w:val="center"/>
        <w:rPr>
          <w:rFonts w:hint="eastAsia" w:ascii="黑体" w:hAnsi="黑体" w:eastAsia="黑体"/>
          <w:color w:val="auto"/>
          <w:kern w:val="2"/>
          <w:sz w:val="48"/>
          <w:lang w:val="zh-CN"/>
        </w:rPr>
      </w:pPr>
    </w:p>
    <w:p w14:paraId="22BF9ABE">
      <w:pPr>
        <w:spacing w:beforeLines="0" w:afterLines="0"/>
        <w:jc w:val="center"/>
        <w:rPr>
          <w:rFonts w:hint="eastAsia" w:ascii="黑体" w:hAnsi="黑体" w:eastAsia="黑体"/>
          <w:color w:val="auto"/>
          <w:kern w:val="2"/>
          <w:sz w:val="48"/>
          <w:lang w:val="zh-CN"/>
        </w:rPr>
      </w:pPr>
    </w:p>
    <w:p w14:paraId="2BE149F0">
      <w:pPr>
        <w:spacing w:beforeLines="0" w:afterLines="0"/>
        <w:jc w:val="center"/>
        <w:rPr>
          <w:rFonts w:hint="eastAsia" w:ascii="黑体" w:hAnsi="黑体" w:eastAsia="黑体"/>
          <w:color w:val="auto"/>
          <w:kern w:val="2"/>
          <w:sz w:val="48"/>
          <w:lang w:val="zh-CN"/>
        </w:rPr>
      </w:pPr>
    </w:p>
    <w:p w14:paraId="430AA5E4">
      <w:pPr>
        <w:spacing w:beforeLines="0" w:afterLines="0"/>
        <w:jc w:val="center"/>
        <w:rPr>
          <w:rFonts w:hint="eastAsia" w:ascii="黑体" w:hAnsi="黑体" w:eastAsia="黑体"/>
          <w:color w:val="auto"/>
          <w:kern w:val="2"/>
          <w:sz w:val="48"/>
          <w:lang w:val="zh-CN"/>
        </w:rPr>
      </w:pPr>
    </w:p>
    <w:p w14:paraId="61E664AD">
      <w:pPr>
        <w:spacing w:beforeLines="0" w:afterLines="0"/>
        <w:jc w:val="center"/>
        <w:rPr>
          <w:rFonts w:hint="eastAsia" w:ascii="黑体" w:hAnsi="黑体" w:eastAsia="黑体"/>
          <w:color w:val="auto"/>
          <w:kern w:val="2"/>
          <w:sz w:val="48"/>
          <w:lang w:val="zh-CN"/>
        </w:rPr>
      </w:pPr>
    </w:p>
    <w:p w14:paraId="32E45291">
      <w:pPr>
        <w:spacing w:beforeLines="0" w:afterLines="0"/>
        <w:jc w:val="center"/>
        <w:rPr>
          <w:rFonts w:hint="eastAsia" w:ascii="黑体" w:hAnsi="黑体" w:eastAsia="黑体"/>
          <w:color w:val="auto"/>
          <w:kern w:val="2"/>
          <w:sz w:val="48"/>
          <w:lang w:val="zh-CN"/>
        </w:rPr>
      </w:pPr>
    </w:p>
    <w:p w14:paraId="36FC1353">
      <w:pPr>
        <w:spacing w:beforeLines="0" w:afterLines="0"/>
        <w:jc w:val="center"/>
        <w:rPr>
          <w:rFonts w:hint="eastAsia" w:ascii="黑体" w:hAnsi="黑体" w:eastAsia="黑体"/>
          <w:color w:val="auto"/>
          <w:kern w:val="2"/>
          <w:sz w:val="48"/>
          <w:lang w:val="zh-CN"/>
        </w:rPr>
      </w:pPr>
    </w:p>
    <w:p w14:paraId="3D7B4DC3">
      <w:pPr>
        <w:spacing w:beforeLines="0" w:afterLines="0"/>
        <w:jc w:val="center"/>
        <w:rPr>
          <w:rFonts w:hint="eastAsia" w:ascii="黑体" w:hAnsi="黑体" w:eastAsia="黑体"/>
          <w:color w:val="auto"/>
          <w:kern w:val="2"/>
          <w:sz w:val="48"/>
          <w:lang w:val="zh-CN"/>
        </w:rPr>
      </w:pPr>
    </w:p>
    <w:p w14:paraId="515A0089">
      <w:pPr>
        <w:spacing w:beforeLines="0" w:afterLines="0"/>
        <w:jc w:val="center"/>
        <w:rPr>
          <w:rFonts w:hint="eastAsia" w:ascii="黑体" w:hAnsi="黑体" w:eastAsia="黑体"/>
          <w:color w:val="auto"/>
          <w:kern w:val="2"/>
          <w:sz w:val="48"/>
          <w:lang w:val="zh-CN"/>
        </w:rPr>
      </w:pPr>
    </w:p>
    <w:p w14:paraId="22B734CC">
      <w:pPr>
        <w:spacing w:beforeLines="0" w:afterLines="0"/>
        <w:jc w:val="center"/>
        <w:rPr>
          <w:rFonts w:hint="eastAsia" w:ascii="黑体" w:hAnsi="黑体" w:eastAsia="黑体"/>
          <w:color w:val="auto"/>
          <w:kern w:val="2"/>
          <w:sz w:val="48"/>
          <w:lang w:val="zh-CN"/>
        </w:rPr>
      </w:pPr>
    </w:p>
    <w:p w14:paraId="38AC9ED1">
      <w:pPr>
        <w:spacing w:beforeLines="0" w:afterLines="0"/>
        <w:jc w:val="center"/>
        <w:rPr>
          <w:rFonts w:hint="eastAsia" w:ascii="黑体" w:hAnsi="黑体" w:eastAsia="黑体"/>
          <w:color w:val="auto"/>
          <w:kern w:val="2"/>
          <w:sz w:val="48"/>
          <w:lang w:val="zh-CN"/>
        </w:rPr>
      </w:pPr>
    </w:p>
    <w:p w14:paraId="3983241A">
      <w:pPr>
        <w:spacing w:beforeLines="0" w:afterLines="0"/>
        <w:jc w:val="center"/>
        <w:rPr>
          <w:rFonts w:hint="eastAsia" w:ascii="黑体" w:hAnsi="黑体" w:eastAsia="黑体"/>
          <w:color w:val="auto"/>
          <w:kern w:val="2"/>
          <w:sz w:val="48"/>
          <w:lang w:val="zh-CN"/>
        </w:rPr>
      </w:pPr>
    </w:p>
    <w:p w14:paraId="0A75E113">
      <w:pPr>
        <w:spacing w:beforeLines="0" w:afterLines="0"/>
        <w:jc w:val="center"/>
        <w:rPr>
          <w:rFonts w:hint="eastAsia" w:ascii="黑体" w:hAnsi="黑体" w:eastAsia="黑体"/>
          <w:color w:val="auto"/>
          <w:kern w:val="2"/>
          <w:sz w:val="48"/>
          <w:lang w:val="zh-CN"/>
        </w:rPr>
      </w:pPr>
    </w:p>
    <w:p w14:paraId="0C225C68">
      <w:pPr>
        <w:spacing w:beforeLines="0" w:afterLines="0"/>
        <w:jc w:val="center"/>
        <w:rPr>
          <w:rFonts w:hint="eastAsia" w:ascii="黑体" w:hAnsi="黑体" w:eastAsia="黑体"/>
          <w:color w:val="auto"/>
          <w:kern w:val="2"/>
          <w:sz w:val="48"/>
          <w:lang w:val="zh-CN"/>
        </w:rPr>
      </w:pPr>
      <w:r>
        <w:rPr>
          <w:rFonts w:hint="eastAsia" w:ascii="黑体" w:hAnsi="黑体" w:eastAsia="黑体"/>
          <w:color w:val="auto"/>
          <w:kern w:val="2"/>
          <w:sz w:val="48"/>
          <w:lang w:val="zh-CN"/>
        </w:rPr>
        <w:t>目录</w:t>
      </w:r>
    </w:p>
    <w:p w14:paraId="3352804F">
      <w:pPr>
        <w:spacing w:beforeLines="0" w:afterLines="0"/>
        <w:jc w:val="center"/>
        <w:rPr>
          <w:rFonts w:hint="eastAsia" w:ascii="黑体" w:hAnsi="黑体" w:eastAsia="黑体"/>
          <w:color w:val="auto"/>
          <w:kern w:val="2"/>
          <w:sz w:val="28"/>
          <w:lang w:val="zh-CN"/>
        </w:rPr>
      </w:pPr>
    </w:p>
    <w:p w14:paraId="3EA8570F">
      <w:pPr>
        <w:tabs>
          <w:tab w:val="right" w:leader="dot" w:pos="8296"/>
        </w:tabs>
        <w:spacing w:before="93" w:beforeLines="0" w:afterLines="0"/>
        <w:jc w:val="center"/>
        <w:rPr>
          <w:rFonts w:hint="eastAsia" w:ascii="仿宋" w:hAnsi="仿宋" w:eastAsia="仿宋"/>
          <w:color w:val="auto"/>
          <w:kern w:val="2"/>
          <w:sz w:val="28"/>
          <w:lang w:val="zh-CN"/>
        </w:rPr>
      </w:pPr>
      <w:r>
        <w:rPr>
          <w:rFonts w:hint="eastAsia" w:ascii="仿宋" w:hAnsi="仿宋" w:eastAsia="仿宋"/>
          <w:color w:val="auto"/>
          <w:kern w:val="2"/>
          <w:sz w:val="28"/>
          <w:lang w:val="zh-CN"/>
        </w:rPr>
        <w:t xml:space="preserve">公开时间：2023年 </w:t>
      </w:r>
      <w:r>
        <w:rPr>
          <w:rFonts w:hint="eastAsia" w:ascii="仿宋" w:hAnsi="仿宋" w:eastAsia="仿宋"/>
          <w:color w:val="auto"/>
          <w:kern w:val="2"/>
          <w:sz w:val="28"/>
          <w:lang w:val="en-US" w:eastAsia="zh-CN"/>
        </w:rPr>
        <w:t>9</w:t>
      </w:r>
      <w:r>
        <w:rPr>
          <w:rFonts w:hint="eastAsia" w:ascii="仿宋" w:hAnsi="仿宋" w:eastAsia="仿宋"/>
          <w:color w:val="auto"/>
          <w:kern w:val="2"/>
          <w:sz w:val="28"/>
          <w:lang w:val="zh-CN"/>
        </w:rPr>
        <w:t>月</w:t>
      </w:r>
      <w:r>
        <w:rPr>
          <w:rFonts w:hint="eastAsia" w:ascii="仿宋" w:hAnsi="仿宋" w:eastAsia="仿宋"/>
          <w:color w:val="auto"/>
          <w:kern w:val="2"/>
          <w:sz w:val="28"/>
          <w:lang w:val="en-US" w:eastAsia="zh-CN"/>
        </w:rPr>
        <w:t>25</w:t>
      </w:r>
      <w:r>
        <w:rPr>
          <w:rFonts w:hint="eastAsia" w:ascii="仿宋" w:hAnsi="仿宋" w:eastAsia="仿宋"/>
          <w:color w:val="auto"/>
          <w:kern w:val="2"/>
          <w:sz w:val="28"/>
          <w:lang w:val="zh-CN"/>
        </w:rPr>
        <w:t>日</w:t>
      </w:r>
    </w:p>
    <w:p w14:paraId="257ED4E9">
      <w:pPr>
        <w:spacing w:beforeLines="0" w:afterLines="0"/>
        <w:jc w:val="both"/>
        <w:rPr>
          <w:rFonts w:hint="eastAsia" w:ascii="Times New Roman" w:hAnsi="Times New Roman" w:eastAsia="Times New Roman"/>
          <w:color w:val="auto"/>
          <w:kern w:val="2"/>
          <w:sz w:val="21"/>
          <w:lang w:val="zh-CN"/>
        </w:rPr>
      </w:pPr>
    </w:p>
    <w:sdt>
      <w:sdtPr>
        <w:rPr>
          <w:rFonts w:hint="default" w:ascii="宋体" w:hAnsi="宋体" w:eastAsia="宋体" w:cs="Times New Roman"/>
          <w:sz w:val="21"/>
        </w:rPr>
        <w:id w:val="147475946"/>
        <w15:color w:val="DBDBDB"/>
        <w:docPartObj>
          <w:docPartGallery w:val="Table of Contents"/>
          <w:docPartUnique/>
        </w:docPartObj>
      </w:sdtPr>
      <w:sdtEndPr>
        <w:rPr>
          <w:rFonts w:hint="default" w:ascii="宋体" w:hAnsi="宋体" w:eastAsia="宋体" w:cs="Times New Roman"/>
          <w:sz w:val="20"/>
          <w:szCs w:val="20"/>
        </w:rPr>
      </w:sdtEndPr>
      <w:sdtContent>
        <w:p w14:paraId="3A7A6CD4">
          <w:pPr>
            <w:spacing w:before="0" w:beforeLines="0" w:after="0" w:afterLines="0" w:line="240" w:lineRule="auto"/>
            <w:ind w:left="0" w:leftChars="0" w:right="0" w:rightChars="0" w:firstLine="0" w:firstLineChars="0"/>
            <w:jc w:val="center"/>
            <w:rPr>
              <w:sz w:val="36"/>
              <w:szCs w:val="24"/>
            </w:rPr>
          </w:pPr>
          <w:bookmarkStart w:id="0" w:name="_Toc29491_WPSOffice_Type2"/>
        </w:p>
        <w:p w14:paraId="00DA0448">
          <w:pPr>
            <w:pStyle w:val="13"/>
            <w:tabs>
              <w:tab w:val="right" w:leader="dot" w:pos="8306"/>
            </w:tabs>
            <w:rPr>
              <w:sz w:val="24"/>
              <w:szCs w:val="24"/>
            </w:rPr>
          </w:pPr>
          <w:r>
            <w:rPr>
              <w:b/>
              <w:bCs/>
              <w:sz w:val="24"/>
              <w:szCs w:val="24"/>
            </w:rPr>
            <w:fldChar w:fldCharType="begin"/>
          </w:r>
          <w:r>
            <w:rPr>
              <w:sz w:val="24"/>
              <w:szCs w:val="24"/>
            </w:rPr>
            <w:instrText xml:space="preserve"> HYPERLINK \l _Toc7466_WPSOffice_Level1 </w:instrText>
          </w:r>
          <w:r>
            <w:rPr>
              <w:b/>
              <w:bCs/>
              <w:sz w:val="24"/>
              <w:szCs w:val="24"/>
            </w:rPr>
            <w:fldChar w:fldCharType="separate"/>
          </w:r>
          <w:sdt>
            <w:sdtPr>
              <w:rPr>
                <w:rFonts w:hint="default" w:ascii="Times New Roman" w:hAnsi="Times New Roman" w:eastAsia="宋体" w:cs="Times New Roman"/>
                <w:b/>
                <w:bCs/>
                <w:sz w:val="36"/>
                <w:szCs w:val="24"/>
              </w:rPr>
              <w:id w:val="147481370"/>
              <w:placeholder>
                <w:docPart w:val="{619cc391-98e2-42ae-9ef2-6db42adc1e76}"/>
              </w:placeholder>
              <w15:color w:val="509DF3"/>
            </w:sdtPr>
            <w:sdtEndPr>
              <w:rPr>
                <w:rFonts w:hint="default" w:ascii="Times New Roman" w:hAnsi="Times New Roman" w:eastAsia="宋体" w:cs="Times New Roman"/>
                <w:b/>
                <w:bCs/>
                <w:sz w:val="36"/>
                <w:szCs w:val="24"/>
              </w:rPr>
            </w:sdtEndPr>
            <w:sdtContent>
              <w:r>
                <w:rPr>
                  <w:rFonts w:hint="eastAsia" w:ascii="黑体" w:hAnsi="黑体" w:eastAsia="黑体" w:cs="Times New Roman"/>
                  <w:b/>
                  <w:bCs/>
                  <w:sz w:val="24"/>
                  <w:szCs w:val="24"/>
                </w:rPr>
                <w:t>第一部分 单位概况</w:t>
              </w:r>
            </w:sdtContent>
          </w:sdt>
          <w:r>
            <w:rPr>
              <w:b/>
              <w:bCs/>
              <w:sz w:val="24"/>
              <w:szCs w:val="24"/>
            </w:rPr>
            <w:tab/>
          </w:r>
          <w:bookmarkStart w:id="1" w:name="_Toc7466_WPSOffice_Level1Page"/>
          <w:r>
            <w:rPr>
              <w:b/>
              <w:bCs/>
              <w:sz w:val="24"/>
              <w:szCs w:val="24"/>
            </w:rPr>
            <w:t>1</w:t>
          </w:r>
          <w:bookmarkEnd w:id="1"/>
          <w:r>
            <w:rPr>
              <w:b/>
              <w:bCs/>
              <w:sz w:val="24"/>
              <w:szCs w:val="24"/>
            </w:rPr>
            <w:fldChar w:fldCharType="end"/>
          </w:r>
        </w:p>
        <w:p w14:paraId="54FBD271">
          <w:pPr>
            <w:pStyle w:val="14"/>
            <w:tabs>
              <w:tab w:val="right" w:leader="dot" w:pos="8306"/>
            </w:tabs>
            <w:rPr>
              <w:sz w:val="24"/>
              <w:szCs w:val="24"/>
            </w:rPr>
          </w:pPr>
          <w:r>
            <w:rPr>
              <w:sz w:val="24"/>
              <w:szCs w:val="24"/>
            </w:rPr>
            <w:fldChar w:fldCharType="begin"/>
          </w:r>
          <w:r>
            <w:rPr>
              <w:sz w:val="24"/>
              <w:szCs w:val="24"/>
            </w:rPr>
            <w:instrText xml:space="preserve"> HYPERLINK \l _Toc29491_WPSOffice_Level2 </w:instrText>
          </w:r>
          <w:r>
            <w:rPr>
              <w:sz w:val="24"/>
              <w:szCs w:val="24"/>
            </w:rPr>
            <w:fldChar w:fldCharType="separate"/>
          </w:r>
          <w:sdt>
            <w:sdtPr>
              <w:rPr>
                <w:rFonts w:hint="default" w:ascii="Times New Roman" w:hAnsi="Times New Roman" w:eastAsia="宋体" w:cs="Times New Roman"/>
                <w:sz w:val="36"/>
                <w:szCs w:val="24"/>
              </w:rPr>
              <w:id w:val="147481063"/>
              <w:placeholder>
                <w:docPart w:val="{0b7d3d6b-a72f-4613-81a0-810f07bd33ad}"/>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一、主要职责</w:t>
              </w:r>
            </w:sdtContent>
          </w:sdt>
          <w:r>
            <w:rPr>
              <w:sz w:val="24"/>
              <w:szCs w:val="24"/>
            </w:rPr>
            <w:tab/>
          </w:r>
          <w:bookmarkStart w:id="2" w:name="_Toc29491_WPSOffice_Level2Page"/>
          <w:r>
            <w:rPr>
              <w:sz w:val="24"/>
              <w:szCs w:val="24"/>
            </w:rPr>
            <w:t>1</w:t>
          </w:r>
          <w:bookmarkEnd w:id="2"/>
          <w:r>
            <w:rPr>
              <w:sz w:val="24"/>
              <w:szCs w:val="24"/>
            </w:rPr>
            <w:fldChar w:fldCharType="end"/>
          </w:r>
        </w:p>
        <w:p w14:paraId="591F301E">
          <w:pPr>
            <w:pStyle w:val="14"/>
            <w:tabs>
              <w:tab w:val="right" w:leader="dot" w:pos="8306"/>
            </w:tabs>
            <w:rPr>
              <w:sz w:val="24"/>
              <w:szCs w:val="24"/>
            </w:rPr>
          </w:pPr>
          <w:r>
            <w:rPr>
              <w:sz w:val="24"/>
              <w:szCs w:val="24"/>
            </w:rPr>
            <w:fldChar w:fldCharType="begin"/>
          </w:r>
          <w:r>
            <w:rPr>
              <w:sz w:val="24"/>
              <w:szCs w:val="24"/>
            </w:rPr>
            <w:instrText xml:space="preserve"> HYPERLINK \l _Toc390_WPSOffice_Level2 </w:instrText>
          </w:r>
          <w:r>
            <w:rPr>
              <w:sz w:val="24"/>
              <w:szCs w:val="24"/>
            </w:rPr>
            <w:fldChar w:fldCharType="separate"/>
          </w:r>
          <w:sdt>
            <w:sdtPr>
              <w:rPr>
                <w:rFonts w:hint="default" w:ascii="Times New Roman" w:hAnsi="Times New Roman" w:eastAsia="宋体" w:cs="Times New Roman"/>
                <w:sz w:val="36"/>
                <w:szCs w:val="24"/>
              </w:rPr>
              <w:id w:val="147473748"/>
              <w:placeholder>
                <w:docPart w:val="{ccfbfa3c-3771-4ce0-b07f-dbad3406834b}"/>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二、 机构设置</w:t>
              </w:r>
            </w:sdtContent>
          </w:sdt>
          <w:r>
            <w:rPr>
              <w:sz w:val="24"/>
              <w:szCs w:val="24"/>
            </w:rPr>
            <w:tab/>
          </w:r>
          <w:bookmarkStart w:id="3" w:name="_Toc390_WPSOffice_Level2Page"/>
          <w:r>
            <w:rPr>
              <w:sz w:val="24"/>
              <w:szCs w:val="24"/>
            </w:rPr>
            <w:t>4</w:t>
          </w:r>
          <w:bookmarkEnd w:id="3"/>
          <w:r>
            <w:rPr>
              <w:sz w:val="24"/>
              <w:szCs w:val="24"/>
            </w:rPr>
            <w:fldChar w:fldCharType="end"/>
          </w:r>
        </w:p>
        <w:p w14:paraId="00453331">
          <w:pPr>
            <w:pStyle w:val="13"/>
            <w:tabs>
              <w:tab w:val="right" w:leader="dot" w:pos="8306"/>
            </w:tabs>
            <w:rPr>
              <w:sz w:val="24"/>
              <w:szCs w:val="24"/>
            </w:rPr>
          </w:pPr>
          <w:r>
            <w:rPr>
              <w:b/>
              <w:bCs/>
              <w:sz w:val="24"/>
              <w:szCs w:val="24"/>
            </w:rPr>
            <w:fldChar w:fldCharType="begin"/>
          </w:r>
          <w:r>
            <w:rPr>
              <w:sz w:val="24"/>
              <w:szCs w:val="24"/>
            </w:rPr>
            <w:instrText xml:space="preserve"> HYPERLINK \l _Toc29491_WPSOffice_Level1 </w:instrText>
          </w:r>
          <w:r>
            <w:rPr>
              <w:b/>
              <w:bCs/>
              <w:sz w:val="24"/>
              <w:szCs w:val="24"/>
            </w:rPr>
            <w:fldChar w:fldCharType="separate"/>
          </w:r>
          <w:sdt>
            <w:sdtPr>
              <w:rPr>
                <w:rFonts w:hint="default" w:ascii="Times New Roman" w:hAnsi="Times New Roman" w:eastAsia="宋体" w:cs="Times New Roman"/>
                <w:b/>
                <w:bCs/>
                <w:sz w:val="36"/>
                <w:szCs w:val="24"/>
              </w:rPr>
              <w:id w:val="147463735"/>
              <w:placeholder>
                <w:docPart w:val="{213ea52b-27e5-4ff1-a801-68778ad778d5}"/>
              </w:placeholder>
              <w15:color w:val="509DF3"/>
            </w:sdtPr>
            <w:sdtEndPr>
              <w:rPr>
                <w:rFonts w:hint="default" w:ascii="Times New Roman" w:hAnsi="Times New Roman" w:eastAsia="宋体" w:cs="Times New Roman"/>
                <w:b/>
                <w:bCs/>
                <w:sz w:val="36"/>
                <w:szCs w:val="24"/>
              </w:rPr>
            </w:sdtEndPr>
            <w:sdtContent>
              <w:r>
                <w:rPr>
                  <w:rFonts w:hint="eastAsia" w:ascii="黑体" w:hAnsi="黑体" w:eastAsia="黑体" w:cs="Times New Roman"/>
                  <w:b/>
                  <w:bCs/>
                  <w:sz w:val="24"/>
                  <w:szCs w:val="24"/>
                </w:rPr>
                <w:t>第二部分 2022年度单位决算情况明</w:t>
              </w:r>
            </w:sdtContent>
          </w:sdt>
          <w:r>
            <w:rPr>
              <w:b/>
              <w:bCs/>
              <w:sz w:val="24"/>
              <w:szCs w:val="24"/>
            </w:rPr>
            <w:tab/>
          </w:r>
          <w:bookmarkStart w:id="4" w:name="_Toc29491_WPSOffice_Level1Page"/>
          <w:r>
            <w:rPr>
              <w:b/>
              <w:bCs/>
              <w:sz w:val="24"/>
              <w:szCs w:val="24"/>
            </w:rPr>
            <w:t>5</w:t>
          </w:r>
          <w:bookmarkEnd w:id="4"/>
          <w:r>
            <w:rPr>
              <w:b/>
              <w:bCs/>
              <w:sz w:val="24"/>
              <w:szCs w:val="24"/>
            </w:rPr>
            <w:fldChar w:fldCharType="end"/>
          </w:r>
        </w:p>
        <w:p w14:paraId="7B4946D4">
          <w:pPr>
            <w:pStyle w:val="14"/>
            <w:tabs>
              <w:tab w:val="right" w:leader="dot" w:pos="8306"/>
            </w:tabs>
            <w:rPr>
              <w:sz w:val="24"/>
              <w:szCs w:val="24"/>
            </w:rPr>
          </w:pPr>
          <w:r>
            <w:rPr>
              <w:sz w:val="24"/>
              <w:szCs w:val="24"/>
            </w:rPr>
            <w:fldChar w:fldCharType="begin"/>
          </w:r>
          <w:r>
            <w:rPr>
              <w:sz w:val="24"/>
              <w:szCs w:val="24"/>
            </w:rPr>
            <w:instrText xml:space="preserve"> HYPERLINK \l _Toc16906_WPSOffice_Level2 </w:instrText>
          </w:r>
          <w:r>
            <w:rPr>
              <w:sz w:val="24"/>
              <w:szCs w:val="24"/>
            </w:rPr>
            <w:fldChar w:fldCharType="separate"/>
          </w:r>
          <w:sdt>
            <w:sdtPr>
              <w:rPr>
                <w:rFonts w:hint="default" w:ascii="Times New Roman" w:hAnsi="Times New Roman" w:eastAsia="宋体" w:cs="Times New Roman"/>
                <w:sz w:val="36"/>
                <w:szCs w:val="24"/>
              </w:rPr>
              <w:id w:val="147482204"/>
              <w:placeholder>
                <w:docPart w:val="{429cc79d-e186-4db1-b9fe-4c9b8533a984}"/>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一、收入支出决算总体情况说明</w:t>
              </w:r>
            </w:sdtContent>
          </w:sdt>
          <w:r>
            <w:rPr>
              <w:sz w:val="24"/>
              <w:szCs w:val="24"/>
            </w:rPr>
            <w:tab/>
          </w:r>
          <w:bookmarkStart w:id="5" w:name="_Toc16906_WPSOffice_Level2Page"/>
          <w:r>
            <w:rPr>
              <w:sz w:val="24"/>
              <w:szCs w:val="24"/>
            </w:rPr>
            <w:t>5</w:t>
          </w:r>
          <w:bookmarkEnd w:id="5"/>
          <w:r>
            <w:rPr>
              <w:sz w:val="24"/>
              <w:szCs w:val="24"/>
            </w:rPr>
            <w:fldChar w:fldCharType="end"/>
          </w:r>
        </w:p>
        <w:p w14:paraId="3D9FFC0A">
          <w:pPr>
            <w:pStyle w:val="14"/>
            <w:tabs>
              <w:tab w:val="right" w:leader="dot" w:pos="8306"/>
            </w:tabs>
            <w:rPr>
              <w:sz w:val="24"/>
              <w:szCs w:val="24"/>
            </w:rPr>
          </w:pPr>
          <w:r>
            <w:rPr>
              <w:sz w:val="24"/>
              <w:szCs w:val="24"/>
            </w:rPr>
            <w:fldChar w:fldCharType="begin"/>
          </w:r>
          <w:r>
            <w:rPr>
              <w:sz w:val="24"/>
              <w:szCs w:val="24"/>
            </w:rPr>
            <w:instrText xml:space="preserve"> HYPERLINK \l _Toc1138_WPSOffice_Level2 </w:instrText>
          </w:r>
          <w:r>
            <w:rPr>
              <w:sz w:val="24"/>
              <w:szCs w:val="24"/>
            </w:rPr>
            <w:fldChar w:fldCharType="separate"/>
          </w:r>
          <w:sdt>
            <w:sdtPr>
              <w:rPr>
                <w:rFonts w:hint="default" w:ascii="Times New Roman" w:hAnsi="Times New Roman" w:eastAsia="宋体" w:cs="Times New Roman"/>
                <w:sz w:val="36"/>
                <w:szCs w:val="24"/>
              </w:rPr>
              <w:id w:val="147472528"/>
              <w:placeholder>
                <w:docPart w:val="{a276d484-110c-479e-8230-a38ee1730ec4}"/>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二、收入决算情况说明</w:t>
              </w:r>
            </w:sdtContent>
          </w:sdt>
          <w:r>
            <w:rPr>
              <w:sz w:val="24"/>
              <w:szCs w:val="24"/>
            </w:rPr>
            <w:tab/>
          </w:r>
          <w:bookmarkStart w:id="6" w:name="_Toc1138_WPSOffice_Level2Page"/>
          <w:r>
            <w:rPr>
              <w:sz w:val="24"/>
              <w:szCs w:val="24"/>
            </w:rPr>
            <w:t>5</w:t>
          </w:r>
          <w:bookmarkEnd w:id="6"/>
          <w:r>
            <w:rPr>
              <w:sz w:val="24"/>
              <w:szCs w:val="24"/>
            </w:rPr>
            <w:fldChar w:fldCharType="end"/>
          </w:r>
        </w:p>
        <w:p w14:paraId="0A39D10B">
          <w:pPr>
            <w:pStyle w:val="14"/>
            <w:tabs>
              <w:tab w:val="right" w:leader="dot" w:pos="8306"/>
            </w:tabs>
            <w:rPr>
              <w:sz w:val="24"/>
              <w:szCs w:val="24"/>
            </w:rPr>
          </w:pPr>
          <w:r>
            <w:rPr>
              <w:sz w:val="24"/>
              <w:szCs w:val="24"/>
            </w:rPr>
            <w:fldChar w:fldCharType="begin"/>
          </w:r>
          <w:r>
            <w:rPr>
              <w:sz w:val="24"/>
              <w:szCs w:val="24"/>
            </w:rPr>
            <w:instrText xml:space="preserve"> HYPERLINK \l _Toc7695_WPSOffice_Level2 </w:instrText>
          </w:r>
          <w:r>
            <w:rPr>
              <w:sz w:val="24"/>
              <w:szCs w:val="24"/>
            </w:rPr>
            <w:fldChar w:fldCharType="separate"/>
          </w:r>
          <w:sdt>
            <w:sdtPr>
              <w:rPr>
                <w:rFonts w:hint="default" w:ascii="Times New Roman" w:hAnsi="Times New Roman" w:eastAsia="宋体" w:cs="Times New Roman"/>
                <w:sz w:val="36"/>
                <w:szCs w:val="24"/>
              </w:rPr>
              <w:id w:val="147478750"/>
              <w:placeholder>
                <w:docPart w:val="{be7df837-4b5e-44cc-a080-11f1fdbca576}"/>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三、支出决算情况说明</w:t>
              </w:r>
            </w:sdtContent>
          </w:sdt>
          <w:r>
            <w:rPr>
              <w:sz w:val="24"/>
              <w:szCs w:val="24"/>
            </w:rPr>
            <w:tab/>
          </w:r>
          <w:bookmarkStart w:id="7" w:name="_Toc7695_WPSOffice_Level2Page"/>
          <w:r>
            <w:rPr>
              <w:sz w:val="24"/>
              <w:szCs w:val="24"/>
            </w:rPr>
            <w:t>6</w:t>
          </w:r>
          <w:bookmarkEnd w:id="7"/>
          <w:r>
            <w:rPr>
              <w:sz w:val="24"/>
              <w:szCs w:val="24"/>
            </w:rPr>
            <w:fldChar w:fldCharType="end"/>
          </w:r>
        </w:p>
        <w:p w14:paraId="448EF631">
          <w:pPr>
            <w:pStyle w:val="14"/>
            <w:tabs>
              <w:tab w:val="right" w:leader="dot" w:pos="8306"/>
            </w:tabs>
            <w:rPr>
              <w:sz w:val="24"/>
              <w:szCs w:val="24"/>
            </w:rPr>
          </w:pPr>
          <w:r>
            <w:rPr>
              <w:sz w:val="24"/>
              <w:szCs w:val="24"/>
            </w:rPr>
            <w:fldChar w:fldCharType="begin"/>
          </w:r>
          <w:r>
            <w:rPr>
              <w:sz w:val="24"/>
              <w:szCs w:val="24"/>
            </w:rPr>
            <w:instrText xml:space="preserve"> HYPERLINK \l _Toc10408_WPSOffice_Level2 </w:instrText>
          </w:r>
          <w:r>
            <w:rPr>
              <w:sz w:val="24"/>
              <w:szCs w:val="24"/>
            </w:rPr>
            <w:fldChar w:fldCharType="separate"/>
          </w:r>
          <w:sdt>
            <w:sdtPr>
              <w:rPr>
                <w:rFonts w:hint="default" w:ascii="Times New Roman" w:hAnsi="Times New Roman" w:eastAsia="宋体" w:cs="Times New Roman"/>
                <w:sz w:val="36"/>
                <w:szCs w:val="24"/>
              </w:rPr>
              <w:id w:val="147463875"/>
              <w:placeholder>
                <w:docPart w:val="{5ca7885f-8686-4757-8171-0009b60b4000}"/>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四、财政拨款收入支出决算总体情况说明</w:t>
              </w:r>
            </w:sdtContent>
          </w:sdt>
          <w:r>
            <w:rPr>
              <w:sz w:val="24"/>
              <w:szCs w:val="24"/>
            </w:rPr>
            <w:tab/>
          </w:r>
          <w:bookmarkStart w:id="8" w:name="_Toc10408_WPSOffice_Level2Page"/>
          <w:r>
            <w:rPr>
              <w:sz w:val="24"/>
              <w:szCs w:val="24"/>
            </w:rPr>
            <w:t>7</w:t>
          </w:r>
          <w:bookmarkEnd w:id="8"/>
          <w:r>
            <w:rPr>
              <w:sz w:val="24"/>
              <w:szCs w:val="24"/>
            </w:rPr>
            <w:fldChar w:fldCharType="end"/>
          </w:r>
        </w:p>
        <w:p w14:paraId="1253CD56">
          <w:pPr>
            <w:pStyle w:val="14"/>
            <w:tabs>
              <w:tab w:val="right" w:leader="dot" w:pos="8306"/>
            </w:tabs>
            <w:rPr>
              <w:sz w:val="24"/>
              <w:szCs w:val="24"/>
            </w:rPr>
          </w:pPr>
          <w:r>
            <w:rPr>
              <w:sz w:val="24"/>
              <w:szCs w:val="24"/>
            </w:rPr>
            <w:fldChar w:fldCharType="begin"/>
          </w:r>
          <w:r>
            <w:rPr>
              <w:sz w:val="24"/>
              <w:szCs w:val="24"/>
            </w:rPr>
            <w:instrText xml:space="preserve"> HYPERLINK \l _Toc21696_WPSOffice_Level2 </w:instrText>
          </w:r>
          <w:r>
            <w:rPr>
              <w:sz w:val="24"/>
              <w:szCs w:val="24"/>
            </w:rPr>
            <w:fldChar w:fldCharType="separate"/>
          </w:r>
          <w:sdt>
            <w:sdtPr>
              <w:rPr>
                <w:rFonts w:hint="default" w:ascii="Times New Roman" w:hAnsi="Times New Roman" w:eastAsia="宋体" w:cs="Times New Roman"/>
                <w:sz w:val="36"/>
                <w:szCs w:val="24"/>
              </w:rPr>
              <w:id w:val="147478010"/>
              <w:placeholder>
                <w:docPart w:val="{5e160fef-d59c-42e4-8dc8-451ec940eb5c}"/>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六、一般公共预算财政拨款基本支出决算情况说明</w:t>
              </w:r>
            </w:sdtContent>
          </w:sdt>
          <w:r>
            <w:rPr>
              <w:sz w:val="24"/>
              <w:szCs w:val="24"/>
            </w:rPr>
            <w:tab/>
          </w:r>
          <w:bookmarkStart w:id="9" w:name="_Toc21696_WPSOffice_Level2Page"/>
          <w:r>
            <w:rPr>
              <w:sz w:val="24"/>
              <w:szCs w:val="24"/>
            </w:rPr>
            <w:t>11</w:t>
          </w:r>
          <w:bookmarkEnd w:id="9"/>
          <w:r>
            <w:rPr>
              <w:sz w:val="24"/>
              <w:szCs w:val="24"/>
            </w:rPr>
            <w:fldChar w:fldCharType="end"/>
          </w:r>
        </w:p>
        <w:p w14:paraId="50E4634F">
          <w:pPr>
            <w:pStyle w:val="14"/>
            <w:tabs>
              <w:tab w:val="right" w:leader="dot" w:pos="8306"/>
            </w:tabs>
            <w:rPr>
              <w:sz w:val="24"/>
              <w:szCs w:val="24"/>
            </w:rPr>
          </w:pPr>
          <w:r>
            <w:rPr>
              <w:sz w:val="24"/>
              <w:szCs w:val="24"/>
            </w:rPr>
            <w:fldChar w:fldCharType="begin"/>
          </w:r>
          <w:r>
            <w:rPr>
              <w:sz w:val="24"/>
              <w:szCs w:val="24"/>
            </w:rPr>
            <w:instrText xml:space="preserve"> HYPERLINK \l _Toc13884_WPSOffice_Level2 </w:instrText>
          </w:r>
          <w:r>
            <w:rPr>
              <w:sz w:val="24"/>
              <w:szCs w:val="24"/>
            </w:rPr>
            <w:fldChar w:fldCharType="separate"/>
          </w:r>
          <w:sdt>
            <w:sdtPr>
              <w:rPr>
                <w:rFonts w:hint="default" w:ascii="Times New Roman" w:hAnsi="Times New Roman" w:eastAsia="宋体" w:cs="Times New Roman"/>
                <w:sz w:val="36"/>
                <w:szCs w:val="24"/>
              </w:rPr>
              <w:id w:val="147469740"/>
              <w:placeholder>
                <w:docPart w:val="{11a2453d-7417-4e64-9183-580f02d0ed70}"/>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 xml:space="preserve">七、 </w:t>
              </w:r>
              <w:r>
                <w:rPr>
                  <w:rFonts w:hint="default" w:ascii="黑体" w:hAnsi="黑体" w:eastAsia="黑体" w:cs="Times New Roman"/>
                  <w:sz w:val="24"/>
                  <w:szCs w:val="24"/>
                </w:rPr>
                <w:t>“</w:t>
              </w:r>
              <w:r>
                <w:rPr>
                  <w:rFonts w:hint="eastAsia" w:ascii="黑体" w:hAnsi="黑体" w:eastAsia="黑体" w:cs="Times New Roman"/>
                  <w:sz w:val="24"/>
                  <w:szCs w:val="24"/>
                </w:rPr>
                <w:t>三公</w:t>
              </w:r>
              <w:r>
                <w:rPr>
                  <w:rFonts w:hint="default" w:ascii="黑体" w:hAnsi="黑体" w:eastAsia="黑体" w:cs="Times New Roman"/>
                  <w:sz w:val="24"/>
                  <w:szCs w:val="24"/>
                </w:rPr>
                <w:t>”</w:t>
              </w:r>
              <w:r>
                <w:rPr>
                  <w:rFonts w:hint="eastAsia" w:ascii="黑体" w:hAnsi="黑体" w:eastAsia="黑体" w:cs="Times New Roman"/>
                  <w:sz w:val="24"/>
                  <w:szCs w:val="24"/>
                </w:rPr>
                <w:t>经费财政拨款支出决算情况说明</w:t>
              </w:r>
            </w:sdtContent>
          </w:sdt>
          <w:r>
            <w:rPr>
              <w:sz w:val="24"/>
              <w:szCs w:val="24"/>
            </w:rPr>
            <w:tab/>
          </w:r>
          <w:bookmarkStart w:id="10" w:name="_Toc13884_WPSOffice_Level2Page"/>
          <w:r>
            <w:rPr>
              <w:sz w:val="24"/>
              <w:szCs w:val="24"/>
            </w:rPr>
            <w:t>12</w:t>
          </w:r>
          <w:bookmarkEnd w:id="10"/>
          <w:r>
            <w:rPr>
              <w:sz w:val="24"/>
              <w:szCs w:val="24"/>
            </w:rPr>
            <w:fldChar w:fldCharType="end"/>
          </w:r>
        </w:p>
        <w:p w14:paraId="77BFD762">
          <w:pPr>
            <w:pStyle w:val="14"/>
            <w:tabs>
              <w:tab w:val="right" w:leader="dot" w:pos="8306"/>
            </w:tabs>
            <w:rPr>
              <w:sz w:val="24"/>
              <w:szCs w:val="24"/>
            </w:rPr>
          </w:pPr>
          <w:r>
            <w:rPr>
              <w:sz w:val="24"/>
              <w:szCs w:val="24"/>
            </w:rPr>
            <w:fldChar w:fldCharType="begin"/>
          </w:r>
          <w:r>
            <w:rPr>
              <w:sz w:val="24"/>
              <w:szCs w:val="24"/>
            </w:rPr>
            <w:instrText xml:space="preserve"> HYPERLINK \l _Toc17449_WPSOffice_Level2 </w:instrText>
          </w:r>
          <w:r>
            <w:rPr>
              <w:sz w:val="24"/>
              <w:szCs w:val="24"/>
            </w:rPr>
            <w:fldChar w:fldCharType="separate"/>
          </w:r>
          <w:sdt>
            <w:sdtPr>
              <w:rPr>
                <w:rFonts w:hint="default" w:ascii="Times New Roman" w:hAnsi="Times New Roman" w:eastAsia="宋体" w:cs="Times New Roman"/>
                <w:sz w:val="36"/>
                <w:szCs w:val="24"/>
              </w:rPr>
              <w:id w:val="147482215"/>
              <w:placeholder>
                <w:docPart w:val="{f2c85cd8-8e2d-4e92-a1e2-088566b09a3a}"/>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八、政府性基金预算支出决算情况说明</w:t>
              </w:r>
            </w:sdtContent>
          </w:sdt>
          <w:r>
            <w:rPr>
              <w:sz w:val="24"/>
              <w:szCs w:val="24"/>
            </w:rPr>
            <w:tab/>
          </w:r>
          <w:bookmarkStart w:id="11" w:name="_Toc17449_WPSOffice_Level2Page"/>
          <w:r>
            <w:rPr>
              <w:sz w:val="24"/>
              <w:szCs w:val="24"/>
            </w:rPr>
            <w:t>13</w:t>
          </w:r>
          <w:bookmarkEnd w:id="11"/>
          <w:r>
            <w:rPr>
              <w:sz w:val="24"/>
              <w:szCs w:val="24"/>
            </w:rPr>
            <w:fldChar w:fldCharType="end"/>
          </w:r>
        </w:p>
        <w:p w14:paraId="228F46EC">
          <w:pPr>
            <w:pStyle w:val="14"/>
            <w:tabs>
              <w:tab w:val="right" w:leader="dot" w:pos="8306"/>
            </w:tabs>
            <w:rPr>
              <w:sz w:val="24"/>
              <w:szCs w:val="24"/>
            </w:rPr>
          </w:pPr>
          <w:r>
            <w:rPr>
              <w:sz w:val="24"/>
              <w:szCs w:val="24"/>
            </w:rPr>
            <w:fldChar w:fldCharType="begin"/>
          </w:r>
          <w:r>
            <w:rPr>
              <w:sz w:val="24"/>
              <w:szCs w:val="24"/>
            </w:rPr>
            <w:instrText xml:space="preserve"> HYPERLINK \l _Toc6192_WPSOffice_Level2 </w:instrText>
          </w:r>
          <w:r>
            <w:rPr>
              <w:sz w:val="24"/>
              <w:szCs w:val="24"/>
            </w:rPr>
            <w:fldChar w:fldCharType="separate"/>
          </w:r>
          <w:sdt>
            <w:sdtPr>
              <w:rPr>
                <w:rFonts w:hint="default" w:ascii="Times New Roman" w:hAnsi="Times New Roman" w:eastAsia="宋体" w:cs="Times New Roman"/>
                <w:sz w:val="36"/>
                <w:szCs w:val="24"/>
              </w:rPr>
              <w:id w:val="147457369"/>
              <w:placeholder>
                <w:docPart w:val="{8efb7221-6183-4b5d-b194-09a5a0313143}"/>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九、国有资本经营预算支出决算情况说明</w:t>
              </w:r>
            </w:sdtContent>
          </w:sdt>
          <w:r>
            <w:rPr>
              <w:sz w:val="24"/>
              <w:szCs w:val="24"/>
            </w:rPr>
            <w:tab/>
          </w:r>
          <w:bookmarkStart w:id="12" w:name="_Toc6192_WPSOffice_Level2Page"/>
          <w:r>
            <w:rPr>
              <w:sz w:val="24"/>
              <w:szCs w:val="24"/>
            </w:rPr>
            <w:t>14</w:t>
          </w:r>
          <w:bookmarkEnd w:id="12"/>
          <w:r>
            <w:rPr>
              <w:sz w:val="24"/>
              <w:szCs w:val="24"/>
            </w:rPr>
            <w:fldChar w:fldCharType="end"/>
          </w:r>
        </w:p>
        <w:p w14:paraId="1D86E6B6">
          <w:pPr>
            <w:pStyle w:val="14"/>
            <w:tabs>
              <w:tab w:val="right" w:leader="dot" w:pos="8306"/>
            </w:tabs>
            <w:rPr>
              <w:sz w:val="24"/>
              <w:szCs w:val="24"/>
            </w:rPr>
          </w:pPr>
          <w:r>
            <w:rPr>
              <w:sz w:val="24"/>
              <w:szCs w:val="24"/>
            </w:rPr>
            <w:fldChar w:fldCharType="begin"/>
          </w:r>
          <w:r>
            <w:rPr>
              <w:sz w:val="24"/>
              <w:szCs w:val="24"/>
            </w:rPr>
            <w:instrText xml:space="preserve"> HYPERLINK \l _Toc9184_WPSOffice_Level2 </w:instrText>
          </w:r>
          <w:r>
            <w:rPr>
              <w:sz w:val="24"/>
              <w:szCs w:val="24"/>
            </w:rPr>
            <w:fldChar w:fldCharType="separate"/>
          </w:r>
          <w:sdt>
            <w:sdtPr>
              <w:rPr>
                <w:rFonts w:hint="default" w:ascii="Times New Roman" w:hAnsi="Times New Roman" w:eastAsia="宋体" w:cs="Times New Roman"/>
                <w:sz w:val="36"/>
                <w:szCs w:val="24"/>
              </w:rPr>
              <w:id w:val="147452777"/>
              <w:placeholder>
                <w:docPart w:val="{3e15750b-1f24-42fa-86fa-02b8ff751a4a}"/>
              </w:placeholder>
              <w15:color w:val="509DF3"/>
            </w:sdtPr>
            <w:sdtEndPr>
              <w:rPr>
                <w:rFonts w:hint="default" w:ascii="Times New Roman" w:hAnsi="Times New Roman" w:eastAsia="宋体" w:cs="Times New Roman"/>
                <w:sz w:val="36"/>
                <w:szCs w:val="24"/>
              </w:rPr>
            </w:sdtEndPr>
            <w:sdtContent>
              <w:r>
                <w:rPr>
                  <w:rFonts w:hint="eastAsia" w:ascii="黑体" w:hAnsi="黑体" w:eastAsia="黑体" w:cs="Times New Roman"/>
                  <w:sz w:val="24"/>
                  <w:szCs w:val="24"/>
                </w:rPr>
                <w:t>十、其他重要事项的情况说明</w:t>
              </w:r>
            </w:sdtContent>
          </w:sdt>
          <w:r>
            <w:rPr>
              <w:sz w:val="24"/>
              <w:szCs w:val="24"/>
            </w:rPr>
            <w:tab/>
          </w:r>
          <w:bookmarkStart w:id="13" w:name="_Toc9184_WPSOffice_Level2Page"/>
          <w:r>
            <w:rPr>
              <w:sz w:val="24"/>
              <w:szCs w:val="24"/>
            </w:rPr>
            <w:t>14</w:t>
          </w:r>
          <w:bookmarkEnd w:id="13"/>
          <w:r>
            <w:rPr>
              <w:sz w:val="24"/>
              <w:szCs w:val="24"/>
            </w:rPr>
            <w:fldChar w:fldCharType="end"/>
          </w:r>
        </w:p>
        <w:p w14:paraId="24D18560">
          <w:pPr>
            <w:pStyle w:val="13"/>
            <w:tabs>
              <w:tab w:val="right" w:leader="dot" w:pos="8306"/>
            </w:tabs>
            <w:rPr>
              <w:sz w:val="24"/>
              <w:szCs w:val="24"/>
            </w:rPr>
          </w:pPr>
          <w:r>
            <w:rPr>
              <w:b/>
              <w:bCs/>
              <w:sz w:val="24"/>
              <w:szCs w:val="24"/>
            </w:rPr>
            <w:fldChar w:fldCharType="begin"/>
          </w:r>
          <w:r>
            <w:rPr>
              <w:sz w:val="24"/>
              <w:szCs w:val="24"/>
            </w:rPr>
            <w:instrText xml:space="preserve"> HYPERLINK \l _Toc390_WPSOffice_Level1 </w:instrText>
          </w:r>
          <w:r>
            <w:rPr>
              <w:b/>
              <w:bCs/>
              <w:sz w:val="24"/>
              <w:szCs w:val="24"/>
            </w:rPr>
            <w:fldChar w:fldCharType="separate"/>
          </w:r>
          <w:sdt>
            <w:sdtPr>
              <w:rPr>
                <w:rFonts w:hint="default" w:ascii="Times New Roman" w:hAnsi="Times New Roman" w:eastAsia="宋体" w:cs="Times New Roman"/>
                <w:b/>
                <w:bCs/>
                <w:sz w:val="36"/>
                <w:szCs w:val="24"/>
              </w:rPr>
              <w:id w:val="147451286"/>
              <w:placeholder>
                <w:docPart w:val="{0538deae-13a2-4ad4-9d77-cfd1e50021a0}"/>
              </w:placeholder>
              <w15:color w:val="509DF3"/>
            </w:sdtPr>
            <w:sdtEndPr>
              <w:rPr>
                <w:rFonts w:hint="default" w:ascii="Times New Roman" w:hAnsi="Times New Roman" w:eastAsia="宋体" w:cs="Times New Roman"/>
                <w:b/>
                <w:bCs/>
                <w:sz w:val="36"/>
                <w:szCs w:val="24"/>
              </w:rPr>
            </w:sdtEndPr>
            <w:sdtContent>
              <w:r>
                <w:rPr>
                  <w:rFonts w:hint="eastAsia" w:ascii="黑体" w:hAnsi="黑体" w:eastAsia="黑体" w:cs="Times New Roman"/>
                  <w:b/>
                  <w:bCs/>
                  <w:sz w:val="24"/>
                  <w:szCs w:val="24"/>
                </w:rPr>
                <w:t>第三部分 名词解释</w:t>
              </w:r>
            </w:sdtContent>
          </w:sdt>
          <w:r>
            <w:rPr>
              <w:b/>
              <w:bCs/>
              <w:sz w:val="24"/>
              <w:szCs w:val="24"/>
            </w:rPr>
            <w:tab/>
          </w:r>
          <w:bookmarkStart w:id="14" w:name="_Toc390_WPSOffice_Level1Page"/>
          <w:r>
            <w:rPr>
              <w:b/>
              <w:bCs/>
              <w:sz w:val="24"/>
              <w:szCs w:val="24"/>
            </w:rPr>
            <w:t>16</w:t>
          </w:r>
          <w:bookmarkEnd w:id="14"/>
          <w:r>
            <w:rPr>
              <w:b/>
              <w:bCs/>
              <w:sz w:val="24"/>
              <w:szCs w:val="24"/>
            </w:rPr>
            <w:fldChar w:fldCharType="end"/>
          </w:r>
        </w:p>
        <w:p w14:paraId="7DE8DDBB">
          <w:pPr>
            <w:pStyle w:val="13"/>
            <w:tabs>
              <w:tab w:val="right" w:leader="dot" w:pos="8306"/>
            </w:tabs>
            <w:rPr>
              <w:sz w:val="24"/>
              <w:szCs w:val="24"/>
            </w:rPr>
          </w:pPr>
          <w:r>
            <w:rPr>
              <w:b/>
              <w:bCs/>
              <w:sz w:val="24"/>
              <w:szCs w:val="24"/>
            </w:rPr>
            <w:fldChar w:fldCharType="begin"/>
          </w:r>
          <w:r>
            <w:rPr>
              <w:sz w:val="24"/>
              <w:szCs w:val="24"/>
            </w:rPr>
            <w:instrText xml:space="preserve"> HYPERLINK \l _Toc16906_WPSOffice_Level1 </w:instrText>
          </w:r>
          <w:r>
            <w:rPr>
              <w:b/>
              <w:bCs/>
              <w:sz w:val="24"/>
              <w:szCs w:val="24"/>
            </w:rPr>
            <w:fldChar w:fldCharType="separate"/>
          </w:r>
          <w:sdt>
            <w:sdtPr>
              <w:rPr>
                <w:rFonts w:hint="default" w:ascii="Times New Roman" w:hAnsi="Times New Roman" w:eastAsia="宋体" w:cs="Times New Roman"/>
                <w:b/>
                <w:bCs/>
                <w:sz w:val="36"/>
                <w:szCs w:val="24"/>
              </w:rPr>
              <w:id w:val="147456710"/>
              <w:placeholder>
                <w:docPart w:val="{fa9338fc-0b0c-4139-853d-f21357c786c6}"/>
              </w:placeholder>
              <w15:color w:val="509DF3"/>
            </w:sdtPr>
            <w:sdtEndPr>
              <w:rPr>
                <w:rFonts w:hint="default" w:ascii="Times New Roman" w:hAnsi="Times New Roman" w:eastAsia="宋体" w:cs="Times New Roman"/>
                <w:b/>
                <w:bCs/>
                <w:sz w:val="36"/>
                <w:szCs w:val="24"/>
              </w:rPr>
            </w:sdtEndPr>
            <w:sdtContent>
              <w:r>
                <w:rPr>
                  <w:rFonts w:hint="eastAsia" w:ascii="黑体" w:hAnsi="黑体" w:eastAsia="黑体" w:cs="Times New Roman"/>
                  <w:b/>
                  <w:bCs/>
                  <w:sz w:val="24"/>
                  <w:szCs w:val="24"/>
                </w:rPr>
                <w:t>第四部分 附件</w:t>
              </w:r>
            </w:sdtContent>
          </w:sdt>
          <w:r>
            <w:rPr>
              <w:b/>
              <w:bCs/>
              <w:sz w:val="24"/>
              <w:szCs w:val="24"/>
            </w:rPr>
            <w:tab/>
          </w:r>
          <w:bookmarkStart w:id="15" w:name="_Toc16906_WPSOffice_Level1Page"/>
          <w:r>
            <w:rPr>
              <w:b/>
              <w:bCs/>
              <w:sz w:val="24"/>
              <w:szCs w:val="24"/>
            </w:rPr>
            <w:t>17</w:t>
          </w:r>
          <w:bookmarkEnd w:id="15"/>
          <w:r>
            <w:rPr>
              <w:b/>
              <w:bCs/>
              <w:sz w:val="24"/>
              <w:szCs w:val="24"/>
            </w:rPr>
            <w:fldChar w:fldCharType="end"/>
          </w:r>
        </w:p>
        <w:p w14:paraId="0053E896">
          <w:pPr>
            <w:pStyle w:val="13"/>
            <w:tabs>
              <w:tab w:val="right" w:leader="dot" w:pos="8306"/>
            </w:tabs>
            <w:rPr>
              <w:sz w:val="24"/>
              <w:szCs w:val="24"/>
            </w:rPr>
          </w:pPr>
          <w:r>
            <w:rPr>
              <w:b/>
              <w:bCs/>
              <w:sz w:val="24"/>
              <w:szCs w:val="24"/>
            </w:rPr>
            <w:fldChar w:fldCharType="begin"/>
          </w:r>
          <w:r>
            <w:rPr>
              <w:sz w:val="24"/>
              <w:szCs w:val="24"/>
            </w:rPr>
            <w:instrText xml:space="preserve"> HYPERLINK \l _Toc1138_WPSOffice_Level1 </w:instrText>
          </w:r>
          <w:r>
            <w:rPr>
              <w:b/>
              <w:bCs/>
              <w:sz w:val="24"/>
              <w:szCs w:val="24"/>
            </w:rPr>
            <w:fldChar w:fldCharType="separate"/>
          </w:r>
          <w:sdt>
            <w:sdtPr>
              <w:rPr>
                <w:rFonts w:hint="default" w:ascii="Times New Roman" w:hAnsi="Times New Roman" w:eastAsia="宋体" w:cs="Times New Roman"/>
                <w:b/>
                <w:bCs/>
                <w:sz w:val="36"/>
                <w:szCs w:val="24"/>
              </w:rPr>
              <w:id w:val="147457442"/>
              <w:placeholder>
                <w:docPart w:val="{265cc666-95be-4723-859a-486cc70b1819}"/>
              </w:placeholder>
              <w15:color w:val="509DF3"/>
            </w:sdtPr>
            <w:sdtEndPr>
              <w:rPr>
                <w:rFonts w:hint="default" w:ascii="Times New Roman" w:hAnsi="Times New Roman" w:eastAsia="宋体" w:cs="Times New Roman"/>
                <w:b/>
                <w:bCs/>
                <w:sz w:val="36"/>
                <w:szCs w:val="24"/>
              </w:rPr>
            </w:sdtEndPr>
            <w:sdtContent>
              <w:r>
                <w:rPr>
                  <w:rFonts w:hint="eastAsia" w:ascii="黑体" w:hAnsi="黑体" w:eastAsia="黑体" w:cs="Times New Roman"/>
                  <w:b/>
                  <w:bCs/>
                  <w:sz w:val="24"/>
                  <w:szCs w:val="24"/>
                </w:rPr>
                <w:t>第五部分 附表</w:t>
              </w:r>
            </w:sdtContent>
          </w:sdt>
          <w:r>
            <w:rPr>
              <w:b/>
              <w:bCs/>
              <w:sz w:val="24"/>
              <w:szCs w:val="24"/>
            </w:rPr>
            <w:tab/>
          </w:r>
          <w:bookmarkStart w:id="16" w:name="_Toc1138_WPSOffice_Level1Page"/>
          <w:r>
            <w:rPr>
              <w:b/>
              <w:bCs/>
              <w:sz w:val="24"/>
              <w:szCs w:val="24"/>
            </w:rPr>
            <w:t>18</w:t>
          </w:r>
          <w:bookmarkEnd w:id="16"/>
          <w:r>
            <w:rPr>
              <w:b/>
              <w:bCs/>
              <w:sz w:val="24"/>
              <w:szCs w:val="24"/>
            </w:rPr>
            <w:fldChar w:fldCharType="end"/>
          </w:r>
        </w:p>
        <w:p w14:paraId="088FE19B">
          <w:pPr>
            <w:pStyle w:val="14"/>
            <w:tabs>
              <w:tab w:val="right" w:leader="dot" w:pos="8306"/>
            </w:tabs>
            <w:rPr>
              <w:sz w:val="24"/>
              <w:szCs w:val="24"/>
            </w:rPr>
          </w:pPr>
          <w:r>
            <w:rPr>
              <w:sz w:val="24"/>
              <w:szCs w:val="24"/>
            </w:rPr>
            <w:fldChar w:fldCharType="begin"/>
          </w:r>
          <w:r>
            <w:rPr>
              <w:sz w:val="24"/>
              <w:szCs w:val="24"/>
            </w:rPr>
            <w:instrText xml:space="preserve"> HYPERLINK \l _Toc9717_WPSOffice_Level2 </w:instrText>
          </w:r>
          <w:r>
            <w:rPr>
              <w:sz w:val="24"/>
              <w:szCs w:val="24"/>
            </w:rPr>
            <w:fldChar w:fldCharType="separate"/>
          </w:r>
          <w:sdt>
            <w:sdtPr>
              <w:rPr>
                <w:rFonts w:hint="default" w:ascii="Times New Roman" w:hAnsi="Times New Roman" w:eastAsia="宋体" w:cs="Times New Roman"/>
                <w:sz w:val="36"/>
                <w:szCs w:val="24"/>
              </w:rPr>
              <w:id w:val="147459349"/>
              <w:placeholder>
                <w:docPart w:val="{f3375a00-4146-465e-8814-5faf04b8cd77}"/>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一、收入支出决算总表</w:t>
              </w:r>
            </w:sdtContent>
          </w:sdt>
          <w:r>
            <w:rPr>
              <w:sz w:val="24"/>
              <w:szCs w:val="24"/>
            </w:rPr>
            <w:tab/>
          </w:r>
          <w:bookmarkStart w:id="17" w:name="_Toc9717_WPSOffice_Level2Page"/>
          <w:r>
            <w:rPr>
              <w:sz w:val="24"/>
              <w:szCs w:val="24"/>
            </w:rPr>
            <w:t>18</w:t>
          </w:r>
          <w:bookmarkEnd w:id="17"/>
          <w:r>
            <w:rPr>
              <w:sz w:val="24"/>
              <w:szCs w:val="24"/>
            </w:rPr>
            <w:fldChar w:fldCharType="end"/>
          </w:r>
        </w:p>
        <w:p w14:paraId="149D09C9">
          <w:pPr>
            <w:pStyle w:val="14"/>
            <w:tabs>
              <w:tab w:val="right" w:leader="dot" w:pos="8306"/>
            </w:tabs>
            <w:rPr>
              <w:sz w:val="24"/>
              <w:szCs w:val="24"/>
            </w:rPr>
          </w:pPr>
          <w:r>
            <w:rPr>
              <w:sz w:val="24"/>
              <w:szCs w:val="24"/>
            </w:rPr>
            <w:fldChar w:fldCharType="begin"/>
          </w:r>
          <w:r>
            <w:rPr>
              <w:sz w:val="24"/>
              <w:szCs w:val="24"/>
            </w:rPr>
            <w:instrText xml:space="preserve"> HYPERLINK \l _Toc15100_WPSOffice_Level2 </w:instrText>
          </w:r>
          <w:r>
            <w:rPr>
              <w:sz w:val="24"/>
              <w:szCs w:val="24"/>
            </w:rPr>
            <w:fldChar w:fldCharType="separate"/>
          </w:r>
          <w:sdt>
            <w:sdtPr>
              <w:rPr>
                <w:rFonts w:hint="default" w:ascii="Times New Roman" w:hAnsi="Times New Roman" w:eastAsia="宋体" w:cs="Times New Roman"/>
                <w:sz w:val="36"/>
                <w:szCs w:val="24"/>
              </w:rPr>
              <w:id w:val="147456183"/>
              <w:placeholder>
                <w:docPart w:val="{a60367c4-0c16-4291-8d85-1a11d36f5ecf}"/>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二、收入决算表</w:t>
              </w:r>
            </w:sdtContent>
          </w:sdt>
          <w:r>
            <w:rPr>
              <w:sz w:val="24"/>
              <w:szCs w:val="24"/>
            </w:rPr>
            <w:tab/>
          </w:r>
          <w:bookmarkStart w:id="18" w:name="_Toc15100_WPSOffice_Level2Page"/>
          <w:r>
            <w:rPr>
              <w:sz w:val="24"/>
              <w:szCs w:val="24"/>
            </w:rPr>
            <w:t>18</w:t>
          </w:r>
          <w:bookmarkEnd w:id="18"/>
          <w:r>
            <w:rPr>
              <w:sz w:val="24"/>
              <w:szCs w:val="24"/>
            </w:rPr>
            <w:fldChar w:fldCharType="end"/>
          </w:r>
        </w:p>
        <w:p w14:paraId="4B0B9FE3">
          <w:pPr>
            <w:pStyle w:val="14"/>
            <w:tabs>
              <w:tab w:val="right" w:leader="dot" w:pos="8306"/>
            </w:tabs>
            <w:rPr>
              <w:sz w:val="24"/>
              <w:szCs w:val="24"/>
            </w:rPr>
          </w:pPr>
          <w:r>
            <w:rPr>
              <w:sz w:val="24"/>
              <w:szCs w:val="24"/>
            </w:rPr>
            <w:fldChar w:fldCharType="begin"/>
          </w:r>
          <w:r>
            <w:rPr>
              <w:sz w:val="24"/>
              <w:szCs w:val="24"/>
            </w:rPr>
            <w:instrText xml:space="preserve"> HYPERLINK \l _Toc18945_WPSOffice_Level2 </w:instrText>
          </w:r>
          <w:r>
            <w:rPr>
              <w:sz w:val="24"/>
              <w:szCs w:val="24"/>
            </w:rPr>
            <w:fldChar w:fldCharType="separate"/>
          </w:r>
          <w:sdt>
            <w:sdtPr>
              <w:rPr>
                <w:rFonts w:hint="default" w:ascii="Times New Roman" w:hAnsi="Times New Roman" w:eastAsia="宋体" w:cs="Times New Roman"/>
                <w:sz w:val="36"/>
                <w:szCs w:val="24"/>
              </w:rPr>
              <w:id w:val="147462578"/>
              <w:placeholder>
                <w:docPart w:val="{0e3e8aa4-1947-4aa6-a5dd-bd8bbba77d01}"/>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三、支出决算表</w:t>
              </w:r>
            </w:sdtContent>
          </w:sdt>
          <w:r>
            <w:rPr>
              <w:sz w:val="24"/>
              <w:szCs w:val="24"/>
            </w:rPr>
            <w:tab/>
          </w:r>
          <w:bookmarkStart w:id="19" w:name="_Toc18945_WPSOffice_Level2Page"/>
          <w:r>
            <w:rPr>
              <w:sz w:val="24"/>
              <w:szCs w:val="24"/>
            </w:rPr>
            <w:t>18</w:t>
          </w:r>
          <w:bookmarkEnd w:id="19"/>
          <w:r>
            <w:rPr>
              <w:sz w:val="24"/>
              <w:szCs w:val="24"/>
            </w:rPr>
            <w:fldChar w:fldCharType="end"/>
          </w:r>
        </w:p>
        <w:p w14:paraId="7C5CB7AF">
          <w:pPr>
            <w:pStyle w:val="14"/>
            <w:tabs>
              <w:tab w:val="right" w:leader="dot" w:pos="8306"/>
            </w:tabs>
            <w:rPr>
              <w:sz w:val="24"/>
              <w:szCs w:val="24"/>
            </w:rPr>
          </w:pPr>
          <w:r>
            <w:rPr>
              <w:sz w:val="24"/>
              <w:szCs w:val="24"/>
            </w:rPr>
            <w:fldChar w:fldCharType="begin"/>
          </w:r>
          <w:r>
            <w:rPr>
              <w:sz w:val="24"/>
              <w:szCs w:val="24"/>
            </w:rPr>
            <w:instrText xml:space="preserve"> HYPERLINK \l _Toc4821_WPSOffice_Level2 </w:instrText>
          </w:r>
          <w:r>
            <w:rPr>
              <w:sz w:val="24"/>
              <w:szCs w:val="24"/>
            </w:rPr>
            <w:fldChar w:fldCharType="separate"/>
          </w:r>
          <w:sdt>
            <w:sdtPr>
              <w:rPr>
                <w:rFonts w:hint="default" w:ascii="Times New Roman" w:hAnsi="Times New Roman" w:eastAsia="宋体" w:cs="Times New Roman"/>
                <w:sz w:val="36"/>
                <w:szCs w:val="24"/>
              </w:rPr>
              <w:id w:val="147455405"/>
              <w:placeholder>
                <w:docPart w:val="{f8a1278c-546e-44a3-84df-e313d70c42c3}"/>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四、财政拨款收入支出决算总表</w:t>
              </w:r>
            </w:sdtContent>
          </w:sdt>
          <w:r>
            <w:rPr>
              <w:sz w:val="24"/>
              <w:szCs w:val="24"/>
            </w:rPr>
            <w:tab/>
          </w:r>
          <w:bookmarkStart w:id="20" w:name="_Toc4821_WPSOffice_Level2Page"/>
          <w:r>
            <w:rPr>
              <w:sz w:val="24"/>
              <w:szCs w:val="24"/>
            </w:rPr>
            <w:t>18</w:t>
          </w:r>
          <w:bookmarkEnd w:id="20"/>
          <w:r>
            <w:rPr>
              <w:sz w:val="24"/>
              <w:szCs w:val="24"/>
            </w:rPr>
            <w:fldChar w:fldCharType="end"/>
          </w:r>
        </w:p>
        <w:p w14:paraId="5D4FE5FA">
          <w:pPr>
            <w:pStyle w:val="14"/>
            <w:tabs>
              <w:tab w:val="right" w:leader="dot" w:pos="8306"/>
            </w:tabs>
            <w:rPr>
              <w:sz w:val="24"/>
              <w:szCs w:val="24"/>
            </w:rPr>
          </w:pPr>
          <w:r>
            <w:rPr>
              <w:sz w:val="24"/>
              <w:szCs w:val="24"/>
            </w:rPr>
            <w:fldChar w:fldCharType="begin"/>
          </w:r>
          <w:r>
            <w:rPr>
              <w:sz w:val="24"/>
              <w:szCs w:val="24"/>
            </w:rPr>
            <w:instrText xml:space="preserve"> HYPERLINK \l _Toc30246_WPSOffice_Level2 </w:instrText>
          </w:r>
          <w:r>
            <w:rPr>
              <w:sz w:val="24"/>
              <w:szCs w:val="24"/>
            </w:rPr>
            <w:fldChar w:fldCharType="separate"/>
          </w:r>
          <w:sdt>
            <w:sdtPr>
              <w:rPr>
                <w:rFonts w:hint="default" w:ascii="Times New Roman" w:hAnsi="Times New Roman" w:eastAsia="宋体" w:cs="Times New Roman"/>
                <w:sz w:val="36"/>
                <w:szCs w:val="24"/>
              </w:rPr>
              <w:id w:val="147481929"/>
              <w:placeholder>
                <w:docPart w:val="{72aa94c4-d998-4377-b42e-13a13b7303d3}"/>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五、财政拨款支出决算明细表</w:t>
              </w:r>
            </w:sdtContent>
          </w:sdt>
          <w:r>
            <w:rPr>
              <w:sz w:val="24"/>
              <w:szCs w:val="24"/>
            </w:rPr>
            <w:tab/>
          </w:r>
          <w:bookmarkStart w:id="21" w:name="_Toc30246_WPSOffice_Level2Page"/>
          <w:r>
            <w:rPr>
              <w:sz w:val="24"/>
              <w:szCs w:val="24"/>
            </w:rPr>
            <w:t>18</w:t>
          </w:r>
          <w:bookmarkEnd w:id="21"/>
          <w:r>
            <w:rPr>
              <w:sz w:val="24"/>
              <w:szCs w:val="24"/>
            </w:rPr>
            <w:fldChar w:fldCharType="end"/>
          </w:r>
        </w:p>
        <w:p w14:paraId="5E178FA4">
          <w:pPr>
            <w:pStyle w:val="14"/>
            <w:tabs>
              <w:tab w:val="right" w:leader="dot" w:pos="8306"/>
            </w:tabs>
            <w:rPr>
              <w:sz w:val="24"/>
              <w:szCs w:val="24"/>
            </w:rPr>
          </w:pPr>
          <w:r>
            <w:rPr>
              <w:sz w:val="24"/>
              <w:szCs w:val="24"/>
            </w:rPr>
            <w:fldChar w:fldCharType="begin"/>
          </w:r>
          <w:r>
            <w:rPr>
              <w:sz w:val="24"/>
              <w:szCs w:val="24"/>
            </w:rPr>
            <w:instrText xml:space="preserve"> HYPERLINK \l _Toc29820_WPSOffice_Level2 </w:instrText>
          </w:r>
          <w:r>
            <w:rPr>
              <w:sz w:val="24"/>
              <w:szCs w:val="24"/>
            </w:rPr>
            <w:fldChar w:fldCharType="separate"/>
          </w:r>
          <w:sdt>
            <w:sdtPr>
              <w:rPr>
                <w:rFonts w:hint="default" w:ascii="Times New Roman" w:hAnsi="Times New Roman" w:eastAsia="宋体" w:cs="Times New Roman"/>
                <w:sz w:val="36"/>
                <w:szCs w:val="24"/>
              </w:rPr>
              <w:id w:val="147477215"/>
              <w:placeholder>
                <w:docPart w:val="{f07eaa0c-2f82-42fb-9e01-e29f1f338e1c}"/>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六、一般公共预算财政拨款支出决算表</w:t>
              </w:r>
            </w:sdtContent>
          </w:sdt>
          <w:r>
            <w:rPr>
              <w:sz w:val="24"/>
              <w:szCs w:val="24"/>
            </w:rPr>
            <w:tab/>
          </w:r>
          <w:bookmarkStart w:id="22" w:name="_Toc29820_WPSOffice_Level2Page"/>
          <w:r>
            <w:rPr>
              <w:sz w:val="24"/>
              <w:szCs w:val="24"/>
            </w:rPr>
            <w:t>18</w:t>
          </w:r>
          <w:bookmarkEnd w:id="22"/>
          <w:r>
            <w:rPr>
              <w:sz w:val="24"/>
              <w:szCs w:val="24"/>
            </w:rPr>
            <w:fldChar w:fldCharType="end"/>
          </w:r>
        </w:p>
        <w:p w14:paraId="4E29CE19">
          <w:pPr>
            <w:pStyle w:val="14"/>
            <w:tabs>
              <w:tab w:val="right" w:leader="dot" w:pos="8306"/>
            </w:tabs>
            <w:rPr>
              <w:sz w:val="24"/>
              <w:szCs w:val="24"/>
            </w:rPr>
          </w:pPr>
          <w:r>
            <w:rPr>
              <w:sz w:val="24"/>
              <w:szCs w:val="24"/>
            </w:rPr>
            <w:fldChar w:fldCharType="begin"/>
          </w:r>
          <w:r>
            <w:rPr>
              <w:sz w:val="24"/>
              <w:szCs w:val="24"/>
            </w:rPr>
            <w:instrText xml:space="preserve"> HYPERLINK \l _Toc7051_WPSOffice_Level2 </w:instrText>
          </w:r>
          <w:r>
            <w:rPr>
              <w:sz w:val="24"/>
              <w:szCs w:val="24"/>
            </w:rPr>
            <w:fldChar w:fldCharType="separate"/>
          </w:r>
          <w:sdt>
            <w:sdtPr>
              <w:rPr>
                <w:rFonts w:hint="default" w:ascii="Times New Roman" w:hAnsi="Times New Roman" w:eastAsia="宋体" w:cs="Times New Roman"/>
                <w:sz w:val="36"/>
                <w:szCs w:val="24"/>
              </w:rPr>
              <w:id w:val="147472301"/>
              <w:placeholder>
                <w:docPart w:val="{ce1215e4-9933-4eb8-8b3d-91497c8207e5}"/>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七、一般公共预算财政拨款支出决算明细表</w:t>
              </w:r>
            </w:sdtContent>
          </w:sdt>
          <w:r>
            <w:rPr>
              <w:sz w:val="24"/>
              <w:szCs w:val="24"/>
            </w:rPr>
            <w:tab/>
          </w:r>
          <w:bookmarkStart w:id="23" w:name="_Toc7051_WPSOffice_Level2Page"/>
          <w:r>
            <w:rPr>
              <w:sz w:val="24"/>
              <w:szCs w:val="24"/>
            </w:rPr>
            <w:t>18</w:t>
          </w:r>
          <w:bookmarkEnd w:id="23"/>
          <w:r>
            <w:rPr>
              <w:sz w:val="24"/>
              <w:szCs w:val="24"/>
            </w:rPr>
            <w:fldChar w:fldCharType="end"/>
          </w:r>
        </w:p>
        <w:p w14:paraId="1E1D939D">
          <w:pPr>
            <w:pStyle w:val="14"/>
            <w:tabs>
              <w:tab w:val="right" w:leader="dot" w:pos="8306"/>
            </w:tabs>
            <w:rPr>
              <w:sz w:val="24"/>
              <w:szCs w:val="24"/>
            </w:rPr>
          </w:pPr>
          <w:r>
            <w:rPr>
              <w:sz w:val="24"/>
              <w:szCs w:val="24"/>
            </w:rPr>
            <w:fldChar w:fldCharType="begin"/>
          </w:r>
          <w:r>
            <w:rPr>
              <w:sz w:val="24"/>
              <w:szCs w:val="24"/>
            </w:rPr>
            <w:instrText xml:space="preserve"> HYPERLINK \l _Toc12120_WPSOffice_Level2 </w:instrText>
          </w:r>
          <w:r>
            <w:rPr>
              <w:sz w:val="24"/>
              <w:szCs w:val="24"/>
            </w:rPr>
            <w:fldChar w:fldCharType="separate"/>
          </w:r>
          <w:sdt>
            <w:sdtPr>
              <w:rPr>
                <w:rFonts w:hint="default" w:ascii="Times New Roman" w:hAnsi="Times New Roman" w:eastAsia="宋体" w:cs="Times New Roman"/>
                <w:sz w:val="36"/>
                <w:szCs w:val="24"/>
              </w:rPr>
              <w:id w:val="147468322"/>
              <w:placeholder>
                <w:docPart w:val="{d8d41e3b-5bb2-4b82-b93b-e1406cc19f71}"/>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八、一般公共预算财政拨款基本支出决算表</w:t>
              </w:r>
            </w:sdtContent>
          </w:sdt>
          <w:r>
            <w:rPr>
              <w:sz w:val="24"/>
              <w:szCs w:val="24"/>
            </w:rPr>
            <w:tab/>
          </w:r>
          <w:bookmarkStart w:id="24" w:name="_Toc12120_WPSOffice_Level2Page"/>
          <w:r>
            <w:rPr>
              <w:sz w:val="24"/>
              <w:szCs w:val="24"/>
            </w:rPr>
            <w:t>18</w:t>
          </w:r>
          <w:bookmarkEnd w:id="24"/>
          <w:r>
            <w:rPr>
              <w:sz w:val="24"/>
              <w:szCs w:val="24"/>
            </w:rPr>
            <w:fldChar w:fldCharType="end"/>
          </w:r>
        </w:p>
        <w:p w14:paraId="5C899D31">
          <w:pPr>
            <w:pStyle w:val="14"/>
            <w:tabs>
              <w:tab w:val="right" w:leader="dot" w:pos="8306"/>
            </w:tabs>
            <w:rPr>
              <w:sz w:val="24"/>
              <w:szCs w:val="24"/>
            </w:rPr>
          </w:pPr>
          <w:r>
            <w:rPr>
              <w:sz w:val="24"/>
              <w:szCs w:val="24"/>
            </w:rPr>
            <w:fldChar w:fldCharType="begin"/>
          </w:r>
          <w:r>
            <w:rPr>
              <w:sz w:val="24"/>
              <w:szCs w:val="24"/>
            </w:rPr>
            <w:instrText xml:space="preserve"> HYPERLINK \l _Toc19315_WPSOffice_Level2 </w:instrText>
          </w:r>
          <w:r>
            <w:rPr>
              <w:sz w:val="24"/>
              <w:szCs w:val="24"/>
            </w:rPr>
            <w:fldChar w:fldCharType="separate"/>
          </w:r>
          <w:sdt>
            <w:sdtPr>
              <w:rPr>
                <w:rFonts w:hint="default" w:ascii="Times New Roman" w:hAnsi="Times New Roman" w:eastAsia="宋体" w:cs="Times New Roman"/>
                <w:sz w:val="36"/>
                <w:szCs w:val="24"/>
              </w:rPr>
              <w:id w:val="147452794"/>
              <w:placeholder>
                <w:docPart w:val="{2bcc7089-b13f-428c-a47b-f1a080be9efc}"/>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九、一般公共预算财政拨款项目支出决算表</w:t>
              </w:r>
            </w:sdtContent>
          </w:sdt>
          <w:r>
            <w:rPr>
              <w:sz w:val="24"/>
              <w:szCs w:val="24"/>
            </w:rPr>
            <w:tab/>
          </w:r>
          <w:bookmarkStart w:id="25" w:name="_Toc19315_WPSOffice_Level2Page"/>
          <w:r>
            <w:rPr>
              <w:sz w:val="24"/>
              <w:szCs w:val="24"/>
            </w:rPr>
            <w:t>18</w:t>
          </w:r>
          <w:bookmarkEnd w:id="25"/>
          <w:r>
            <w:rPr>
              <w:sz w:val="24"/>
              <w:szCs w:val="24"/>
            </w:rPr>
            <w:fldChar w:fldCharType="end"/>
          </w:r>
        </w:p>
        <w:p w14:paraId="195FB501">
          <w:pPr>
            <w:pStyle w:val="14"/>
            <w:tabs>
              <w:tab w:val="right" w:leader="dot" w:pos="8306"/>
            </w:tabs>
            <w:rPr>
              <w:sz w:val="24"/>
              <w:szCs w:val="24"/>
            </w:rPr>
          </w:pPr>
          <w:r>
            <w:rPr>
              <w:sz w:val="24"/>
              <w:szCs w:val="24"/>
            </w:rPr>
            <w:fldChar w:fldCharType="begin"/>
          </w:r>
          <w:r>
            <w:rPr>
              <w:sz w:val="24"/>
              <w:szCs w:val="24"/>
            </w:rPr>
            <w:instrText xml:space="preserve"> HYPERLINK \l _Toc22860_WPSOffice_Level2 </w:instrText>
          </w:r>
          <w:r>
            <w:rPr>
              <w:sz w:val="24"/>
              <w:szCs w:val="24"/>
            </w:rPr>
            <w:fldChar w:fldCharType="separate"/>
          </w:r>
          <w:sdt>
            <w:sdtPr>
              <w:rPr>
                <w:rFonts w:hint="default" w:ascii="Times New Roman" w:hAnsi="Times New Roman" w:eastAsia="宋体" w:cs="Times New Roman"/>
                <w:sz w:val="36"/>
                <w:szCs w:val="24"/>
              </w:rPr>
              <w:id w:val="147455840"/>
              <w:placeholder>
                <w:docPart w:val="{f528708c-512c-494a-95ed-7de6db9eeee7}"/>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十、政府性基金预算财政拨款收入支出决算表</w:t>
              </w:r>
            </w:sdtContent>
          </w:sdt>
          <w:r>
            <w:rPr>
              <w:sz w:val="24"/>
              <w:szCs w:val="24"/>
            </w:rPr>
            <w:tab/>
          </w:r>
          <w:bookmarkStart w:id="26" w:name="_Toc22860_WPSOffice_Level2Page"/>
          <w:r>
            <w:rPr>
              <w:sz w:val="24"/>
              <w:szCs w:val="24"/>
            </w:rPr>
            <w:t>18</w:t>
          </w:r>
          <w:bookmarkEnd w:id="26"/>
          <w:r>
            <w:rPr>
              <w:sz w:val="24"/>
              <w:szCs w:val="24"/>
            </w:rPr>
            <w:fldChar w:fldCharType="end"/>
          </w:r>
        </w:p>
        <w:p w14:paraId="5075D91A">
          <w:pPr>
            <w:pStyle w:val="14"/>
            <w:tabs>
              <w:tab w:val="right" w:leader="dot" w:pos="8306"/>
            </w:tabs>
            <w:rPr>
              <w:sz w:val="24"/>
              <w:szCs w:val="24"/>
            </w:rPr>
          </w:pPr>
          <w:r>
            <w:rPr>
              <w:sz w:val="24"/>
              <w:szCs w:val="24"/>
            </w:rPr>
            <w:fldChar w:fldCharType="begin"/>
          </w:r>
          <w:r>
            <w:rPr>
              <w:sz w:val="24"/>
              <w:szCs w:val="24"/>
            </w:rPr>
            <w:instrText xml:space="preserve"> HYPERLINK \l _Toc3895_WPSOffice_Level2 </w:instrText>
          </w:r>
          <w:r>
            <w:rPr>
              <w:sz w:val="24"/>
              <w:szCs w:val="24"/>
            </w:rPr>
            <w:fldChar w:fldCharType="separate"/>
          </w:r>
          <w:sdt>
            <w:sdtPr>
              <w:rPr>
                <w:rFonts w:hint="default" w:ascii="Times New Roman" w:hAnsi="Times New Roman" w:eastAsia="宋体" w:cs="Times New Roman"/>
                <w:sz w:val="36"/>
                <w:szCs w:val="24"/>
              </w:rPr>
              <w:id w:val="147479985"/>
              <w:placeholder>
                <w:docPart w:val="{3339edc3-6324-4521-835a-17804606eb31}"/>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十一、国有资本经营预算财政拨款收入支出决算表</w:t>
              </w:r>
            </w:sdtContent>
          </w:sdt>
          <w:r>
            <w:rPr>
              <w:sz w:val="24"/>
              <w:szCs w:val="24"/>
            </w:rPr>
            <w:tab/>
          </w:r>
          <w:bookmarkStart w:id="27" w:name="_Toc3895_WPSOffice_Level2Page"/>
          <w:r>
            <w:rPr>
              <w:sz w:val="24"/>
              <w:szCs w:val="24"/>
            </w:rPr>
            <w:t>18</w:t>
          </w:r>
          <w:bookmarkEnd w:id="27"/>
          <w:r>
            <w:rPr>
              <w:sz w:val="24"/>
              <w:szCs w:val="24"/>
            </w:rPr>
            <w:fldChar w:fldCharType="end"/>
          </w:r>
        </w:p>
        <w:p w14:paraId="69D6DA55">
          <w:pPr>
            <w:pStyle w:val="14"/>
            <w:tabs>
              <w:tab w:val="right" w:leader="dot" w:pos="8306"/>
            </w:tabs>
            <w:rPr>
              <w:sz w:val="24"/>
              <w:szCs w:val="24"/>
            </w:rPr>
          </w:pPr>
          <w:r>
            <w:rPr>
              <w:sz w:val="24"/>
              <w:szCs w:val="24"/>
            </w:rPr>
            <w:fldChar w:fldCharType="begin"/>
          </w:r>
          <w:r>
            <w:rPr>
              <w:sz w:val="24"/>
              <w:szCs w:val="24"/>
            </w:rPr>
            <w:instrText xml:space="preserve"> HYPERLINK \l _Toc32068_WPSOffice_Level2 </w:instrText>
          </w:r>
          <w:r>
            <w:rPr>
              <w:sz w:val="24"/>
              <w:szCs w:val="24"/>
            </w:rPr>
            <w:fldChar w:fldCharType="separate"/>
          </w:r>
          <w:sdt>
            <w:sdtPr>
              <w:rPr>
                <w:rFonts w:hint="default" w:ascii="Times New Roman" w:hAnsi="Times New Roman" w:eastAsia="宋体" w:cs="Times New Roman"/>
                <w:sz w:val="36"/>
                <w:szCs w:val="24"/>
              </w:rPr>
              <w:id w:val="147452226"/>
              <w:placeholder>
                <w:docPart w:val="{3bddf441-d727-4c97-b881-8284310b57c6}"/>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十二、国有资本经营预算财政拨款支出决算表</w:t>
              </w:r>
            </w:sdtContent>
          </w:sdt>
          <w:r>
            <w:rPr>
              <w:sz w:val="24"/>
              <w:szCs w:val="24"/>
            </w:rPr>
            <w:tab/>
          </w:r>
          <w:bookmarkStart w:id="28" w:name="_Toc32068_WPSOffice_Level2Page"/>
          <w:r>
            <w:rPr>
              <w:sz w:val="24"/>
              <w:szCs w:val="24"/>
            </w:rPr>
            <w:t>18</w:t>
          </w:r>
          <w:bookmarkEnd w:id="28"/>
          <w:r>
            <w:rPr>
              <w:sz w:val="24"/>
              <w:szCs w:val="24"/>
            </w:rPr>
            <w:fldChar w:fldCharType="end"/>
          </w:r>
        </w:p>
        <w:p w14:paraId="6F34BEB3">
          <w:pPr>
            <w:pStyle w:val="14"/>
            <w:tabs>
              <w:tab w:val="right" w:leader="dot" w:pos="8306"/>
            </w:tabs>
          </w:pPr>
          <w:r>
            <w:rPr>
              <w:sz w:val="24"/>
              <w:szCs w:val="24"/>
            </w:rPr>
            <w:fldChar w:fldCharType="begin"/>
          </w:r>
          <w:r>
            <w:rPr>
              <w:sz w:val="24"/>
              <w:szCs w:val="24"/>
            </w:rPr>
            <w:instrText xml:space="preserve"> HYPERLINK \l _Toc14624_WPSOffice_Level2 </w:instrText>
          </w:r>
          <w:r>
            <w:rPr>
              <w:sz w:val="24"/>
              <w:szCs w:val="24"/>
            </w:rPr>
            <w:fldChar w:fldCharType="separate"/>
          </w:r>
          <w:sdt>
            <w:sdtPr>
              <w:rPr>
                <w:rFonts w:hint="default" w:ascii="Times New Roman" w:hAnsi="Times New Roman" w:eastAsia="宋体" w:cs="Times New Roman"/>
                <w:sz w:val="36"/>
                <w:szCs w:val="24"/>
              </w:rPr>
              <w:id w:val="147475794"/>
              <w:placeholder>
                <w:docPart w:val="{bba26241-3035-4cc0-891f-f8bfb1f0eebb}"/>
              </w:placeholder>
              <w15:color w:val="509DF3"/>
            </w:sdtPr>
            <w:sdtEndPr>
              <w:rPr>
                <w:rFonts w:hint="default" w:ascii="Times New Roman" w:hAnsi="Times New Roman" w:eastAsia="宋体" w:cs="Times New Roman"/>
                <w:sz w:val="36"/>
                <w:szCs w:val="24"/>
              </w:rPr>
            </w:sdtEndPr>
            <w:sdtContent>
              <w:r>
                <w:rPr>
                  <w:rFonts w:hint="eastAsia" w:ascii="仿宋" w:hAnsi="仿宋" w:eastAsia="仿宋" w:cs="Times New Roman"/>
                  <w:sz w:val="24"/>
                  <w:szCs w:val="24"/>
                </w:rPr>
                <w:t>十三、财政拨款</w:t>
              </w:r>
              <w:r>
                <w:rPr>
                  <w:rFonts w:hint="default" w:ascii="仿宋" w:hAnsi="仿宋" w:eastAsia="仿宋" w:cs="Times New Roman"/>
                  <w:sz w:val="24"/>
                  <w:szCs w:val="24"/>
                </w:rPr>
                <w:t>“</w:t>
              </w:r>
              <w:r>
                <w:rPr>
                  <w:rFonts w:hint="eastAsia" w:ascii="仿宋" w:hAnsi="仿宋" w:eastAsia="仿宋" w:cs="Times New Roman"/>
                  <w:sz w:val="24"/>
                  <w:szCs w:val="24"/>
                </w:rPr>
                <w:t>三公</w:t>
              </w:r>
              <w:r>
                <w:rPr>
                  <w:rFonts w:hint="default" w:ascii="仿宋" w:hAnsi="仿宋" w:eastAsia="仿宋" w:cs="Times New Roman"/>
                  <w:sz w:val="24"/>
                  <w:szCs w:val="24"/>
                </w:rPr>
                <w:t>”</w:t>
              </w:r>
              <w:r>
                <w:rPr>
                  <w:rFonts w:hint="eastAsia" w:ascii="仿宋" w:hAnsi="仿宋" w:eastAsia="仿宋" w:cs="Times New Roman"/>
                  <w:sz w:val="24"/>
                  <w:szCs w:val="24"/>
                </w:rPr>
                <w:t>经费支出决算表</w:t>
              </w:r>
            </w:sdtContent>
          </w:sdt>
          <w:r>
            <w:rPr>
              <w:sz w:val="24"/>
              <w:szCs w:val="24"/>
            </w:rPr>
            <w:tab/>
          </w:r>
          <w:bookmarkStart w:id="29" w:name="_Toc14624_WPSOffice_Level2Page"/>
          <w:r>
            <w:rPr>
              <w:sz w:val="24"/>
              <w:szCs w:val="24"/>
            </w:rPr>
            <w:t>18</w:t>
          </w:r>
          <w:bookmarkEnd w:id="29"/>
          <w:r>
            <w:rPr>
              <w:sz w:val="24"/>
              <w:szCs w:val="24"/>
            </w:rPr>
            <w:fldChar w:fldCharType="end"/>
          </w:r>
          <w:bookmarkEnd w:id="0"/>
        </w:p>
      </w:sdtContent>
    </w:sdt>
    <w:p w14:paraId="097AA1C2">
      <w:pPr>
        <w:pStyle w:val="3"/>
        <w:keepNext/>
        <w:keepLines/>
        <w:spacing w:before="340" w:beforeLines="0" w:after="330" w:afterLines="0" w:line="576" w:lineRule="auto"/>
        <w:jc w:val="center"/>
        <w:rPr>
          <w:rFonts w:hint="eastAsia" w:ascii="黑体" w:hAnsi="黑体" w:eastAsia="黑体"/>
          <w:color w:val="auto"/>
          <w:kern w:val="44"/>
          <w:sz w:val="44"/>
          <w:lang w:val="zh-CN"/>
        </w:rPr>
      </w:pPr>
    </w:p>
    <w:p w14:paraId="6B72CE61">
      <w:pPr>
        <w:rPr>
          <w:rFonts w:hint="eastAsia" w:ascii="黑体" w:hAnsi="黑体" w:eastAsia="黑体"/>
          <w:color w:val="auto"/>
          <w:kern w:val="44"/>
          <w:sz w:val="44"/>
          <w:lang w:val="zh-CN"/>
        </w:rPr>
      </w:pPr>
    </w:p>
    <w:p w14:paraId="454FC09F">
      <w:pPr>
        <w:pStyle w:val="7"/>
        <w:rPr>
          <w:rFonts w:hint="eastAsia" w:ascii="黑体" w:hAnsi="黑体" w:eastAsia="黑体"/>
          <w:color w:val="auto"/>
          <w:kern w:val="44"/>
          <w:sz w:val="44"/>
          <w:lang w:val="zh-CN"/>
        </w:rPr>
      </w:pPr>
    </w:p>
    <w:p w14:paraId="5828651A">
      <w:pPr>
        <w:pStyle w:val="7"/>
        <w:rPr>
          <w:rFonts w:hint="eastAsia" w:ascii="黑体" w:hAnsi="黑体" w:eastAsia="黑体"/>
          <w:color w:val="auto"/>
          <w:kern w:val="44"/>
          <w:sz w:val="44"/>
          <w:lang w:val="zh-CN"/>
        </w:rPr>
      </w:pPr>
    </w:p>
    <w:p w14:paraId="229E23E8">
      <w:pPr>
        <w:pStyle w:val="7"/>
        <w:rPr>
          <w:rFonts w:hint="eastAsia" w:ascii="黑体" w:hAnsi="黑体" w:eastAsia="黑体"/>
          <w:color w:val="auto"/>
          <w:kern w:val="44"/>
          <w:sz w:val="44"/>
          <w:lang w:val="zh-CN"/>
        </w:rPr>
      </w:pPr>
    </w:p>
    <w:p w14:paraId="18521E45">
      <w:pPr>
        <w:bidi w:val="0"/>
        <w:rPr>
          <w:rFonts w:hint="eastAsia"/>
          <w:lang w:val="zh-CN"/>
        </w:rPr>
      </w:pPr>
    </w:p>
    <w:p w14:paraId="393953A0">
      <w:pPr>
        <w:bidi w:val="0"/>
        <w:rPr>
          <w:rFonts w:hint="eastAsia"/>
          <w:lang w:val="zh-CN"/>
        </w:rPr>
      </w:pPr>
    </w:p>
    <w:p w14:paraId="3CEFB2E5">
      <w:pPr>
        <w:tabs>
          <w:tab w:val="left" w:pos="1153"/>
        </w:tabs>
        <w:bidi w:val="0"/>
        <w:jc w:val="left"/>
        <w:rPr>
          <w:rFonts w:hint="eastAsia"/>
          <w:lang w:val="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BB634C1">
      <w:pPr>
        <w:pStyle w:val="3"/>
        <w:keepNext/>
        <w:keepLines/>
        <w:spacing w:before="340" w:beforeLines="0" w:after="330" w:afterLines="0" w:line="576" w:lineRule="auto"/>
        <w:jc w:val="center"/>
        <w:rPr>
          <w:rFonts w:hint="eastAsia" w:ascii="黑体" w:hAnsi="黑体" w:eastAsia="黑体"/>
          <w:b/>
          <w:color w:val="auto"/>
          <w:kern w:val="44"/>
          <w:sz w:val="44"/>
          <w:lang w:val="zh-CN"/>
        </w:rPr>
      </w:pPr>
      <w:bookmarkStart w:id="30" w:name="_Toc7466_WPSOffice_Level1"/>
      <w:r>
        <w:rPr>
          <w:rFonts w:hint="eastAsia" w:ascii="黑体" w:hAnsi="黑体" w:eastAsia="黑体"/>
          <w:color w:val="auto"/>
          <w:kern w:val="44"/>
          <w:sz w:val="44"/>
          <w:lang w:val="zh-CN"/>
        </w:rPr>
        <w:t>第一部分 单位概况</w:t>
      </w:r>
      <w:bookmarkEnd w:id="30"/>
    </w:p>
    <w:p w14:paraId="2FC2239A">
      <w:pPr>
        <w:pStyle w:val="4"/>
        <w:keepNext/>
        <w:keepLines/>
        <w:spacing w:before="260" w:beforeLines="0" w:after="260" w:afterLines="0" w:line="576" w:lineRule="exact"/>
        <w:ind w:firstLine="640"/>
        <w:jc w:val="both"/>
        <w:rPr>
          <w:rFonts w:hint="eastAsia" w:ascii="黑体" w:hAnsi="黑体" w:eastAsia="黑体"/>
          <w:color w:val="auto"/>
          <w:kern w:val="2"/>
          <w:sz w:val="32"/>
          <w:lang w:val="zh-CN"/>
        </w:rPr>
      </w:pPr>
      <w:bookmarkStart w:id="31" w:name="_Toc29491_WPSOffice_Level2"/>
      <w:r>
        <w:rPr>
          <w:rFonts w:hint="eastAsia" w:ascii="黑体" w:hAnsi="黑体" w:eastAsia="黑体"/>
          <w:color w:val="000000"/>
          <w:kern w:val="2"/>
          <w:sz w:val="32"/>
          <w:lang w:val="zh-CN"/>
        </w:rPr>
        <w:t>一、主要</w:t>
      </w:r>
      <w:r>
        <w:rPr>
          <w:rFonts w:hint="eastAsia" w:ascii="黑体" w:hAnsi="黑体" w:eastAsia="黑体"/>
          <w:color w:val="auto"/>
          <w:kern w:val="2"/>
          <w:sz w:val="32"/>
          <w:lang w:val="zh-CN"/>
        </w:rPr>
        <w:t>职责</w:t>
      </w:r>
      <w:bookmarkEnd w:id="31"/>
    </w:p>
    <w:p w14:paraId="4D3D1067">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2" w:name="_Toc23001"/>
      <w:r>
        <w:rPr>
          <w:rFonts w:hint="eastAsia" w:ascii="仿宋" w:hAnsi="仿宋" w:eastAsia="仿宋"/>
          <w:bCs/>
          <w:color w:val="000000"/>
          <w:sz w:val="32"/>
        </w:rPr>
        <w:t>1.拟订文化、体育、旅游、广播电视、文物保护相关的政策措施和规范性文件并组织实施，承担本部门依法行政工作。</w:t>
      </w:r>
      <w:bookmarkEnd w:id="32"/>
    </w:p>
    <w:p w14:paraId="5F7B67A1">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3" w:name="_Toc14145"/>
      <w:r>
        <w:rPr>
          <w:rFonts w:hint="eastAsia" w:ascii="仿宋" w:hAnsi="仿宋" w:eastAsia="仿宋"/>
          <w:bCs/>
          <w:color w:val="000000"/>
          <w:sz w:val="32"/>
        </w:rPr>
        <w:t>2.组织推动全县文化事业、文化产业、体育事业、旅游业、广播电视、文物保护业发展，拟订发展规划并组织实施，推进文化体育旅游和广播电视体制机制改革。</w:t>
      </w:r>
      <w:bookmarkEnd w:id="33"/>
    </w:p>
    <w:p w14:paraId="47CC6FAC">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4" w:name="_Toc6436"/>
      <w:r>
        <w:rPr>
          <w:rFonts w:hint="eastAsia" w:ascii="仿宋" w:hAnsi="仿宋" w:eastAsia="仿宋"/>
          <w:bCs/>
          <w:color w:val="000000"/>
          <w:sz w:val="32"/>
        </w:rPr>
        <w:t>3.推进文化和旅游融合发展，推动文化作品创作和旅游产品开发，促进文化和旅游产业深度融合。</w:t>
      </w:r>
      <w:bookmarkEnd w:id="34"/>
    </w:p>
    <w:p w14:paraId="5ACAABFB">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5" w:name="_Toc13915"/>
      <w:r>
        <w:rPr>
          <w:rFonts w:hint="eastAsia" w:ascii="仿宋" w:hAnsi="仿宋" w:eastAsia="仿宋"/>
          <w:bCs/>
          <w:color w:val="000000"/>
          <w:sz w:val="32"/>
        </w:rPr>
        <w:t>4监督管理旅游市场秩序、旅游服务质量。</w:t>
      </w:r>
      <w:bookmarkEnd w:id="35"/>
    </w:p>
    <w:p w14:paraId="1CC80246">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6" w:name="_Toc17029"/>
      <w:r>
        <w:rPr>
          <w:rFonts w:hint="eastAsia" w:ascii="仿宋" w:hAnsi="仿宋" w:eastAsia="仿宋"/>
          <w:bCs/>
          <w:color w:val="000000"/>
          <w:sz w:val="32"/>
        </w:rPr>
        <w:t>5.管理全县重大文化、体育、旅游、广播电视活动，指导全县重点文化、体育、旅游、广播电视、文物设施建设，组织全县文化和旅游整体形象推广，制定旅游市场开发战略并组织实施。推进全域旅游。</w:t>
      </w:r>
      <w:bookmarkEnd w:id="36"/>
    </w:p>
    <w:p w14:paraId="2C13017F">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7" w:name="_Toc11594"/>
      <w:r>
        <w:rPr>
          <w:rFonts w:hint="eastAsia" w:ascii="仿宋" w:hAnsi="仿宋" w:eastAsia="仿宋"/>
          <w:bCs/>
          <w:color w:val="000000"/>
          <w:sz w:val="32"/>
        </w:rPr>
        <w:t>6.指导管理文艺事业，推动艺术创作生产，扶持体现社会主义核心价值观、具有导向性代表性示范性的文艺作品，推动各门类艺术、各艺术品种发展，推动中华优秀传统文化传承发展。</w:t>
      </w:r>
      <w:bookmarkEnd w:id="37"/>
    </w:p>
    <w:p w14:paraId="354F38B1">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8" w:name="_Toc20257"/>
      <w:r>
        <w:rPr>
          <w:rFonts w:hint="eastAsia" w:ascii="仿宋" w:hAnsi="仿宋" w:eastAsia="仿宋"/>
          <w:bCs/>
          <w:color w:val="000000"/>
          <w:sz w:val="32"/>
        </w:rPr>
        <w:t>7.承担公共文化事业发展工作，推进全县公共文化服务体系建设和旅游公共服务建设，深入实施文化惠民工程，统筹推进基本公共文化服务标准化、均等化。</w:t>
      </w:r>
      <w:bookmarkEnd w:id="38"/>
    </w:p>
    <w:p w14:paraId="60976A97">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39" w:name="_Toc21335"/>
      <w:r>
        <w:rPr>
          <w:rFonts w:hint="eastAsia" w:ascii="仿宋" w:hAnsi="仿宋" w:eastAsia="仿宋"/>
          <w:bCs/>
          <w:color w:val="000000"/>
          <w:sz w:val="32"/>
        </w:rPr>
        <w:t>8.推进文化和旅游科技创新发展，推进文化和旅游行业信息化、标准化建设。</w:t>
      </w:r>
      <w:bookmarkEnd w:id="39"/>
    </w:p>
    <w:p w14:paraId="2BB15E6C">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0" w:name="_Toc6382"/>
      <w:r>
        <w:rPr>
          <w:rFonts w:hint="eastAsia" w:ascii="仿宋" w:hAnsi="仿宋" w:eastAsia="仿宋"/>
          <w:bCs/>
          <w:color w:val="000000"/>
          <w:sz w:val="32"/>
        </w:rPr>
        <w:t>9.承担非物质文化遗产保护工作，推动非物质文化遗产的保护、传承、普及、弘扬和振兴。组织开展文化遗产申报。协同相关部门负责历史文化名城（镇、村）申报和监督管理工作。</w:t>
      </w:r>
      <w:bookmarkEnd w:id="40"/>
    </w:p>
    <w:p w14:paraId="158A9754">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1" w:name="_Toc25392"/>
      <w:r>
        <w:rPr>
          <w:rFonts w:hint="eastAsia" w:ascii="仿宋" w:hAnsi="仿宋" w:eastAsia="仿宋"/>
          <w:bCs/>
          <w:color w:val="000000"/>
          <w:sz w:val="32"/>
        </w:rPr>
        <w:t>10.组织实施文化和旅游资源普查、挖掘、保护与利用工作。</w:t>
      </w:r>
      <w:bookmarkEnd w:id="41"/>
    </w:p>
    <w:p w14:paraId="3CACE4CF">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2" w:name="_Toc15944"/>
      <w:r>
        <w:rPr>
          <w:rFonts w:hint="eastAsia" w:ascii="仿宋" w:hAnsi="仿宋" w:eastAsia="仿宋"/>
          <w:bCs/>
          <w:color w:val="000000"/>
          <w:sz w:val="32"/>
        </w:rPr>
        <w:t>11.指导文化体育旅游和广播电视市场发展，对市场经营进行行业监管，推进文化体育旅游和广播电视行业信用体系建设，依法规范文化体育旅游和广播电视市场。</w:t>
      </w:r>
      <w:bookmarkEnd w:id="42"/>
    </w:p>
    <w:p w14:paraId="1EDE5A47">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3" w:name="_Toc7829"/>
      <w:r>
        <w:rPr>
          <w:rFonts w:hint="eastAsia" w:ascii="仿宋" w:hAnsi="仿宋" w:eastAsia="仿宋"/>
          <w:bCs/>
          <w:color w:val="000000"/>
          <w:sz w:val="32"/>
        </w:rPr>
        <w:t>12.开展全县文化市场综合执法，组织查处全县性的文化、体育、文物、旅游、广播电视等市场的违法行为。</w:t>
      </w:r>
      <w:bookmarkEnd w:id="43"/>
    </w:p>
    <w:p w14:paraId="3E56AFDB">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4" w:name="_Toc2909"/>
      <w:r>
        <w:rPr>
          <w:rFonts w:hint="eastAsia" w:ascii="仿宋" w:hAnsi="仿宋" w:eastAsia="仿宋"/>
          <w:bCs/>
          <w:color w:val="000000"/>
          <w:sz w:val="32"/>
        </w:rPr>
        <w:t>13.承担文化、体育、旅游、广播电视和文物对外交流合作与宣传推广工作。组织文化、体育、旅游、广播电视、文物对外交流活动。</w:t>
      </w:r>
      <w:bookmarkEnd w:id="44"/>
    </w:p>
    <w:p w14:paraId="7D25262D">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5" w:name="_Toc13482"/>
      <w:r>
        <w:rPr>
          <w:rFonts w:hint="eastAsia" w:ascii="仿宋" w:hAnsi="仿宋" w:eastAsia="仿宋"/>
          <w:bCs/>
          <w:color w:val="000000"/>
          <w:sz w:val="32"/>
        </w:rPr>
        <w:t>14.统筹规划全县群众体育发展，负责推行全民健身计划，实施国家体育锻炼标准，推动全县国民体质监测和社会体育指导员工作队伍制度建设，负责公共体育设施的指导和监督管理。</w:t>
      </w:r>
      <w:bookmarkEnd w:id="45"/>
    </w:p>
    <w:p w14:paraId="517F1D7C">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6" w:name="_Toc24516"/>
      <w:r>
        <w:rPr>
          <w:rFonts w:hint="eastAsia" w:ascii="仿宋" w:hAnsi="仿宋" w:eastAsia="仿宋"/>
          <w:bCs/>
          <w:color w:val="000000"/>
          <w:sz w:val="32"/>
        </w:rPr>
        <w:t>15.统筹规划全县竞技体育发展，指导业余体育训练、体育</w:t>
      </w:r>
      <w:r>
        <w:rPr>
          <w:rFonts w:hint="eastAsia" w:ascii="仿宋" w:hAnsi="仿宋" w:eastAsia="仿宋"/>
          <w:bCs/>
          <w:color w:val="000000"/>
          <w:sz w:val="32"/>
          <w:lang w:eastAsia="zh-CN"/>
        </w:rPr>
        <w:t>竞赛</w:t>
      </w:r>
      <w:bookmarkStart w:id="82" w:name="_GoBack"/>
      <w:bookmarkEnd w:id="82"/>
      <w:r>
        <w:rPr>
          <w:rFonts w:hint="eastAsia" w:ascii="仿宋" w:hAnsi="仿宋" w:eastAsia="仿宋"/>
          <w:bCs/>
          <w:color w:val="000000"/>
          <w:sz w:val="32"/>
        </w:rPr>
        <w:t>和运动队伍建设，组织和统筹参加各级运动会，承办体育运动会。</w:t>
      </w:r>
      <w:bookmarkEnd w:id="46"/>
    </w:p>
    <w:p w14:paraId="3A7F42BA">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7" w:name="_Toc18338"/>
      <w:r>
        <w:rPr>
          <w:rFonts w:hint="eastAsia" w:ascii="仿宋" w:hAnsi="仿宋" w:eastAsia="仿宋"/>
          <w:bCs/>
          <w:color w:val="000000"/>
          <w:sz w:val="32"/>
        </w:rPr>
        <w:t>16.指导和推进青少年体育工作；规范体育服务管理，推动体育标准化建设；负责监督管理全县体育彩票销售工作。</w:t>
      </w:r>
      <w:bookmarkEnd w:id="47"/>
    </w:p>
    <w:p w14:paraId="0CF86C37">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8" w:name="_Toc31225"/>
      <w:r>
        <w:rPr>
          <w:rFonts w:hint="eastAsia" w:ascii="仿宋" w:hAnsi="仿宋" w:eastAsia="仿宋"/>
          <w:bCs/>
          <w:color w:val="000000"/>
          <w:sz w:val="32"/>
        </w:rPr>
        <w:t>17.监督管理、审查广播电视和网络视听节目的内容及质量；指导和监管广播电视广告播放。</w:t>
      </w:r>
      <w:bookmarkEnd w:id="48"/>
    </w:p>
    <w:p w14:paraId="65742D70">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49" w:name="_Toc29906"/>
      <w:r>
        <w:rPr>
          <w:rFonts w:hint="eastAsia" w:ascii="仿宋" w:hAnsi="仿宋" w:eastAsia="仿宋"/>
          <w:bCs/>
          <w:color w:val="000000"/>
          <w:sz w:val="32"/>
        </w:rPr>
        <w:t>18.拟订全县广播电视事业和广播电视科技发展规划；负责广播电视节目传输覆盖、监测和安全播出的监督管理；协调推进广播电视与新媒体新技术新业态融合发展，推进广电网与电信网、互联网三网融合，推进应急广播体系建设。</w:t>
      </w:r>
      <w:bookmarkEnd w:id="49"/>
    </w:p>
    <w:p w14:paraId="3E06ACA7">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50" w:name="_Toc8089"/>
      <w:r>
        <w:rPr>
          <w:rFonts w:hint="eastAsia" w:ascii="仿宋" w:hAnsi="仿宋" w:eastAsia="仿宋"/>
          <w:bCs/>
          <w:color w:val="000000"/>
          <w:sz w:val="32"/>
        </w:rPr>
        <w:t>19.管理全县文物保护利用与考古工作。组织文物资源调查。承担组织遴选、申报县级以上文物保护单位工作。组织协调重大文物保护、考古项目的实施和管理基本建设涉及文物保护相关工作。组织文物保护宣传工作。协调、监督全县文物安全工作。履行文物行政督察职责。</w:t>
      </w:r>
      <w:bookmarkEnd w:id="50"/>
    </w:p>
    <w:p w14:paraId="40E0C65C">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51" w:name="_Toc6782"/>
      <w:r>
        <w:rPr>
          <w:rFonts w:hint="eastAsia" w:ascii="仿宋" w:hAnsi="仿宋" w:eastAsia="仿宋"/>
          <w:bCs/>
          <w:color w:val="000000"/>
          <w:sz w:val="32"/>
        </w:rPr>
        <w:t>20.负责推动完善全县文物和博物馆公共服务体系建设。指导博物馆建设管理和社会文物管理工作。组织指导文物和博物馆领域重大科研项目、科技保护、标准化建设。推动装备技术提升。</w:t>
      </w:r>
      <w:bookmarkEnd w:id="51"/>
    </w:p>
    <w:p w14:paraId="77F51DC7">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52" w:name="_Toc4238"/>
      <w:r>
        <w:rPr>
          <w:rFonts w:hint="eastAsia" w:ascii="仿宋" w:hAnsi="仿宋" w:eastAsia="仿宋"/>
          <w:bCs/>
          <w:color w:val="000000"/>
          <w:sz w:val="32"/>
        </w:rPr>
        <w:t>21.承担意识形态和职责范围内的安全生产和职业健康、生态环境保护等工作。</w:t>
      </w:r>
      <w:bookmarkEnd w:id="52"/>
    </w:p>
    <w:p w14:paraId="65CB4724">
      <w:pPr>
        <w:pStyle w:val="11"/>
        <w:widowControl/>
        <w:numPr>
          <w:ilvl w:val="0"/>
          <w:numId w:val="0"/>
        </w:numPr>
        <w:adjustRightInd w:val="0"/>
        <w:snapToGrid w:val="0"/>
        <w:spacing w:line="580" w:lineRule="exact"/>
        <w:ind w:firstLine="640" w:firstLineChars="200"/>
        <w:contextualSpacing/>
        <w:jc w:val="left"/>
        <w:rPr>
          <w:rFonts w:ascii="仿宋" w:hAnsi="仿宋" w:eastAsia="仿宋"/>
          <w:bCs/>
          <w:color w:val="000000"/>
          <w:sz w:val="32"/>
        </w:rPr>
      </w:pPr>
      <w:bookmarkStart w:id="53" w:name="_Toc12502"/>
      <w:r>
        <w:rPr>
          <w:rFonts w:hint="eastAsia" w:ascii="仿宋" w:hAnsi="仿宋" w:eastAsia="仿宋"/>
          <w:bCs/>
          <w:color w:val="000000"/>
          <w:sz w:val="32"/>
        </w:rPr>
        <w:t>22.完成县委、县政府交办的其他任务。</w:t>
      </w:r>
      <w:bookmarkEnd w:id="53"/>
    </w:p>
    <w:p w14:paraId="237578D4">
      <w:pPr>
        <w:pStyle w:val="11"/>
        <w:widowControl/>
        <w:numPr>
          <w:ilvl w:val="0"/>
          <w:numId w:val="0"/>
        </w:numPr>
        <w:adjustRightInd w:val="0"/>
        <w:snapToGrid w:val="0"/>
        <w:spacing w:line="580" w:lineRule="exact"/>
        <w:ind w:firstLine="640" w:firstLineChars="200"/>
        <w:contextualSpacing/>
        <w:jc w:val="left"/>
        <w:rPr>
          <w:rFonts w:ascii="仿宋_GB2312" w:hAnsi="宋体" w:cs="宋体"/>
          <w:color w:val="000000"/>
          <w:kern w:val="0"/>
          <w:shd w:val="clear" w:color="auto" w:fill="FFFFFF"/>
        </w:rPr>
      </w:pPr>
      <w:bookmarkStart w:id="54" w:name="_Toc25738"/>
      <w:r>
        <w:rPr>
          <w:rFonts w:hint="eastAsia" w:ascii="仿宋" w:hAnsi="仿宋" w:eastAsia="仿宋"/>
          <w:bCs/>
          <w:color w:val="000000"/>
          <w:sz w:val="32"/>
        </w:rPr>
        <w:t>23.职能转变。以人民对美好生活的向往为引导，统筹推进文化事业、文化产业、体育事业和旅游业融合发展。用好文化创意、科技创新和社会投资等新动能，促进文化和旅游与相关产业融合发展。围绕“全域旅游”发展目标，加快推进特色乡村旅游度假区建设。</w:t>
      </w:r>
      <w:bookmarkEnd w:id="54"/>
    </w:p>
    <w:p w14:paraId="6ACEAAA9">
      <w:pPr>
        <w:rPr>
          <w:rFonts w:hint="eastAsia"/>
          <w:lang w:val="zh-CN"/>
        </w:rPr>
      </w:pPr>
    </w:p>
    <w:p w14:paraId="70E83C42">
      <w:pPr>
        <w:pStyle w:val="4"/>
        <w:keepNext/>
        <w:keepLines/>
        <w:numPr>
          <w:ilvl w:val="0"/>
          <w:numId w:val="2"/>
        </w:numPr>
        <w:spacing w:before="260" w:beforeLines="0" w:after="260" w:afterLines="0" w:line="576" w:lineRule="exact"/>
        <w:ind w:firstLine="640"/>
        <w:jc w:val="both"/>
        <w:rPr>
          <w:rFonts w:hint="eastAsia" w:ascii="黑体" w:hAnsi="黑体" w:eastAsia="黑体"/>
          <w:color w:val="auto"/>
          <w:kern w:val="2"/>
          <w:sz w:val="32"/>
          <w:lang w:val="zh-CN"/>
        </w:rPr>
      </w:pPr>
      <w:bookmarkStart w:id="55" w:name="_Toc390_WPSOffice_Level2"/>
      <w:r>
        <w:rPr>
          <w:rFonts w:hint="eastAsia" w:ascii="黑体" w:hAnsi="黑体" w:eastAsia="黑体"/>
          <w:color w:val="000000"/>
          <w:kern w:val="2"/>
          <w:sz w:val="32"/>
          <w:lang w:val="zh-CN"/>
        </w:rPr>
        <w:t>机</w:t>
      </w:r>
      <w:r>
        <w:rPr>
          <w:rFonts w:hint="eastAsia" w:ascii="黑体" w:hAnsi="黑体" w:eastAsia="黑体"/>
          <w:color w:val="auto"/>
          <w:kern w:val="2"/>
          <w:sz w:val="32"/>
          <w:lang w:val="zh-CN"/>
        </w:rPr>
        <w:t>构设置</w:t>
      </w:r>
      <w:bookmarkEnd w:id="55"/>
    </w:p>
    <w:p w14:paraId="6AAD3FC5">
      <w:pPr>
        <w:spacing w:beforeLines="0" w:afterLines="0"/>
        <w:ind w:firstLine="800"/>
        <w:jc w:val="both"/>
        <w:rPr>
          <w:rFonts w:hint="eastAsia" w:ascii="仿宋" w:hAnsi="仿宋" w:eastAsia="仿宋"/>
          <w:color w:val="auto"/>
          <w:kern w:val="2"/>
          <w:sz w:val="32"/>
          <w:lang w:val="en-US"/>
        </w:rPr>
      </w:pPr>
      <w:r>
        <w:rPr>
          <w:rFonts w:hint="eastAsia" w:ascii="仿宋_GB2312" w:hAnsi="仿宋_GB2312" w:eastAsia="仿宋_GB2312"/>
          <w:color w:val="auto"/>
          <w:kern w:val="2"/>
          <w:sz w:val="32"/>
          <w:lang w:val="zh-CN"/>
        </w:rPr>
        <w:t>井研县文化体育和旅游局</w:t>
      </w:r>
      <w:r>
        <w:rPr>
          <w:rFonts w:hint="eastAsia" w:ascii="仿宋" w:hAnsi="仿宋" w:eastAsia="仿宋"/>
          <w:color w:val="auto"/>
          <w:kern w:val="2"/>
          <w:sz w:val="32"/>
          <w:lang w:val="en-US"/>
        </w:rPr>
        <w:t>下属</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en-US"/>
        </w:rPr>
        <w:t>级单位</w:t>
      </w:r>
      <w:r>
        <w:rPr>
          <w:rFonts w:hint="eastAsia" w:ascii="仿宋" w:hAnsi="仿宋" w:eastAsia="仿宋"/>
          <w:color w:val="auto"/>
          <w:kern w:val="2"/>
          <w:sz w:val="32"/>
          <w:lang w:val="en-US" w:eastAsia="zh-CN"/>
        </w:rPr>
        <w:t>3</w:t>
      </w:r>
      <w:r>
        <w:rPr>
          <w:rFonts w:hint="eastAsia" w:ascii="仿宋" w:hAnsi="仿宋" w:eastAsia="仿宋"/>
          <w:color w:val="auto"/>
          <w:kern w:val="2"/>
          <w:sz w:val="32"/>
          <w:lang w:val="en-US"/>
        </w:rPr>
        <w:t>个，其中行政单位</w:t>
      </w:r>
      <w:r>
        <w:rPr>
          <w:rFonts w:hint="eastAsia" w:ascii="仿宋" w:hAnsi="仿宋" w:eastAsia="仿宋"/>
          <w:color w:val="auto"/>
          <w:kern w:val="2"/>
          <w:sz w:val="32"/>
          <w:lang w:val="en-US" w:eastAsia="zh-CN"/>
        </w:rPr>
        <w:t>1</w:t>
      </w:r>
      <w:r>
        <w:rPr>
          <w:rFonts w:hint="eastAsia" w:ascii="仿宋" w:hAnsi="仿宋" w:eastAsia="仿宋"/>
          <w:color w:val="auto"/>
          <w:kern w:val="2"/>
          <w:sz w:val="32"/>
          <w:lang w:val="en-US"/>
        </w:rPr>
        <w:t>个，参照公务员法管理的事业单位</w:t>
      </w:r>
      <w:r>
        <w:rPr>
          <w:rFonts w:hint="eastAsia" w:ascii="仿宋" w:hAnsi="仿宋" w:eastAsia="仿宋"/>
          <w:color w:val="auto"/>
          <w:kern w:val="2"/>
          <w:sz w:val="32"/>
          <w:lang w:val="en-US" w:eastAsia="zh-CN"/>
        </w:rPr>
        <w:t>0</w:t>
      </w:r>
      <w:r>
        <w:rPr>
          <w:rFonts w:hint="eastAsia" w:ascii="仿宋" w:hAnsi="仿宋" w:eastAsia="仿宋"/>
          <w:color w:val="auto"/>
          <w:kern w:val="2"/>
          <w:sz w:val="32"/>
          <w:lang w:val="en-US"/>
        </w:rPr>
        <w:t>个，其他事业单位</w:t>
      </w:r>
      <w:r>
        <w:rPr>
          <w:rFonts w:hint="eastAsia" w:ascii="仿宋" w:hAnsi="仿宋" w:eastAsia="仿宋"/>
          <w:color w:val="auto"/>
          <w:kern w:val="2"/>
          <w:sz w:val="32"/>
          <w:lang w:val="en-US" w:eastAsia="zh-CN"/>
        </w:rPr>
        <w:t>2</w:t>
      </w:r>
      <w:r>
        <w:rPr>
          <w:rFonts w:hint="eastAsia" w:ascii="仿宋" w:hAnsi="仿宋" w:eastAsia="仿宋"/>
          <w:color w:val="auto"/>
          <w:kern w:val="2"/>
          <w:sz w:val="32"/>
          <w:lang w:val="en-US"/>
        </w:rPr>
        <w:t>个。</w:t>
      </w:r>
    </w:p>
    <w:p w14:paraId="4A36E43F">
      <w:pPr>
        <w:spacing w:before="93"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纳入</w:t>
      </w:r>
      <w:r>
        <w:rPr>
          <w:rFonts w:hint="eastAsia" w:ascii="仿宋_GB2312" w:hAnsi="仿宋_GB2312" w:eastAsia="仿宋_GB2312"/>
          <w:color w:val="auto"/>
          <w:kern w:val="2"/>
          <w:sz w:val="32"/>
          <w:lang w:val="zh-CN"/>
        </w:rPr>
        <w:t>井研县文化体育和旅游局</w:t>
      </w:r>
      <w:r>
        <w:rPr>
          <w:rFonts w:hint="eastAsia" w:ascii="仿宋_GB2312" w:hAnsi="仿宋_GB2312" w:eastAsia="仿宋_GB2312"/>
          <w:color w:val="000000"/>
          <w:kern w:val="2"/>
          <w:sz w:val="32"/>
          <w:lang w:val="zh-CN"/>
        </w:rPr>
        <w:t>2022年度部门决算编制范围的一级预算单位包括：</w:t>
      </w:r>
    </w:p>
    <w:p w14:paraId="74702997">
      <w:pPr>
        <w:spacing w:before="93"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en-US" w:eastAsia="zh-CN"/>
        </w:rPr>
        <w:t>1</w:t>
      </w:r>
      <w:r>
        <w:rPr>
          <w:rFonts w:hint="eastAsia" w:ascii="仿宋_GB2312" w:hAnsi="仿宋_GB2312" w:eastAsia="仿宋_GB2312"/>
          <w:color w:val="000000"/>
          <w:kern w:val="2"/>
          <w:sz w:val="32"/>
          <w:lang w:val="zh-CN"/>
        </w:rPr>
        <w:t>.井研县文化体育和旅游局</w:t>
      </w:r>
    </w:p>
    <w:p w14:paraId="4BBBFD46">
      <w:pPr>
        <w:spacing w:before="93"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en-US" w:eastAsia="zh-CN"/>
        </w:rPr>
        <w:t>2</w:t>
      </w:r>
      <w:r>
        <w:rPr>
          <w:rFonts w:hint="eastAsia" w:ascii="仿宋_GB2312" w:hAnsi="仿宋_GB2312" w:eastAsia="仿宋_GB2312"/>
          <w:color w:val="000000"/>
          <w:kern w:val="2"/>
          <w:sz w:val="32"/>
          <w:lang w:val="zh-CN"/>
        </w:rPr>
        <w:t>.井研县图书馆</w:t>
      </w:r>
    </w:p>
    <w:p w14:paraId="55243538">
      <w:pPr>
        <w:pStyle w:val="2"/>
        <w:ind w:firstLine="640" w:firstLineChars="200"/>
        <w:rPr>
          <w:rFonts w:hint="eastAsia"/>
          <w:lang w:val="zh-CN"/>
        </w:rPr>
      </w:pPr>
      <w:r>
        <w:rPr>
          <w:rFonts w:hint="eastAsia" w:hAnsi="仿宋_GB2312"/>
          <w:color w:val="000000"/>
          <w:kern w:val="2"/>
          <w:sz w:val="32"/>
          <w:lang w:val="en-US" w:eastAsia="zh-CN"/>
        </w:rPr>
        <w:t>3</w:t>
      </w:r>
      <w:r>
        <w:rPr>
          <w:rFonts w:hint="eastAsia" w:ascii="仿宋_GB2312" w:hAnsi="仿宋_GB2312" w:eastAsia="仿宋_GB2312"/>
          <w:color w:val="000000"/>
          <w:kern w:val="2"/>
          <w:sz w:val="32"/>
          <w:lang w:val="zh-CN"/>
        </w:rPr>
        <w:t>.井研县文化馆</w:t>
      </w:r>
    </w:p>
    <w:p w14:paraId="369D229E">
      <w:pPr>
        <w:rPr>
          <w:rFonts w:hint="eastAsia"/>
          <w:lang w:val="zh-CN"/>
        </w:rPr>
      </w:pPr>
    </w:p>
    <w:p w14:paraId="7EC250A2">
      <w:pPr>
        <w:numPr>
          <w:ilvl w:val="0"/>
          <w:numId w:val="0"/>
        </w:numPr>
        <w:rPr>
          <w:rFonts w:hint="default"/>
          <w:lang w:val="zh-CN"/>
        </w:rPr>
      </w:pPr>
    </w:p>
    <w:p w14:paraId="13E9049D">
      <w:pPr>
        <w:pStyle w:val="3"/>
        <w:keepNext/>
        <w:keepLines/>
        <w:spacing w:before="340" w:beforeLines="0" w:after="330" w:afterLines="0" w:line="576" w:lineRule="exact"/>
        <w:ind w:right="442" w:firstLine="880"/>
        <w:jc w:val="center"/>
        <w:rPr>
          <w:rFonts w:hint="eastAsia" w:ascii="Times New Roman" w:hAnsi="Times New Roman" w:eastAsia="Times New Roman"/>
          <w:b/>
          <w:color w:val="auto"/>
          <w:kern w:val="44"/>
          <w:sz w:val="44"/>
          <w:lang w:val="zh-CN"/>
        </w:rPr>
      </w:pPr>
      <w:bookmarkStart w:id="56" w:name="_Toc29491_WPSOffice_Level1"/>
      <w:r>
        <w:rPr>
          <w:rFonts w:hint="eastAsia" w:ascii="黑体" w:hAnsi="黑体" w:eastAsia="黑体"/>
          <w:color w:val="000000"/>
          <w:kern w:val="44"/>
          <w:sz w:val="44"/>
          <w:lang w:val="zh-CN"/>
        </w:rPr>
        <w:t>第二部分</w:t>
      </w:r>
      <w:r>
        <w:rPr>
          <w:rFonts w:hint="eastAsia" w:ascii="黑体" w:hAnsi="黑体" w:eastAsia="黑体"/>
          <w:b/>
          <w:color w:val="000000"/>
          <w:kern w:val="44"/>
          <w:sz w:val="44"/>
          <w:lang w:val="zh-CN"/>
        </w:rPr>
        <w:t xml:space="preserve"> </w:t>
      </w:r>
      <w:r>
        <w:rPr>
          <w:rFonts w:hint="eastAsia" w:ascii="黑体" w:hAnsi="黑体" w:eastAsia="黑体"/>
          <w:color w:val="auto"/>
          <w:kern w:val="44"/>
          <w:sz w:val="44"/>
          <w:lang w:val="zh-CN"/>
        </w:rPr>
        <w:t>2022年度单位决算情况明</w:t>
      </w:r>
      <w:bookmarkEnd w:id="56"/>
    </w:p>
    <w:p w14:paraId="21A626E5">
      <w:pPr>
        <w:keepNext/>
        <w:keepLines/>
        <w:spacing w:beforeLines="0" w:afterLines="0" w:line="576" w:lineRule="exact"/>
        <w:jc w:val="both"/>
        <w:rPr>
          <w:rFonts w:hint="eastAsia" w:ascii="黑体" w:hAnsi="黑体" w:eastAsia="黑体"/>
          <w:color w:val="auto"/>
          <w:kern w:val="2"/>
          <w:sz w:val="32"/>
          <w:lang w:val="zh-CN"/>
        </w:rPr>
      </w:pPr>
      <w:r>
        <w:rPr>
          <w:rFonts w:hint="eastAsia" w:ascii="黑体" w:hAnsi="黑体" w:eastAsia="黑体"/>
          <w:color w:val="000000"/>
          <w:kern w:val="2"/>
          <w:sz w:val="32"/>
          <w:lang w:val="zh-CN"/>
        </w:rPr>
        <w:t xml:space="preserve">    </w:t>
      </w:r>
      <w:bookmarkStart w:id="57" w:name="_Toc16906_WPSOffice_Level2"/>
      <w:r>
        <w:rPr>
          <w:rFonts w:hint="eastAsia" w:ascii="黑体" w:hAnsi="黑体" w:eastAsia="黑体"/>
          <w:color w:val="000000"/>
          <w:kern w:val="2"/>
          <w:sz w:val="32"/>
          <w:lang w:val="zh-CN"/>
        </w:rPr>
        <w:t>一、收</w:t>
      </w:r>
      <w:r>
        <w:rPr>
          <w:rFonts w:hint="eastAsia" w:ascii="黑体" w:hAnsi="黑体" w:eastAsia="黑体"/>
          <w:color w:val="auto"/>
          <w:kern w:val="2"/>
          <w:sz w:val="32"/>
          <w:lang w:val="zh-CN"/>
        </w:rPr>
        <w:t>入支出决算总体情况说明</w:t>
      </w:r>
      <w:bookmarkEnd w:id="57"/>
    </w:p>
    <w:p w14:paraId="217AC4EF">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2022年度收、支总计1,578.42万元。与2021年相比，收、支总计各减少1,835.89万元，下降53.8%。主要变动原因是减少雷氏民居项目</w:t>
      </w:r>
      <w:r>
        <w:rPr>
          <w:rFonts w:hint="eastAsia" w:ascii="仿宋_GB2312" w:hAnsi="仿宋_GB2312" w:eastAsia="仿宋_GB2312"/>
          <w:color w:val="000000"/>
          <w:kern w:val="2"/>
          <w:sz w:val="32"/>
          <w:lang w:val="en-US" w:eastAsia="zh-CN"/>
        </w:rPr>
        <w:t>1400万</w:t>
      </w:r>
      <w:r>
        <w:rPr>
          <w:rFonts w:hint="eastAsia" w:ascii="仿宋_GB2312" w:hAnsi="仿宋_GB2312" w:eastAsia="仿宋_GB2312"/>
          <w:color w:val="000000"/>
          <w:kern w:val="2"/>
          <w:sz w:val="32"/>
          <w:lang w:val="zh-CN"/>
        </w:rPr>
        <w:t>。</w:t>
      </w:r>
    </w:p>
    <w:p w14:paraId="0DA1B2CD">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drawing>
          <wp:anchor distT="0" distB="0" distL="114300" distR="114300" simplePos="0" relativeHeight="251659264" behindDoc="0" locked="0" layoutInCell="1" allowOverlap="1">
            <wp:simplePos x="0" y="0"/>
            <wp:positionH relativeFrom="column">
              <wp:posOffset>325120</wp:posOffset>
            </wp:positionH>
            <wp:positionV relativeFrom="paragraph">
              <wp:posOffset>306705</wp:posOffset>
            </wp:positionV>
            <wp:extent cx="4594860" cy="2886075"/>
            <wp:effectExtent l="4445" t="4445" r="10795" b="508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2C1187FB">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2976CAC9">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2F7F50D8">
      <w:pPr>
        <w:keepNext/>
        <w:keepLines/>
        <w:spacing w:beforeLines="0" w:afterLines="0" w:line="576" w:lineRule="exact"/>
        <w:ind w:firstLine="640"/>
        <w:jc w:val="both"/>
        <w:rPr>
          <w:rFonts w:hint="eastAsia" w:ascii="仿宋_GB2312" w:hAnsi="仿宋_GB2312" w:eastAsia="仿宋_GB2312"/>
          <w:color w:val="000000"/>
          <w:kern w:val="2"/>
          <w:sz w:val="32"/>
          <w:lang w:val="zh-CN"/>
        </w:rPr>
      </w:pPr>
    </w:p>
    <w:p w14:paraId="7D4D1D92">
      <w:pPr>
        <w:spacing w:beforeLines="0" w:afterLines="0" w:line="600" w:lineRule="exact"/>
        <w:jc w:val="both"/>
        <w:rPr>
          <w:rFonts w:hint="eastAsia" w:ascii="仿宋" w:hAnsi="仿宋" w:eastAsia="仿宋"/>
          <w:color w:val="auto"/>
          <w:kern w:val="2"/>
          <w:sz w:val="32"/>
          <w:lang w:val="en-US"/>
        </w:rPr>
      </w:pPr>
    </w:p>
    <w:p w14:paraId="0E60259D">
      <w:pPr>
        <w:spacing w:beforeLines="0" w:afterLines="0" w:line="600" w:lineRule="exact"/>
        <w:jc w:val="both"/>
        <w:rPr>
          <w:rFonts w:hint="eastAsia" w:ascii="仿宋" w:hAnsi="仿宋" w:eastAsia="仿宋"/>
          <w:color w:val="auto"/>
          <w:kern w:val="2"/>
          <w:sz w:val="32"/>
          <w:lang w:val="en-US"/>
        </w:rPr>
      </w:pPr>
    </w:p>
    <w:p w14:paraId="2929FBDB">
      <w:pPr>
        <w:spacing w:beforeLines="0" w:afterLines="0" w:line="600" w:lineRule="exact"/>
        <w:jc w:val="both"/>
        <w:rPr>
          <w:rFonts w:hint="eastAsia" w:ascii="仿宋" w:hAnsi="仿宋" w:eastAsia="仿宋"/>
          <w:color w:val="auto"/>
          <w:kern w:val="2"/>
          <w:sz w:val="32"/>
          <w:lang w:val="en-US"/>
        </w:rPr>
      </w:pPr>
    </w:p>
    <w:p w14:paraId="31297C91">
      <w:pPr>
        <w:spacing w:beforeLines="0" w:afterLines="0" w:line="600" w:lineRule="exact"/>
        <w:ind w:firstLine="320" w:firstLineChars="100"/>
        <w:jc w:val="both"/>
        <w:rPr>
          <w:rFonts w:hint="eastAsia" w:ascii="仿宋" w:hAnsi="仿宋" w:eastAsia="仿宋"/>
          <w:color w:val="auto"/>
          <w:kern w:val="2"/>
          <w:sz w:val="32"/>
          <w:lang w:val="en-US"/>
        </w:rPr>
      </w:pPr>
    </w:p>
    <w:p w14:paraId="51E5E2BB">
      <w:pPr>
        <w:spacing w:beforeLines="0" w:afterLines="0" w:line="600" w:lineRule="exact"/>
        <w:ind w:firstLine="640"/>
        <w:jc w:val="both"/>
        <w:rPr>
          <w:rFonts w:hint="eastAsia" w:ascii="仿宋" w:hAnsi="仿宋" w:eastAsia="仿宋"/>
          <w:color w:val="auto"/>
          <w:kern w:val="2"/>
          <w:sz w:val="32"/>
          <w:lang w:val="en-US" w:eastAsia="zh-CN"/>
        </w:rPr>
      </w:pPr>
    </w:p>
    <w:p w14:paraId="71B3704C">
      <w:pPr>
        <w:keepNext/>
        <w:keepLines/>
        <w:spacing w:beforeLines="0" w:afterLines="0" w:line="576" w:lineRule="exact"/>
        <w:ind w:firstLine="640"/>
        <w:jc w:val="both"/>
        <w:rPr>
          <w:rFonts w:hint="eastAsia" w:ascii="黑体" w:hAnsi="黑体" w:eastAsia="黑体"/>
          <w:color w:val="auto"/>
          <w:kern w:val="2"/>
          <w:sz w:val="32"/>
          <w:lang w:val="zh-CN"/>
        </w:rPr>
      </w:pPr>
      <w:bookmarkStart w:id="58" w:name="_Toc1138_WPSOffice_Level2"/>
      <w:r>
        <w:rPr>
          <w:rFonts w:hint="eastAsia" w:ascii="黑体" w:hAnsi="黑体" w:eastAsia="黑体"/>
          <w:color w:val="000000"/>
          <w:kern w:val="2"/>
          <w:sz w:val="32"/>
          <w:lang w:val="zh-CN"/>
        </w:rPr>
        <w:t>二、收</w:t>
      </w:r>
      <w:r>
        <w:rPr>
          <w:rFonts w:hint="eastAsia" w:ascii="黑体" w:hAnsi="黑体" w:eastAsia="黑体"/>
          <w:color w:val="auto"/>
          <w:kern w:val="2"/>
          <w:sz w:val="32"/>
          <w:lang w:val="zh-CN"/>
        </w:rPr>
        <w:t>入决算情况说明</w:t>
      </w:r>
      <w:bookmarkEnd w:id="58"/>
    </w:p>
    <w:p w14:paraId="646E0375">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本年收入合计1,532.34万元，其中：一般公共预算财政拨款收入1,446.09万元，占94.4%；政府性基金预算财政拨款收入86.04万元，占5.6%；国有资本经营预算财政拨款收入0万元，占0%；上级补助收入0万元，占0%；事业收入0万元，占0%；经营收入0万元，占0%；附属单位上缴收入0万元，占0%；其他收入0.21万元，占0%。</w:t>
      </w:r>
    </w:p>
    <w:p w14:paraId="641C0B9A">
      <w:pPr>
        <w:spacing w:beforeLines="0" w:afterLines="0" w:line="600" w:lineRule="exact"/>
        <w:ind w:firstLine="643"/>
        <w:jc w:val="both"/>
        <w:rPr>
          <w:rFonts w:hint="eastAsia" w:ascii="仿宋" w:hAnsi="仿宋" w:eastAsia="仿宋"/>
          <w:b/>
          <w:color w:val="auto"/>
          <w:kern w:val="2"/>
          <w:sz w:val="32"/>
          <w:lang w:val="en-US"/>
        </w:rPr>
      </w:pPr>
    </w:p>
    <w:p w14:paraId="14AA0574">
      <w:pPr>
        <w:spacing w:beforeLines="0" w:afterLines="0" w:line="600" w:lineRule="exact"/>
        <w:ind w:firstLine="643"/>
        <w:jc w:val="both"/>
        <w:rPr>
          <w:rFonts w:hint="eastAsia" w:ascii="仿宋" w:hAnsi="仿宋" w:eastAsia="仿宋"/>
          <w:b/>
          <w:color w:val="auto"/>
          <w:kern w:val="2"/>
          <w:sz w:val="32"/>
          <w:lang w:val="en-US"/>
        </w:rPr>
      </w:pPr>
      <w:r>
        <w:rPr>
          <w:rFonts w:hint="eastAsia" w:ascii="仿宋" w:hAnsi="仿宋" w:eastAsia="仿宋"/>
          <w:b/>
          <w:color w:val="auto"/>
          <w:kern w:val="2"/>
          <w:sz w:val="32"/>
          <w:lang w:val="en-US" w:eastAsia="zh-CN"/>
        </w:rPr>
        <w:drawing>
          <wp:anchor distT="0" distB="0" distL="114300" distR="114300" simplePos="0" relativeHeight="251660288" behindDoc="0" locked="0" layoutInCell="1" allowOverlap="1">
            <wp:simplePos x="0" y="0"/>
            <wp:positionH relativeFrom="column">
              <wp:posOffset>327025</wp:posOffset>
            </wp:positionH>
            <wp:positionV relativeFrom="paragraph">
              <wp:posOffset>102235</wp:posOffset>
            </wp:positionV>
            <wp:extent cx="4652010" cy="2084705"/>
            <wp:effectExtent l="4445" t="4445" r="10795" b="635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3979F63E">
      <w:pPr>
        <w:spacing w:beforeLines="0" w:afterLines="0" w:line="600" w:lineRule="exact"/>
        <w:ind w:firstLine="640"/>
        <w:jc w:val="both"/>
        <w:rPr>
          <w:rFonts w:hint="eastAsia" w:ascii="仿宋" w:hAnsi="仿宋" w:eastAsia="仿宋"/>
          <w:color w:val="auto"/>
          <w:kern w:val="2"/>
          <w:sz w:val="32"/>
          <w:lang w:val="en-US"/>
        </w:rPr>
      </w:pPr>
    </w:p>
    <w:p w14:paraId="228D12F4">
      <w:pPr>
        <w:keepNext/>
        <w:keepLines/>
        <w:spacing w:beforeLines="0" w:afterLines="0" w:line="576" w:lineRule="exact"/>
        <w:ind w:firstLine="640"/>
        <w:jc w:val="both"/>
        <w:rPr>
          <w:rFonts w:hint="eastAsia" w:ascii="黑体" w:hAnsi="黑体" w:eastAsia="黑体"/>
          <w:color w:val="auto"/>
          <w:kern w:val="2"/>
          <w:sz w:val="32"/>
          <w:lang w:val="zh-CN"/>
        </w:rPr>
      </w:pPr>
      <w:bookmarkStart w:id="59" w:name="_Toc7695_WPSOffice_Level2"/>
      <w:r>
        <w:rPr>
          <w:rFonts w:hint="eastAsia" w:ascii="黑体" w:hAnsi="黑体" w:eastAsia="黑体"/>
          <w:color w:val="000000"/>
          <w:kern w:val="2"/>
          <w:sz w:val="32"/>
          <w:lang w:val="zh-CN"/>
        </w:rPr>
        <w:t>三、支</w:t>
      </w:r>
      <w:r>
        <w:rPr>
          <w:rFonts w:hint="eastAsia" w:ascii="黑体" w:hAnsi="黑体" w:eastAsia="黑体"/>
          <w:color w:val="auto"/>
          <w:kern w:val="2"/>
          <w:sz w:val="32"/>
          <w:lang w:val="zh-CN"/>
        </w:rPr>
        <w:t>出决算情况说明</w:t>
      </w:r>
      <w:bookmarkEnd w:id="59"/>
    </w:p>
    <w:p w14:paraId="06FAE290">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2022年本年支出合计1,578.22万元，其中：基本支出467.23万元，占29.6%；项目支出1,110.98万元，占70.4%；上缴上级支出0万元，占0%；经营支出0万元，占0%；对附属单位补助支出0万元，占0%。</w:t>
      </w:r>
    </w:p>
    <w:p w14:paraId="435670C2">
      <w:pPr>
        <w:spacing w:beforeLines="0" w:afterLines="0" w:line="600" w:lineRule="exact"/>
        <w:jc w:val="both"/>
        <w:rPr>
          <w:rFonts w:hint="eastAsia" w:ascii="仿宋" w:hAnsi="仿宋" w:eastAsia="仿宋"/>
          <w:b/>
          <w:color w:val="auto"/>
          <w:kern w:val="2"/>
          <w:sz w:val="32"/>
          <w:lang w:val="en-US"/>
        </w:rPr>
      </w:pPr>
    </w:p>
    <w:p w14:paraId="38FDFAC7">
      <w:pPr>
        <w:spacing w:beforeLines="0" w:afterLines="0" w:line="600" w:lineRule="exact"/>
        <w:ind w:firstLine="643"/>
        <w:jc w:val="both"/>
        <w:rPr>
          <w:rFonts w:hint="eastAsia" w:ascii="仿宋" w:hAnsi="仿宋" w:eastAsia="仿宋"/>
          <w:b/>
          <w:color w:val="auto"/>
          <w:kern w:val="2"/>
          <w:sz w:val="32"/>
          <w:lang w:val="en-US" w:eastAsia="zh-CN"/>
        </w:rPr>
      </w:pPr>
      <w:r>
        <w:rPr>
          <w:rFonts w:hint="eastAsia" w:ascii="仿宋" w:hAnsi="仿宋" w:eastAsia="仿宋"/>
          <w:b/>
          <w:color w:val="auto"/>
          <w:kern w:val="2"/>
          <w:sz w:val="32"/>
          <w:lang w:val="en-US" w:eastAsia="zh-CN"/>
        </w:rPr>
        <w:drawing>
          <wp:anchor distT="0" distB="0" distL="114300" distR="114300" simplePos="0" relativeHeight="251661312" behindDoc="0" locked="0" layoutInCell="1" allowOverlap="1">
            <wp:simplePos x="0" y="0"/>
            <wp:positionH relativeFrom="column">
              <wp:posOffset>95250</wp:posOffset>
            </wp:positionH>
            <wp:positionV relativeFrom="paragraph">
              <wp:posOffset>46355</wp:posOffset>
            </wp:positionV>
            <wp:extent cx="5080000" cy="2553335"/>
            <wp:effectExtent l="4445" t="4445" r="20955" b="13970"/>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797331B8">
      <w:pPr>
        <w:spacing w:beforeLines="0" w:afterLines="0" w:line="600" w:lineRule="exact"/>
        <w:jc w:val="both"/>
        <w:rPr>
          <w:rFonts w:hint="eastAsia" w:ascii="仿宋" w:hAnsi="仿宋" w:eastAsia="仿宋"/>
          <w:color w:val="auto"/>
          <w:kern w:val="2"/>
          <w:sz w:val="32"/>
          <w:lang w:val="en-US"/>
        </w:rPr>
      </w:pPr>
    </w:p>
    <w:p w14:paraId="7C5CBA3D">
      <w:pPr>
        <w:keepNext/>
        <w:keepLines/>
        <w:spacing w:beforeLines="0" w:afterLines="0" w:line="576" w:lineRule="exact"/>
        <w:ind w:firstLine="640"/>
        <w:jc w:val="both"/>
        <w:rPr>
          <w:rFonts w:hint="eastAsia" w:ascii="黑体" w:hAnsi="黑体" w:eastAsia="黑体"/>
          <w:color w:val="auto"/>
          <w:kern w:val="2"/>
          <w:sz w:val="32"/>
          <w:lang w:val="zh-CN"/>
        </w:rPr>
      </w:pPr>
      <w:bookmarkStart w:id="60" w:name="_Toc10408_WPSOffice_Level2"/>
      <w:r>
        <w:rPr>
          <w:rFonts w:hint="eastAsia" w:ascii="黑体" w:hAnsi="黑体" w:eastAsia="黑体"/>
          <w:color w:val="000000"/>
          <w:kern w:val="2"/>
          <w:sz w:val="32"/>
          <w:lang w:val="zh-CN"/>
        </w:rPr>
        <w:t>四、财</w:t>
      </w:r>
      <w:r>
        <w:rPr>
          <w:rFonts w:hint="eastAsia" w:ascii="黑体" w:hAnsi="黑体" w:eastAsia="黑体"/>
          <w:color w:val="auto"/>
          <w:kern w:val="2"/>
          <w:sz w:val="32"/>
          <w:lang w:val="zh-CN"/>
        </w:rPr>
        <w:t>政拨款收入支出决算总体情况说明</w:t>
      </w:r>
      <w:bookmarkEnd w:id="60"/>
    </w:p>
    <w:p w14:paraId="73D5C280">
      <w:pPr>
        <w:spacing w:beforeLines="0" w:afterLines="0" w:line="576" w:lineRule="exact"/>
        <w:ind w:firstLine="640"/>
        <w:jc w:val="both"/>
        <w:rPr>
          <w:rFonts w:hint="eastAsia" w:ascii="仿宋" w:hAnsi="仿宋" w:eastAsia="仿宋"/>
          <w:b/>
          <w:color w:val="auto"/>
          <w:kern w:val="2"/>
          <w:sz w:val="32"/>
          <w:lang w:val="en-US"/>
        </w:rPr>
      </w:pPr>
      <w:r>
        <w:rPr>
          <w:rFonts w:hint="eastAsia" w:ascii="仿宋_GB2312" w:hAnsi="仿宋_GB2312" w:eastAsia="仿宋_GB2312"/>
          <w:color w:val="000000"/>
          <w:kern w:val="2"/>
          <w:sz w:val="32"/>
          <w:lang w:val="zh-CN"/>
        </w:rPr>
        <w:t>2022年财政拨款收、支总计1,578.22万元。与2021年相比，财政拨款收、支总计各减少1,832.9万元，下降53.7%。主要变动原因是减少雷氏民居项目</w:t>
      </w:r>
      <w:r>
        <w:rPr>
          <w:rFonts w:hint="eastAsia" w:ascii="仿宋_GB2312" w:hAnsi="仿宋_GB2312" w:eastAsia="仿宋_GB2312"/>
          <w:color w:val="000000"/>
          <w:kern w:val="2"/>
          <w:sz w:val="32"/>
          <w:lang w:val="en-US" w:eastAsia="zh-CN"/>
        </w:rPr>
        <w:t>1400万</w:t>
      </w:r>
      <w:r>
        <w:rPr>
          <w:rFonts w:hint="eastAsia" w:ascii="仿宋_GB2312" w:hAnsi="仿宋_GB2312" w:eastAsia="仿宋_GB2312"/>
          <w:color w:val="000000"/>
          <w:kern w:val="2"/>
          <w:sz w:val="32"/>
          <w:lang w:val="zh-CN"/>
        </w:rPr>
        <w:t>。</w:t>
      </w:r>
    </w:p>
    <w:p w14:paraId="59A52581">
      <w:pPr>
        <w:spacing w:beforeLines="0" w:afterLines="0" w:line="600" w:lineRule="exact"/>
        <w:ind w:firstLine="640"/>
        <w:jc w:val="both"/>
        <w:rPr>
          <w:rFonts w:hint="eastAsia" w:ascii="黑体" w:hAnsi="黑体" w:eastAsia="黑体"/>
          <w:color w:val="auto"/>
          <w:kern w:val="2"/>
          <w:sz w:val="32"/>
          <w:lang w:val="zh-CN"/>
        </w:rPr>
      </w:pPr>
      <w:r>
        <w:rPr>
          <w:rFonts w:hint="eastAsia" w:ascii="仿宋" w:hAnsi="仿宋" w:eastAsia="仿宋"/>
          <w:b/>
          <w:color w:val="auto"/>
          <w:kern w:val="2"/>
          <w:sz w:val="32"/>
          <w:lang w:val="en-US" w:eastAsia="zh-CN"/>
        </w:rPr>
        <w:drawing>
          <wp:anchor distT="0" distB="0" distL="114300" distR="114300" simplePos="0" relativeHeight="251662336" behindDoc="0" locked="0" layoutInCell="1" allowOverlap="1">
            <wp:simplePos x="0" y="0"/>
            <wp:positionH relativeFrom="column">
              <wp:posOffset>296545</wp:posOffset>
            </wp:positionH>
            <wp:positionV relativeFrom="paragraph">
              <wp:posOffset>375920</wp:posOffset>
            </wp:positionV>
            <wp:extent cx="5080000" cy="2019300"/>
            <wp:effectExtent l="4445" t="4445" r="20955" b="1460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黑体" w:hAnsi="黑体" w:eastAsia="黑体"/>
          <w:color w:val="000000"/>
          <w:kern w:val="2"/>
          <w:sz w:val="32"/>
          <w:lang w:val="zh-CN"/>
        </w:rPr>
        <w:t>五、</w:t>
      </w:r>
      <w:r>
        <w:rPr>
          <w:rFonts w:hint="eastAsia" w:ascii="黑体" w:hAnsi="黑体" w:eastAsia="黑体"/>
          <w:b/>
          <w:color w:val="000000"/>
          <w:kern w:val="2"/>
          <w:sz w:val="32"/>
          <w:lang w:val="zh-CN"/>
        </w:rPr>
        <w:t>一</w:t>
      </w:r>
      <w:r>
        <w:rPr>
          <w:rFonts w:hint="eastAsia" w:ascii="黑体" w:hAnsi="黑体" w:eastAsia="黑体"/>
          <w:color w:val="auto"/>
          <w:kern w:val="2"/>
          <w:sz w:val="32"/>
          <w:lang w:val="zh-CN"/>
        </w:rPr>
        <w:t>般公共预算财政拨款支出决算情况说明</w:t>
      </w:r>
    </w:p>
    <w:p w14:paraId="1547053F">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（一）一般公共预算财政拨款支出决算总体情况。</w:t>
      </w:r>
    </w:p>
    <w:p w14:paraId="0E70E846">
      <w:pPr>
        <w:keepNext/>
        <w:keepLines/>
        <w:spacing w:beforeLines="0" w:afterLines="0" w:line="576" w:lineRule="exact"/>
        <w:ind w:firstLine="640"/>
        <w:jc w:val="both"/>
        <w:rPr>
          <w:rFonts w:hint="eastAsia" w:ascii="仿宋" w:hAnsi="仿宋" w:eastAsia="仿宋"/>
          <w:color w:val="auto"/>
          <w:kern w:val="2"/>
          <w:sz w:val="32"/>
          <w:lang w:val="en-US"/>
        </w:rPr>
      </w:pPr>
      <w:r>
        <w:rPr>
          <w:rFonts w:hint="eastAsia" w:ascii="仿宋_GB2312" w:hAnsi="仿宋_GB2312" w:eastAsia="仿宋_GB2312"/>
          <w:color w:val="000000"/>
          <w:kern w:val="2"/>
          <w:sz w:val="32"/>
          <w:lang w:val="zh-CN"/>
        </w:rPr>
        <w:t>2022年一般公共预算财政拨款支出1,491.75万元，占本年支出合计的94.5%。与2021年相比，一般公共预算财政拨款支出减少304.82万元，下降17%。主要变动原因是资金下达延迟，结转下年支出。</w:t>
      </w:r>
    </w:p>
    <w:p w14:paraId="3AA7C6C5">
      <w:pPr>
        <w:spacing w:beforeLines="0" w:afterLines="0" w:line="600" w:lineRule="exact"/>
        <w:ind w:firstLine="640"/>
        <w:jc w:val="both"/>
        <w:rPr>
          <w:rFonts w:hint="eastAsia" w:ascii="仿宋" w:hAnsi="仿宋" w:eastAsia="仿宋"/>
          <w:color w:val="auto"/>
          <w:kern w:val="2"/>
          <w:sz w:val="32"/>
          <w:lang w:val="en-US" w:eastAsia="zh-CN"/>
        </w:rPr>
      </w:pPr>
      <w:r>
        <w:rPr>
          <w:rFonts w:hint="eastAsia" w:ascii="仿宋" w:hAnsi="仿宋" w:eastAsia="仿宋"/>
          <w:color w:val="auto"/>
          <w:kern w:val="2"/>
          <w:sz w:val="32"/>
          <w:lang w:val="en-US" w:eastAsia="zh-CN"/>
        </w:rPr>
        <w:drawing>
          <wp:anchor distT="0" distB="0" distL="114300" distR="114300" simplePos="0" relativeHeight="251663360" behindDoc="0" locked="0" layoutInCell="1" allowOverlap="1">
            <wp:simplePos x="0" y="0"/>
            <wp:positionH relativeFrom="column">
              <wp:posOffset>277495</wp:posOffset>
            </wp:positionH>
            <wp:positionV relativeFrom="paragraph">
              <wp:posOffset>741680</wp:posOffset>
            </wp:positionV>
            <wp:extent cx="4632325" cy="3552190"/>
            <wp:effectExtent l="4445" t="4445" r="11430" b="571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46DD0F0C">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（二）一般公共预算财政拨款支出决算结构情况。</w:t>
      </w:r>
    </w:p>
    <w:p w14:paraId="25FCCE26">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2022年一般公共预算财政拨款支出1,491.75万元，主要用于以下方面: 一般公共服务支出0万元，占0%；外交支出0万元，占0%；国防支出0万元，占0%；公共安全支出0万元，占0%；教育支出0万元，占0%；科学技术支出0万元，占0%；文化体育与传媒支出1,403.61万元，占94.1%；社会保障和就业支出41.09万元，占2.8%；卫生健康支出14.53万元，占1%；节能环保支出0万元，占0%；城乡社区支出0万元，占0%；农林水支出0万元，占0%；交通运输支出0万元，占0%；资源勘探工业信息等支出0万元，占0%；商业服务业等支出0万元，占0%；金融支出0万元，占0%；援助其他地区支出0万元，占0%；自然资源海洋气象等支出0万元，占0%；住房保障支出32.53万元，占2.2%；粮油物资储备支出0万元，占0%；国有资本经营预算支出0万元，占0%；灾害防治及应急管理支出0万元，占0%；其他支出0万元，占0%；债务还本支出0万元，占0%；债务付息支出0万元，占0%；抗疫特别国债安排的支出0万元，占0%。</w:t>
      </w:r>
    </w:p>
    <w:p w14:paraId="50944836">
      <w:pPr>
        <w:spacing w:beforeLines="0" w:afterLines="0" w:line="600" w:lineRule="exact"/>
        <w:ind w:firstLine="640"/>
        <w:jc w:val="both"/>
        <w:rPr>
          <w:rFonts w:hint="eastAsia" w:ascii="仿宋" w:hAnsi="仿宋" w:eastAsia="仿宋"/>
          <w:color w:val="auto"/>
          <w:kern w:val="2"/>
          <w:sz w:val="32"/>
          <w:lang w:val="en-US"/>
        </w:rPr>
      </w:pPr>
      <w:r>
        <w:rPr>
          <w:rFonts w:hint="eastAsia" w:ascii="仿宋" w:hAnsi="仿宋" w:eastAsia="仿宋"/>
          <w:color w:val="auto"/>
          <w:kern w:val="2"/>
          <w:sz w:val="32"/>
          <w:lang w:val="en-US" w:eastAsia="zh-CN"/>
        </w:rPr>
        <w:drawing>
          <wp:anchor distT="0" distB="0" distL="114300" distR="114300" simplePos="0" relativeHeight="251665408" behindDoc="0" locked="0" layoutInCell="1" allowOverlap="1">
            <wp:simplePos x="0" y="0"/>
            <wp:positionH relativeFrom="column">
              <wp:posOffset>96520</wp:posOffset>
            </wp:positionH>
            <wp:positionV relativeFrom="paragraph">
              <wp:posOffset>410210</wp:posOffset>
            </wp:positionV>
            <wp:extent cx="5080000" cy="2362200"/>
            <wp:effectExtent l="4445" t="4445" r="20955" b="14605"/>
            <wp:wrapSquare wrapText="bothSides"/>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7B47C8F8">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（三）一般公共预算财政拨款支出决算具体情况。</w:t>
      </w:r>
    </w:p>
    <w:p w14:paraId="773C87EA">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2022年一般公共预算支出决算数为1,491.75万元</w:t>
      </w:r>
      <w:r>
        <w:rPr>
          <w:rFonts w:hint="eastAsia" w:ascii="仿宋_GB2312" w:hAnsi="仿宋_GB2312" w:eastAsia="仿宋_GB2312"/>
          <w:color w:val="000000"/>
          <w:kern w:val="2"/>
          <w:sz w:val="32"/>
          <w:lang w:val="zh-CN"/>
        </w:rPr>
        <w:t>，</w:t>
      </w:r>
      <w:r>
        <w:rPr>
          <w:rFonts w:hint="eastAsia" w:ascii="仿宋_GB2312" w:hAnsi="仿宋_GB2312" w:eastAsia="仿宋_GB2312"/>
          <w:b/>
          <w:color w:val="000000"/>
          <w:kern w:val="2"/>
          <w:sz w:val="32"/>
          <w:lang w:val="zh-CN"/>
        </w:rPr>
        <w:t>完成预算</w:t>
      </w:r>
      <w:r>
        <w:rPr>
          <w:rFonts w:hint="eastAsia" w:ascii="仿宋_GB2312" w:hAnsi="仿宋_GB2312" w:eastAsia="仿宋_GB2312"/>
          <w:b/>
          <w:color w:val="000000" w:themeColor="text1"/>
          <w:kern w:val="2"/>
          <w:sz w:val="32"/>
          <w:lang w:val="en-US" w:eastAsia="zh-CN"/>
          <w14:textFill>
            <w14:solidFill>
              <w14:schemeClr w14:val="tx1"/>
            </w14:solidFill>
          </w14:textFill>
        </w:rPr>
        <w:t>269</w:t>
      </w:r>
      <w:r>
        <w:rPr>
          <w:rFonts w:hint="eastAsia" w:ascii="仿宋_GB2312" w:hAnsi="仿宋_GB2312" w:eastAsia="仿宋_GB2312"/>
          <w:b/>
          <w:color w:val="000000"/>
          <w:kern w:val="2"/>
          <w:sz w:val="32"/>
          <w:lang w:val="zh-CN"/>
        </w:rPr>
        <w:t>%。其中：</w:t>
      </w:r>
    </w:p>
    <w:p w14:paraId="26175DDD">
      <w:pPr>
        <w:widowControl/>
        <w:numPr>
          <w:ilvl w:val="0"/>
          <w:numId w:val="0"/>
        </w:numPr>
        <w:shd w:val="clear" w:color="auto" w:fill="FFFFFF"/>
        <w:spacing w:line="560" w:lineRule="atLeast"/>
        <w:ind w:firstLine="643" w:firstLineChars="200"/>
        <w:rPr>
          <w:rStyle w:val="10"/>
          <w:rFonts w:ascii="仿宋" w:hAnsi="仿宋" w:eastAsia="仿宋"/>
          <w:b w:val="0"/>
          <w:bCs/>
          <w:color w:val="000000"/>
          <w:sz w:val="32"/>
          <w:szCs w:val="32"/>
        </w:rPr>
      </w:pPr>
      <w:r>
        <w:rPr>
          <w:rFonts w:hint="eastAsia" w:ascii="仿宋_GB2312" w:hAnsi="仿宋_GB2312" w:eastAsia="仿宋_GB2312"/>
          <w:b/>
          <w:color w:val="000000"/>
          <w:kern w:val="2"/>
          <w:sz w:val="32"/>
          <w:lang w:val="en-US"/>
        </w:rPr>
        <w:t>1.</w:t>
      </w:r>
      <w:r>
        <w:rPr>
          <w:rStyle w:val="10"/>
          <w:rFonts w:hint="eastAsia" w:ascii="仿宋" w:hAnsi="仿宋" w:eastAsia="仿宋"/>
          <w:bCs/>
          <w:color w:val="000000"/>
          <w:sz w:val="32"/>
          <w:szCs w:val="32"/>
        </w:rPr>
        <w:t>文化旅游体育与传媒（类）文化和旅游（款）</w:t>
      </w:r>
      <w:r>
        <w:rPr>
          <w:rStyle w:val="10"/>
          <w:rFonts w:hint="eastAsia" w:ascii="仿宋" w:hAnsi="仿宋" w:eastAsia="仿宋"/>
          <w:bCs/>
          <w:color w:val="000000" w:themeColor="text1"/>
          <w:sz w:val="32"/>
          <w:szCs w:val="32"/>
          <w14:textFill>
            <w14:solidFill>
              <w14:schemeClr w14:val="tx1"/>
            </w14:solidFill>
          </w14:textFill>
        </w:rPr>
        <w:t>行政运行（</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276.47</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lang w:val="en-US" w:eastAsia="zh-CN"/>
          <w14:textFill>
            <w14:solidFill>
              <w14:schemeClr w14:val="tx1"/>
            </w14:solidFill>
          </w14:textFill>
        </w:rPr>
        <w:t>217</w:t>
      </w:r>
      <w:r>
        <w:rPr>
          <w:rStyle w:val="10"/>
          <w:rFonts w:ascii="仿宋" w:hAnsi="仿宋" w:eastAsia="仿宋"/>
          <w:b w:val="0"/>
          <w:bCs/>
          <w:color w:val="000000" w:themeColor="text1"/>
          <w:sz w:val="32"/>
          <w:szCs w:val="32"/>
          <w14:textFill>
            <w14:solidFill>
              <w14:schemeClr w14:val="tx1"/>
            </w14:solidFill>
          </w14:textFill>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2022年基础绩效没有纳入预算</w:t>
      </w:r>
      <w:r>
        <w:rPr>
          <w:rFonts w:hint="eastAsia" w:ascii="仿宋" w:hAnsi="仿宋" w:eastAsia="仿宋"/>
          <w:color w:val="auto"/>
          <w:kern w:val="2"/>
          <w:sz w:val="32"/>
          <w:lang w:val="en-US"/>
        </w:rPr>
        <w:t>。</w:t>
      </w:r>
    </w:p>
    <w:p w14:paraId="4436FCC2">
      <w:pPr>
        <w:widowControl/>
        <w:numPr>
          <w:ilvl w:val="0"/>
          <w:numId w:val="0"/>
        </w:numPr>
        <w:shd w:val="clear" w:color="auto" w:fill="FFFFFF"/>
        <w:spacing w:line="560" w:lineRule="atLeast"/>
        <w:ind w:firstLine="643" w:firstLineChars="200"/>
        <w:rPr>
          <w:rStyle w:val="10"/>
          <w:rFonts w:hint="eastAsia" w:ascii="仿宋" w:hAnsi="仿宋" w:eastAsia="仿宋"/>
          <w:b w:val="0"/>
          <w:bCs/>
          <w:color w:val="000000"/>
          <w:sz w:val="32"/>
          <w:szCs w:val="32"/>
          <w:lang w:eastAsia="zh-CN"/>
        </w:rPr>
      </w:pPr>
      <w:r>
        <w:rPr>
          <w:rFonts w:hint="eastAsia" w:ascii="仿宋_GB2312" w:hAnsi="仿宋_GB2312" w:eastAsia="仿宋_GB2312"/>
          <w:b/>
          <w:color w:val="000000"/>
          <w:kern w:val="2"/>
          <w:sz w:val="32"/>
          <w:lang w:val="en-US" w:eastAsia="zh-CN"/>
        </w:rPr>
        <w:t>2</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文化旅游体育与传媒（类）文化和旅游（款）</w:t>
      </w:r>
      <w:r>
        <w:rPr>
          <w:rStyle w:val="10"/>
          <w:rFonts w:hint="eastAsia" w:ascii="仿宋" w:hAnsi="仿宋" w:eastAsia="仿宋"/>
          <w:bCs/>
          <w:color w:val="000000"/>
          <w:sz w:val="32"/>
          <w:szCs w:val="32"/>
          <w:lang w:eastAsia="zh-CN"/>
        </w:rPr>
        <w:t>一般行政管理事务</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10</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上级资金的专项支出</w:t>
      </w:r>
      <w:r>
        <w:rPr>
          <w:rFonts w:hint="eastAsia" w:ascii="仿宋" w:hAnsi="仿宋" w:eastAsia="仿宋"/>
          <w:color w:val="auto"/>
          <w:kern w:val="2"/>
          <w:sz w:val="32"/>
          <w:lang w:val="en-US"/>
        </w:rPr>
        <w:t>。</w:t>
      </w:r>
      <w:r>
        <w:rPr>
          <w:rFonts w:hint="eastAsia" w:ascii="仿宋" w:hAnsi="仿宋" w:eastAsia="仿宋"/>
          <w:color w:val="auto"/>
          <w:kern w:val="2"/>
          <w:sz w:val="32"/>
          <w:lang w:val="en-US" w:eastAsia="zh-CN"/>
        </w:rPr>
        <w:t>此为新增项目资金，没纳入资金预算。</w:t>
      </w:r>
    </w:p>
    <w:p w14:paraId="14585326">
      <w:pPr>
        <w:widowControl/>
        <w:numPr>
          <w:ilvl w:val="0"/>
          <w:numId w:val="0"/>
        </w:numPr>
        <w:shd w:val="clear" w:color="auto" w:fill="FFFFFF"/>
        <w:spacing w:line="560" w:lineRule="atLeast"/>
        <w:ind w:firstLine="643" w:firstLineChars="200"/>
        <w:rPr>
          <w:rStyle w:val="10"/>
          <w:rFonts w:ascii="仿宋" w:hAnsi="仿宋" w:eastAsia="仿宋"/>
          <w:b w:val="0"/>
          <w:bCs/>
          <w:color w:val="000000"/>
          <w:sz w:val="32"/>
          <w:szCs w:val="32"/>
        </w:rPr>
      </w:pPr>
      <w:r>
        <w:rPr>
          <w:rFonts w:hint="eastAsia" w:ascii="仿宋_GB2312" w:hAnsi="仿宋_GB2312" w:eastAsia="仿宋_GB2312"/>
          <w:b/>
          <w:color w:val="000000"/>
          <w:kern w:val="2"/>
          <w:sz w:val="32"/>
          <w:lang w:val="en-US" w:eastAsia="zh-CN"/>
        </w:rPr>
        <w:t>3</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文化旅游体育与传媒（类）文化和旅游（款）</w:t>
      </w:r>
      <w:r>
        <w:rPr>
          <w:rStyle w:val="10"/>
          <w:rFonts w:hint="eastAsia" w:ascii="仿宋" w:hAnsi="仿宋" w:eastAsia="仿宋"/>
          <w:bCs/>
          <w:color w:val="000000"/>
          <w:sz w:val="32"/>
          <w:szCs w:val="32"/>
          <w:lang w:eastAsia="zh-CN"/>
        </w:rPr>
        <w:t>文化展示机纪念机构</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4.58</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上级资金的专项支出</w:t>
      </w:r>
      <w:r>
        <w:rPr>
          <w:rFonts w:hint="eastAsia" w:ascii="仿宋" w:hAnsi="仿宋" w:eastAsia="仿宋"/>
          <w:color w:val="auto"/>
          <w:kern w:val="2"/>
          <w:sz w:val="32"/>
          <w:lang w:val="en-US"/>
        </w:rPr>
        <w:t>。</w:t>
      </w:r>
      <w:r>
        <w:rPr>
          <w:rFonts w:hint="eastAsia" w:ascii="仿宋" w:hAnsi="仿宋" w:eastAsia="仿宋"/>
          <w:color w:val="auto"/>
          <w:kern w:val="2"/>
          <w:sz w:val="32"/>
          <w:lang w:val="en-US" w:eastAsia="zh-CN"/>
        </w:rPr>
        <w:t>此为新增项目资金，没纳入资金预算。</w:t>
      </w:r>
    </w:p>
    <w:p w14:paraId="3EF82A2A">
      <w:pPr>
        <w:widowControl/>
        <w:numPr>
          <w:ilvl w:val="0"/>
          <w:numId w:val="0"/>
        </w:numPr>
        <w:shd w:val="clear" w:color="auto" w:fill="FFFFFF"/>
        <w:spacing w:line="560" w:lineRule="atLeast"/>
        <w:ind w:firstLine="643" w:firstLineChars="200"/>
        <w:rPr>
          <w:rFonts w:hint="eastAsia" w:ascii="仿宋_GB2312" w:hAnsi="仿宋_GB2312" w:eastAsia="仿宋_GB2312"/>
          <w:b/>
          <w:color w:val="000000"/>
          <w:kern w:val="2"/>
          <w:sz w:val="32"/>
          <w:lang w:val="en-US"/>
        </w:rPr>
      </w:pPr>
      <w:r>
        <w:rPr>
          <w:rFonts w:hint="eastAsia" w:ascii="仿宋_GB2312" w:hAnsi="仿宋_GB2312" w:eastAsia="仿宋_GB2312"/>
          <w:b/>
          <w:color w:val="000000"/>
          <w:kern w:val="2"/>
          <w:sz w:val="32"/>
          <w:lang w:val="en-US" w:eastAsia="zh-CN"/>
        </w:rPr>
        <w:t>5</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文化旅游体育与传媒（类）文化和旅游（款）</w:t>
      </w:r>
      <w:r>
        <w:rPr>
          <w:rStyle w:val="10"/>
          <w:rFonts w:hint="eastAsia" w:ascii="仿宋" w:hAnsi="仿宋" w:eastAsia="仿宋"/>
          <w:bCs/>
          <w:color w:val="000000" w:themeColor="text1"/>
          <w:sz w:val="32"/>
          <w:szCs w:val="32"/>
          <w:lang w:eastAsia="zh-CN"/>
          <w14:textFill>
            <w14:solidFill>
              <w14:schemeClr w14:val="tx1"/>
            </w14:solidFill>
          </w14:textFill>
        </w:rPr>
        <w:t>其他文化和旅游支出</w:t>
      </w:r>
      <w:r>
        <w:rPr>
          <w:rStyle w:val="10"/>
          <w:rFonts w:hint="eastAsia" w:ascii="仿宋" w:hAnsi="仿宋" w:eastAsia="仿宋"/>
          <w:bCs/>
          <w:color w:val="000000" w:themeColor="text1"/>
          <w:sz w:val="32"/>
          <w:szCs w:val="32"/>
          <w14:textFill>
            <w14:solidFill>
              <w14:schemeClr w14:val="tx1"/>
            </w14:solidFill>
          </w14:textFill>
        </w:rPr>
        <w:t>（</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290.79</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lang w:val="en-US" w:eastAsia="zh-CN"/>
          <w14:textFill>
            <w14:solidFill>
              <w14:schemeClr w14:val="tx1"/>
            </w14:solidFill>
          </w14:textFill>
        </w:rPr>
        <w:t>453</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超出部分由上级专项资金支付</w:t>
      </w:r>
      <w:r>
        <w:rPr>
          <w:rFonts w:hint="eastAsia" w:ascii="仿宋" w:hAnsi="仿宋" w:eastAsia="仿宋"/>
          <w:color w:val="auto"/>
          <w:kern w:val="2"/>
          <w:sz w:val="32"/>
          <w:lang w:val="en-US"/>
        </w:rPr>
        <w:t>。</w:t>
      </w:r>
    </w:p>
    <w:p w14:paraId="7DBEEEBA">
      <w:pPr>
        <w:keepNext/>
        <w:keepLines/>
        <w:spacing w:beforeLines="0" w:afterLines="0" w:line="576" w:lineRule="exact"/>
        <w:ind w:firstLine="643"/>
        <w:jc w:val="both"/>
        <w:rPr>
          <w:rFonts w:hint="eastAsia" w:ascii="仿宋_GB2312" w:hAnsi="仿宋_GB2312" w:eastAsia="仿宋_GB2312"/>
          <w:b/>
          <w:color w:val="000000"/>
          <w:kern w:val="2"/>
          <w:sz w:val="32"/>
          <w:lang w:val="en-US"/>
        </w:rPr>
      </w:pPr>
      <w:r>
        <w:rPr>
          <w:rFonts w:hint="eastAsia" w:ascii="仿宋_GB2312" w:hAnsi="仿宋_GB2312" w:eastAsia="仿宋_GB2312"/>
          <w:b/>
          <w:color w:val="000000"/>
          <w:kern w:val="2"/>
          <w:sz w:val="32"/>
          <w:lang w:val="en-US" w:eastAsia="zh-CN"/>
        </w:rPr>
        <w:t>6</w:t>
      </w:r>
      <w:r>
        <w:rPr>
          <w:rFonts w:hint="eastAsia" w:ascii="仿宋_GB2312" w:hAnsi="仿宋_GB2312" w:eastAsia="仿宋_GB2312"/>
          <w:b/>
          <w:color w:val="000000"/>
          <w:kern w:val="2"/>
          <w:sz w:val="32"/>
          <w:lang w:val="en-US"/>
        </w:rPr>
        <w:t>.文化旅游体育与传媒支出（类）</w:t>
      </w:r>
      <w:r>
        <w:rPr>
          <w:rFonts w:hint="eastAsia" w:ascii="仿宋_GB2312" w:hAnsi="仿宋_GB2312" w:eastAsia="仿宋_GB2312"/>
          <w:b/>
          <w:color w:val="000000"/>
          <w:kern w:val="2"/>
          <w:sz w:val="32"/>
          <w:lang w:val="en-US" w:eastAsia="zh-CN"/>
        </w:rPr>
        <w:t>文物</w:t>
      </w:r>
      <w:r>
        <w:rPr>
          <w:rFonts w:hint="eastAsia" w:ascii="仿宋_GB2312" w:hAnsi="仿宋_GB2312" w:eastAsia="仿宋_GB2312"/>
          <w:b/>
          <w:color w:val="000000"/>
          <w:kern w:val="2"/>
          <w:sz w:val="32"/>
          <w:lang w:val="en-US"/>
        </w:rPr>
        <w:t>（款）</w:t>
      </w:r>
      <w:r>
        <w:rPr>
          <w:rFonts w:hint="eastAsia" w:ascii="仿宋_GB2312" w:hAnsi="仿宋_GB2312" w:eastAsia="仿宋_GB2312"/>
          <w:b/>
          <w:color w:val="000000" w:themeColor="text1"/>
          <w:kern w:val="2"/>
          <w:sz w:val="32"/>
          <w:lang w:val="en-US" w:eastAsia="zh-CN"/>
          <w14:textFill>
            <w14:solidFill>
              <w14:schemeClr w14:val="tx1"/>
            </w14:solidFill>
          </w14:textFill>
        </w:rPr>
        <w:t>文物保护</w:t>
      </w:r>
      <w:r>
        <w:rPr>
          <w:rFonts w:hint="eastAsia" w:ascii="仿宋_GB2312" w:hAnsi="仿宋_GB2312" w:eastAsia="仿宋_GB2312"/>
          <w:b/>
          <w:color w:val="000000"/>
          <w:kern w:val="2"/>
          <w:sz w:val="32"/>
          <w:lang w:val="en-US"/>
        </w:rPr>
        <w:t>（项）:</w:t>
      </w:r>
      <w:r>
        <w:rPr>
          <w:rFonts w:hint="eastAsia" w:ascii="仿宋" w:hAnsi="仿宋" w:eastAsia="仿宋"/>
          <w:color w:val="auto"/>
          <w:kern w:val="2"/>
          <w:sz w:val="32"/>
          <w:lang w:val="en-US"/>
        </w:rPr>
        <w:t>支出决算为</w:t>
      </w:r>
      <w:r>
        <w:rPr>
          <w:rFonts w:hint="eastAsia" w:ascii="仿宋" w:hAnsi="仿宋" w:eastAsia="仿宋"/>
          <w:color w:val="auto"/>
          <w:kern w:val="2"/>
          <w:sz w:val="32"/>
          <w:lang w:val="en-US" w:eastAsia="zh-CN"/>
        </w:rPr>
        <w:t>6.4</w:t>
      </w:r>
      <w:r>
        <w:rPr>
          <w:rFonts w:hint="eastAsia" w:ascii="仿宋" w:hAnsi="仿宋" w:eastAsia="仿宋"/>
          <w:color w:val="auto"/>
          <w:kern w:val="2"/>
          <w:sz w:val="32"/>
          <w:lang w:val="en-US"/>
        </w:rPr>
        <w:t>万元，完成预算</w:t>
      </w:r>
      <w:r>
        <w:rPr>
          <w:rFonts w:hint="eastAsia" w:ascii="仿宋" w:hAnsi="仿宋" w:eastAsia="仿宋"/>
          <w:color w:val="000000" w:themeColor="text1"/>
          <w:kern w:val="2"/>
          <w:sz w:val="32"/>
          <w:lang w:val="en-US" w:eastAsia="zh-CN"/>
          <w14:textFill>
            <w14:solidFill>
              <w14:schemeClr w14:val="tx1"/>
            </w14:solidFill>
          </w14:textFill>
        </w:rPr>
        <w:t>112</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超出部分由上级专项资金支付</w:t>
      </w:r>
      <w:r>
        <w:rPr>
          <w:rFonts w:hint="eastAsia" w:ascii="仿宋" w:hAnsi="仿宋" w:eastAsia="仿宋"/>
          <w:color w:val="auto"/>
          <w:kern w:val="2"/>
          <w:sz w:val="32"/>
          <w:lang w:val="en-US"/>
        </w:rPr>
        <w:t>。</w:t>
      </w:r>
    </w:p>
    <w:p w14:paraId="54614744">
      <w:pPr>
        <w:widowControl/>
        <w:numPr>
          <w:ilvl w:val="0"/>
          <w:numId w:val="0"/>
        </w:numPr>
        <w:shd w:val="clear" w:color="auto" w:fill="FFFFFF"/>
        <w:spacing w:line="560" w:lineRule="atLeast"/>
        <w:ind w:firstLine="643" w:firstLineChars="200"/>
        <w:rPr>
          <w:rStyle w:val="10"/>
          <w:rFonts w:ascii="仿宋" w:hAnsi="仿宋" w:eastAsia="仿宋"/>
          <w:b w:val="0"/>
          <w:bCs/>
          <w:color w:val="000000"/>
          <w:sz w:val="32"/>
          <w:szCs w:val="32"/>
        </w:rPr>
      </w:pPr>
      <w:r>
        <w:rPr>
          <w:rFonts w:hint="eastAsia" w:ascii="仿宋_GB2312" w:hAnsi="仿宋_GB2312" w:eastAsia="仿宋_GB2312"/>
          <w:b/>
          <w:color w:val="000000"/>
          <w:kern w:val="2"/>
          <w:sz w:val="32"/>
          <w:lang w:val="en-US" w:eastAsia="zh-CN"/>
        </w:rPr>
        <w:t>7</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体育</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体育竞赛</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114.95</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上级资金的专项支出</w:t>
      </w:r>
      <w:r>
        <w:rPr>
          <w:rFonts w:hint="eastAsia" w:ascii="仿宋" w:hAnsi="仿宋" w:eastAsia="仿宋"/>
          <w:color w:val="auto"/>
          <w:kern w:val="2"/>
          <w:sz w:val="32"/>
          <w:lang w:val="en-US"/>
        </w:rPr>
        <w:t>。</w:t>
      </w:r>
    </w:p>
    <w:p w14:paraId="2E229064">
      <w:pPr>
        <w:widowControl/>
        <w:numPr>
          <w:ilvl w:val="0"/>
          <w:numId w:val="0"/>
        </w:numPr>
        <w:shd w:val="clear" w:color="auto" w:fill="FFFFFF"/>
        <w:spacing w:line="560" w:lineRule="atLeast"/>
        <w:ind w:firstLine="643" w:firstLineChars="200"/>
        <w:rPr>
          <w:rFonts w:hint="eastAsia" w:ascii="仿宋_GB2312" w:hAnsi="仿宋_GB2312" w:eastAsia="仿宋_GB2312"/>
          <w:b/>
          <w:color w:val="000000"/>
          <w:kern w:val="2"/>
          <w:sz w:val="32"/>
          <w:lang w:val="en-US"/>
        </w:rPr>
      </w:pPr>
      <w:r>
        <w:rPr>
          <w:rFonts w:hint="eastAsia" w:ascii="仿宋_GB2312" w:hAnsi="仿宋_GB2312" w:eastAsia="仿宋_GB2312"/>
          <w:b/>
          <w:color w:val="000000"/>
          <w:kern w:val="2"/>
          <w:sz w:val="32"/>
          <w:lang w:val="en-US" w:eastAsia="zh-CN"/>
        </w:rPr>
        <w:t>8</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体育</w:t>
      </w:r>
      <w:r>
        <w:rPr>
          <w:rStyle w:val="10"/>
          <w:rFonts w:hint="eastAsia" w:ascii="仿宋" w:hAnsi="仿宋" w:eastAsia="仿宋"/>
          <w:bCs/>
          <w:color w:val="000000"/>
          <w:sz w:val="32"/>
          <w:szCs w:val="32"/>
        </w:rPr>
        <w:t>（款）</w:t>
      </w:r>
      <w:r>
        <w:rPr>
          <w:rStyle w:val="10"/>
          <w:rFonts w:hint="eastAsia" w:ascii="仿宋" w:hAnsi="仿宋" w:eastAsia="仿宋"/>
          <w:bCs/>
          <w:color w:val="000000" w:themeColor="text1"/>
          <w:sz w:val="32"/>
          <w:szCs w:val="32"/>
          <w:lang w:eastAsia="zh-CN"/>
          <w14:textFill>
            <w14:solidFill>
              <w14:schemeClr w14:val="tx1"/>
            </w14:solidFill>
          </w14:textFill>
        </w:rPr>
        <w:t>体育场馆</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10</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lang w:val="en-US" w:eastAsia="zh-CN"/>
          <w14:textFill>
            <w14:solidFill>
              <w14:schemeClr w14:val="tx1"/>
            </w14:solidFill>
          </w14:textFill>
        </w:rPr>
        <w:t>29</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决算数小于预算数的</w:t>
      </w:r>
      <w:r>
        <w:rPr>
          <w:rFonts w:hint="eastAsia" w:ascii="仿宋" w:hAnsi="仿宋" w:eastAsia="仿宋"/>
          <w:color w:val="000000" w:themeColor="text1"/>
          <w:kern w:val="2"/>
          <w:sz w:val="32"/>
          <w:lang w:val="en-US"/>
          <w14:textFill>
            <w14:solidFill>
              <w14:schemeClr w14:val="tx1"/>
            </w14:solidFill>
          </w14:textFill>
        </w:rPr>
        <w:t>主要原因是</w:t>
      </w:r>
      <w:r>
        <w:rPr>
          <w:rFonts w:hint="eastAsia" w:ascii="仿宋" w:hAnsi="仿宋" w:eastAsia="仿宋"/>
          <w:color w:val="000000" w:themeColor="text1"/>
          <w:kern w:val="2"/>
          <w:sz w:val="32"/>
          <w:lang w:val="en-US" w:eastAsia="zh-CN"/>
          <w14:textFill>
            <w14:solidFill>
              <w14:schemeClr w14:val="tx1"/>
            </w14:solidFill>
          </w14:textFill>
        </w:rPr>
        <w:t>原本项目没有实施，使用省上专项资金支付</w:t>
      </w:r>
      <w:r>
        <w:rPr>
          <w:rFonts w:hint="eastAsia" w:ascii="仿宋" w:hAnsi="仿宋" w:eastAsia="仿宋"/>
          <w:color w:val="auto"/>
          <w:kern w:val="2"/>
          <w:sz w:val="32"/>
          <w:lang w:val="en-US"/>
        </w:rPr>
        <w:t>。</w:t>
      </w:r>
    </w:p>
    <w:p w14:paraId="46EB209D">
      <w:pPr>
        <w:widowControl/>
        <w:numPr>
          <w:ilvl w:val="0"/>
          <w:numId w:val="0"/>
        </w:numPr>
        <w:shd w:val="clear" w:color="auto" w:fill="FFFFFF"/>
        <w:spacing w:line="560" w:lineRule="atLeast"/>
        <w:ind w:firstLine="643" w:firstLineChars="200"/>
        <w:rPr>
          <w:rStyle w:val="10"/>
          <w:rFonts w:ascii="仿宋" w:hAnsi="仿宋" w:eastAsia="仿宋"/>
          <w:b w:val="0"/>
          <w:bCs/>
          <w:color w:val="000000"/>
          <w:sz w:val="32"/>
          <w:szCs w:val="32"/>
        </w:rPr>
      </w:pPr>
      <w:r>
        <w:rPr>
          <w:rFonts w:hint="eastAsia" w:ascii="仿宋_GB2312" w:hAnsi="仿宋_GB2312" w:eastAsia="仿宋_GB2312"/>
          <w:b/>
          <w:color w:val="000000"/>
          <w:kern w:val="2"/>
          <w:sz w:val="32"/>
          <w:lang w:val="en-US" w:eastAsia="zh-CN"/>
        </w:rPr>
        <w:t>9</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新闻出版电影</w:t>
      </w:r>
      <w:r>
        <w:rPr>
          <w:rStyle w:val="10"/>
          <w:rFonts w:hint="eastAsia" w:ascii="仿宋" w:hAnsi="仿宋" w:eastAsia="仿宋"/>
          <w:bCs/>
          <w:color w:val="000000"/>
          <w:sz w:val="32"/>
          <w:szCs w:val="32"/>
        </w:rPr>
        <w:t>（款）</w:t>
      </w:r>
      <w:r>
        <w:rPr>
          <w:rStyle w:val="10"/>
          <w:rFonts w:hint="eastAsia" w:ascii="仿宋" w:hAnsi="仿宋" w:eastAsia="仿宋"/>
          <w:bCs/>
          <w:color w:val="000000" w:themeColor="text1"/>
          <w:sz w:val="32"/>
          <w:szCs w:val="32"/>
          <w:lang w:eastAsia="zh-CN"/>
          <w14:textFill>
            <w14:solidFill>
              <w14:schemeClr w14:val="tx1"/>
            </w14:solidFill>
          </w14:textFill>
        </w:rPr>
        <w:t>电影</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155.01</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lang w:val="en-US" w:eastAsia="zh-CN"/>
          <w14:textFill>
            <w14:solidFill>
              <w14:schemeClr w14:val="tx1"/>
            </w14:solidFill>
          </w14:textFill>
        </w:rPr>
        <w:t>107</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超出部分为财政追加</w:t>
      </w:r>
      <w:r>
        <w:rPr>
          <w:rFonts w:hint="eastAsia" w:ascii="仿宋" w:hAnsi="仿宋" w:eastAsia="仿宋"/>
          <w:color w:val="auto"/>
          <w:kern w:val="2"/>
          <w:sz w:val="32"/>
          <w:lang w:val="en-US"/>
        </w:rPr>
        <w:t>。</w:t>
      </w:r>
    </w:p>
    <w:p w14:paraId="2D7EA057">
      <w:pPr>
        <w:spacing w:beforeLines="0" w:afterLines="0" w:line="600" w:lineRule="exact"/>
        <w:ind w:firstLine="643"/>
        <w:jc w:val="both"/>
        <w:rPr>
          <w:rFonts w:hint="eastAsia" w:ascii="仿宋_GB2312" w:hAnsi="宋体" w:eastAsia="仿宋_GB2312" w:cs="宋体"/>
          <w:color w:val="FF0000"/>
          <w:kern w:val="0"/>
          <w:sz w:val="32"/>
          <w:szCs w:val="32"/>
        </w:rPr>
      </w:pPr>
      <w:r>
        <w:rPr>
          <w:rFonts w:hint="eastAsia" w:ascii="仿宋_GB2312" w:hAnsi="仿宋_GB2312" w:eastAsia="仿宋_GB2312"/>
          <w:b/>
          <w:color w:val="000000"/>
          <w:kern w:val="2"/>
          <w:sz w:val="32"/>
          <w:lang w:val="en-US" w:eastAsia="zh-CN"/>
        </w:rPr>
        <w:t>10</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新闻出版电影</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其他新闻出版电影支出</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73.1</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上级资金的专项支出。</w:t>
      </w:r>
    </w:p>
    <w:p w14:paraId="17411C70">
      <w:pPr>
        <w:pStyle w:val="7"/>
        <w:jc w:val="left"/>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 xml:space="preserve">   11</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rPr>
        <w:t>文化旅游体育与传媒（类）</w:t>
      </w:r>
      <w:r>
        <w:rPr>
          <w:rStyle w:val="10"/>
          <w:rFonts w:hint="eastAsia" w:ascii="仿宋" w:hAnsi="仿宋" w:eastAsia="仿宋"/>
          <w:b/>
          <w:bCs/>
          <w:color w:val="000000"/>
          <w:sz w:val="32"/>
          <w:szCs w:val="32"/>
          <w:lang w:eastAsia="zh-CN"/>
        </w:rPr>
        <w:t>广播电视</w:t>
      </w:r>
      <w:r>
        <w:rPr>
          <w:rStyle w:val="10"/>
          <w:rFonts w:hint="eastAsia" w:ascii="仿宋" w:hAnsi="仿宋" w:eastAsia="仿宋"/>
          <w:b/>
          <w:bCs/>
          <w:color w:val="000000"/>
          <w:sz w:val="32"/>
          <w:szCs w:val="32"/>
        </w:rPr>
        <w:t>（款）</w:t>
      </w:r>
      <w:r>
        <w:rPr>
          <w:rStyle w:val="10"/>
          <w:rFonts w:hint="eastAsia" w:ascii="仿宋" w:hAnsi="仿宋" w:eastAsia="仿宋"/>
          <w:b/>
          <w:bCs/>
          <w:color w:val="000000"/>
          <w:sz w:val="32"/>
          <w:szCs w:val="32"/>
          <w:lang w:eastAsia="zh-CN"/>
        </w:rPr>
        <w:t>其他广播电视支出</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236.35</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上级资金的专项支出</w:t>
      </w:r>
      <w:r>
        <w:rPr>
          <w:rFonts w:hint="eastAsia" w:ascii="仿宋" w:hAnsi="仿宋" w:eastAsia="仿宋"/>
          <w:color w:val="auto"/>
          <w:kern w:val="2"/>
          <w:sz w:val="32"/>
          <w:lang w:val="en-US"/>
        </w:rPr>
        <w:t>。</w:t>
      </w:r>
    </w:p>
    <w:p w14:paraId="5C0B55F4">
      <w:pPr>
        <w:spacing w:beforeLines="0" w:afterLines="0" w:line="600" w:lineRule="exact"/>
        <w:ind w:firstLine="643" w:firstLineChars="200"/>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12</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rPr>
        <w:t>文化旅游体育与传媒（类）</w:t>
      </w:r>
      <w:r>
        <w:rPr>
          <w:rStyle w:val="10"/>
          <w:rFonts w:hint="eastAsia" w:ascii="仿宋" w:hAnsi="仿宋" w:eastAsia="仿宋"/>
          <w:bCs/>
          <w:color w:val="000000"/>
          <w:sz w:val="32"/>
          <w:szCs w:val="32"/>
          <w:lang w:eastAsia="zh-CN"/>
        </w:rPr>
        <w:t>其他</w:t>
      </w:r>
      <w:r>
        <w:rPr>
          <w:rStyle w:val="10"/>
          <w:rFonts w:hint="eastAsia" w:ascii="仿宋" w:hAnsi="仿宋" w:eastAsia="仿宋"/>
          <w:bCs/>
          <w:color w:val="000000"/>
          <w:sz w:val="32"/>
          <w:szCs w:val="32"/>
        </w:rPr>
        <w:t>文化旅游体育与传媒</w:t>
      </w:r>
      <w:r>
        <w:rPr>
          <w:rStyle w:val="10"/>
          <w:rFonts w:hint="eastAsia" w:ascii="仿宋" w:hAnsi="仿宋" w:eastAsia="仿宋"/>
          <w:bCs/>
          <w:color w:val="000000"/>
          <w:sz w:val="32"/>
          <w:szCs w:val="32"/>
          <w:lang w:eastAsia="zh-CN"/>
        </w:rPr>
        <w:t>支出</w:t>
      </w:r>
      <w:r>
        <w:rPr>
          <w:rStyle w:val="10"/>
          <w:rFonts w:hint="eastAsia" w:ascii="仿宋" w:hAnsi="仿宋" w:eastAsia="仿宋"/>
          <w:bCs/>
          <w:color w:val="000000"/>
          <w:sz w:val="32"/>
          <w:szCs w:val="32"/>
        </w:rPr>
        <w:t>（款）</w:t>
      </w:r>
      <w:r>
        <w:rPr>
          <w:rStyle w:val="10"/>
          <w:rFonts w:hint="eastAsia" w:ascii="仿宋" w:hAnsi="仿宋" w:eastAsia="仿宋"/>
          <w:bCs/>
          <w:color w:val="000000"/>
          <w:sz w:val="32"/>
          <w:szCs w:val="32"/>
          <w:lang w:eastAsia="zh-CN"/>
        </w:rPr>
        <w:t>其他</w:t>
      </w:r>
      <w:r>
        <w:rPr>
          <w:rStyle w:val="10"/>
          <w:rFonts w:hint="eastAsia" w:ascii="仿宋" w:hAnsi="仿宋" w:eastAsia="仿宋"/>
          <w:bCs/>
          <w:color w:val="000000"/>
          <w:sz w:val="32"/>
          <w:szCs w:val="32"/>
        </w:rPr>
        <w:t>文化旅游体育与传媒</w:t>
      </w:r>
      <w:r>
        <w:rPr>
          <w:rStyle w:val="10"/>
          <w:rFonts w:hint="eastAsia" w:ascii="仿宋" w:hAnsi="仿宋" w:eastAsia="仿宋"/>
          <w:bCs/>
          <w:color w:val="000000"/>
          <w:sz w:val="32"/>
          <w:szCs w:val="32"/>
          <w:lang w:eastAsia="zh-CN"/>
        </w:rPr>
        <w:t>支出</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225.95</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上级资金的专项支出</w:t>
      </w:r>
      <w:r>
        <w:rPr>
          <w:rFonts w:hint="eastAsia" w:ascii="仿宋" w:hAnsi="仿宋" w:eastAsia="仿宋"/>
          <w:color w:val="auto"/>
          <w:kern w:val="2"/>
          <w:sz w:val="32"/>
          <w:lang w:val="en-US"/>
        </w:rPr>
        <w:t>。</w:t>
      </w:r>
    </w:p>
    <w:p w14:paraId="1D578D15">
      <w:pPr>
        <w:spacing w:beforeLines="0" w:afterLines="0" w:line="600" w:lineRule="exact"/>
        <w:ind w:firstLine="643" w:firstLineChars="200"/>
        <w:jc w:val="both"/>
        <w:rPr>
          <w:rFonts w:hint="eastAsia"/>
        </w:rPr>
      </w:pPr>
      <w:r>
        <w:rPr>
          <w:rFonts w:hint="eastAsia" w:ascii="仿宋_GB2312" w:hAnsi="仿宋_GB2312" w:eastAsia="仿宋_GB2312"/>
          <w:b/>
          <w:color w:val="000000"/>
          <w:kern w:val="2"/>
          <w:sz w:val="32"/>
          <w:lang w:val="en-US" w:eastAsia="zh-CN"/>
        </w:rPr>
        <w:t>13</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lang w:eastAsia="zh-CN"/>
        </w:rPr>
        <w:t>社会保障和就业</w:t>
      </w:r>
      <w:r>
        <w:rPr>
          <w:rStyle w:val="10"/>
          <w:rFonts w:hint="eastAsia" w:ascii="仿宋" w:hAnsi="仿宋" w:eastAsia="仿宋"/>
          <w:bCs/>
          <w:color w:val="000000"/>
          <w:sz w:val="32"/>
          <w:szCs w:val="32"/>
        </w:rPr>
        <w:t>（类）</w:t>
      </w:r>
      <w:r>
        <w:rPr>
          <w:rStyle w:val="10"/>
          <w:rFonts w:hint="eastAsia" w:ascii="仿宋" w:hAnsi="仿宋" w:eastAsia="仿宋"/>
          <w:bCs/>
          <w:color w:val="000000"/>
          <w:sz w:val="32"/>
          <w:szCs w:val="32"/>
          <w:lang w:eastAsia="zh-CN"/>
        </w:rPr>
        <w:t>行政事业单位养老支出</w:t>
      </w:r>
      <w:r>
        <w:rPr>
          <w:rStyle w:val="10"/>
          <w:rFonts w:hint="eastAsia" w:ascii="仿宋" w:hAnsi="仿宋" w:eastAsia="仿宋"/>
          <w:bCs/>
          <w:color w:val="000000"/>
          <w:sz w:val="32"/>
          <w:szCs w:val="32"/>
        </w:rPr>
        <w:t>（款）</w:t>
      </w:r>
      <w:r>
        <w:rPr>
          <w:rStyle w:val="10"/>
          <w:rFonts w:hint="eastAsia" w:ascii="仿宋" w:hAnsi="仿宋" w:eastAsia="仿宋"/>
          <w:bCs/>
          <w:color w:val="000000" w:themeColor="text1"/>
          <w:sz w:val="32"/>
          <w:szCs w:val="32"/>
          <w:lang w:eastAsia="zh-CN"/>
          <w14:textFill>
            <w14:solidFill>
              <w14:schemeClr w14:val="tx1"/>
            </w14:solidFill>
          </w14:textFill>
        </w:rPr>
        <w:t>机关事业单位养老保险费支出</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24.66</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lang w:val="en-US" w:eastAsia="zh-CN"/>
          <w14:textFill>
            <w14:solidFill>
              <w14:schemeClr w14:val="tx1"/>
            </w14:solidFill>
          </w14:textFill>
        </w:rPr>
        <w:t>101</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决算数小于/等于预算数的主要原因是</w:t>
      </w:r>
      <w:r>
        <w:rPr>
          <w:rFonts w:hint="eastAsia" w:ascii="仿宋" w:hAnsi="仿宋" w:eastAsia="仿宋"/>
          <w:color w:val="auto"/>
          <w:kern w:val="2"/>
          <w:sz w:val="32"/>
          <w:lang w:val="en-US" w:eastAsia="zh-CN"/>
        </w:rPr>
        <w:t>养老保险费基数变动</w:t>
      </w:r>
      <w:r>
        <w:rPr>
          <w:rFonts w:hint="eastAsia" w:ascii="仿宋" w:hAnsi="仿宋" w:eastAsia="仿宋"/>
          <w:color w:val="auto"/>
          <w:kern w:val="2"/>
          <w:sz w:val="32"/>
          <w:lang w:val="en-US"/>
        </w:rPr>
        <w:t>。</w:t>
      </w:r>
    </w:p>
    <w:p w14:paraId="4B347500">
      <w:pPr>
        <w:spacing w:beforeLines="0" w:afterLines="0" w:line="600" w:lineRule="exact"/>
        <w:ind w:firstLine="643" w:firstLineChars="200"/>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14</w:t>
      </w:r>
      <w:r>
        <w:rPr>
          <w:rFonts w:hint="eastAsia" w:ascii="仿宋_GB2312" w:hAnsi="仿宋_GB2312" w:eastAsia="仿宋_GB2312"/>
          <w:b/>
          <w:color w:val="000000"/>
          <w:kern w:val="2"/>
          <w:sz w:val="32"/>
          <w:lang w:val="en-US"/>
        </w:rPr>
        <w:t>.</w:t>
      </w:r>
      <w:r>
        <w:rPr>
          <w:rStyle w:val="10"/>
          <w:rFonts w:hint="eastAsia" w:ascii="仿宋" w:hAnsi="仿宋" w:eastAsia="仿宋"/>
          <w:bCs/>
          <w:color w:val="000000"/>
          <w:sz w:val="32"/>
          <w:szCs w:val="32"/>
          <w:lang w:eastAsia="zh-CN"/>
        </w:rPr>
        <w:t>社会保障和就业</w:t>
      </w:r>
      <w:r>
        <w:rPr>
          <w:rStyle w:val="10"/>
          <w:rFonts w:hint="eastAsia" w:ascii="仿宋" w:hAnsi="仿宋" w:eastAsia="仿宋"/>
          <w:bCs/>
          <w:color w:val="000000"/>
          <w:sz w:val="32"/>
          <w:szCs w:val="32"/>
        </w:rPr>
        <w:t>（类）</w:t>
      </w:r>
      <w:r>
        <w:rPr>
          <w:rStyle w:val="10"/>
          <w:rFonts w:hint="eastAsia" w:ascii="仿宋" w:hAnsi="仿宋" w:eastAsia="仿宋"/>
          <w:bCs/>
          <w:color w:val="000000"/>
          <w:sz w:val="32"/>
          <w:szCs w:val="32"/>
          <w:lang w:eastAsia="zh-CN"/>
        </w:rPr>
        <w:t>行政事业单位养老支出</w:t>
      </w:r>
      <w:r>
        <w:rPr>
          <w:rStyle w:val="10"/>
          <w:rFonts w:hint="eastAsia" w:ascii="仿宋" w:hAnsi="仿宋" w:eastAsia="仿宋"/>
          <w:bCs/>
          <w:color w:val="000000"/>
          <w:sz w:val="32"/>
          <w:szCs w:val="32"/>
        </w:rPr>
        <w:t>（款）</w:t>
      </w:r>
      <w:r>
        <w:rPr>
          <w:rStyle w:val="10"/>
          <w:rFonts w:hint="eastAsia" w:ascii="仿宋" w:hAnsi="仿宋" w:eastAsia="仿宋"/>
          <w:bCs/>
          <w:color w:val="000000" w:themeColor="text1"/>
          <w:sz w:val="32"/>
          <w:szCs w:val="32"/>
          <w:lang w:eastAsia="zh-CN"/>
          <w14:textFill>
            <w14:solidFill>
              <w14:schemeClr w14:val="tx1"/>
            </w14:solidFill>
          </w14:textFill>
        </w:rPr>
        <w:t>机关事业单位职业年金支出</w:t>
      </w:r>
      <w:r>
        <w:rPr>
          <w:rStyle w:val="10"/>
          <w:rFonts w:hint="eastAsia" w:ascii="仿宋" w:hAnsi="仿宋" w:eastAsia="仿宋"/>
          <w:bCs/>
          <w:color w:val="000000"/>
          <w:sz w:val="32"/>
          <w:szCs w:val="32"/>
        </w:rPr>
        <w:t>（项）</w:t>
      </w:r>
      <w:r>
        <w:rPr>
          <w:rStyle w:val="10"/>
          <w:rFonts w:ascii="仿宋" w:hAnsi="仿宋" w:eastAsia="仿宋"/>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13.19</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14:textFill>
            <w14:solidFill>
              <w14:schemeClr w14:val="tx1"/>
            </w14:solidFill>
          </w14:textFill>
        </w:rPr>
        <w:t>10</w:t>
      </w:r>
      <w:r>
        <w:rPr>
          <w:rStyle w:val="10"/>
          <w:rFonts w:hint="eastAsia" w:ascii="仿宋" w:hAnsi="仿宋" w:eastAsia="仿宋"/>
          <w:b w:val="0"/>
          <w:bCs/>
          <w:color w:val="000000" w:themeColor="text1"/>
          <w:sz w:val="32"/>
          <w:szCs w:val="32"/>
          <w:lang w:val="en-US" w:eastAsia="zh-CN"/>
          <w14:textFill>
            <w14:solidFill>
              <w14:schemeClr w14:val="tx1"/>
            </w14:solidFill>
          </w14:textFill>
        </w:rPr>
        <w:t>8</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养老保险费基数变动</w:t>
      </w:r>
      <w:r>
        <w:rPr>
          <w:rFonts w:hint="eastAsia" w:ascii="仿宋" w:hAnsi="仿宋" w:eastAsia="仿宋"/>
          <w:color w:val="auto"/>
          <w:kern w:val="2"/>
          <w:sz w:val="32"/>
          <w:lang w:val="en-US"/>
        </w:rPr>
        <w:t>。</w:t>
      </w:r>
    </w:p>
    <w:p w14:paraId="1192AF13">
      <w:pPr>
        <w:pStyle w:val="7"/>
        <w:ind w:firstLine="321" w:firstLineChars="100"/>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15</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lang w:eastAsia="zh-CN"/>
        </w:rPr>
        <w:t>社会保障和就业</w:t>
      </w:r>
      <w:r>
        <w:rPr>
          <w:rStyle w:val="10"/>
          <w:rFonts w:hint="eastAsia" w:ascii="仿宋" w:hAnsi="仿宋" w:eastAsia="仿宋"/>
          <w:b/>
          <w:bCs/>
          <w:color w:val="000000"/>
          <w:sz w:val="32"/>
          <w:szCs w:val="32"/>
        </w:rPr>
        <w:t>（类）</w:t>
      </w:r>
      <w:r>
        <w:rPr>
          <w:rStyle w:val="10"/>
          <w:rFonts w:hint="eastAsia" w:ascii="仿宋" w:hAnsi="仿宋" w:eastAsia="仿宋"/>
          <w:b/>
          <w:bCs/>
          <w:color w:val="000000"/>
          <w:sz w:val="32"/>
          <w:szCs w:val="32"/>
          <w:lang w:eastAsia="zh-CN"/>
        </w:rPr>
        <w:t>就业补助</w:t>
      </w:r>
      <w:r>
        <w:rPr>
          <w:rStyle w:val="10"/>
          <w:rFonts w:hint="eastAsia" w:ascii="仿宋" w:hAnsi="仿宋" w:eastAsia="仿宋"/>
          <w:b/>
          <w:bCs/>
          <w:color w:val="000000"/>
          <w:sz w:val="32"/>
          <w:szCs w:val="32"/>
        </w:rPr>
        <w:t>（款）</w:t>
      </w:r>
      <w:r>
        <w:rPr>
          <w:rStyle w:val="10"/>
          <w:rFonts w:hint="eastAsia" w:ascii="仿宋" w:hAnsi="仿宋" w:eastAsia="仿宋"/>
          <w:b/>
          <w:bCs/>
          <w:color w:val="000000"/>
          <w:sz w:val="32"/>
          <w:szCs w:val="32"/>
          <w:lang w:eastAsia="zh-CN"/>
        </w:rPr>
        <w:t>公益性岗位补贴</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0.44</w:t>
      </w:r>
      <w:r>
        <w:rPr>
          <w:rStyle w:val="10"/>
          <w:rFonts w:hint="eastAsia" w:ascii="仿宋" w:hAnsi="仿宋" w:eastAsia="仿宋"/>
          <w:b w:val="0"/>
          <w:bCs/>
          <w:color w:val="000000"/>
          <w:sz w:val="32"/>
          <w:szCs w:val="32"/>
        </w:rPr>
        <w:t>万元，</w:t>
      </w:r>
      <w:r>
        <w:rPr>
          <w:rStyle w:val="10"/>
          <w:rFonts w:hint="eastAsia" w:ascii="仿宋" w:hAnsi="仿宋" w:eastAsia="仿宋"/>
          <w:b w:val="0"/>
          <w:bCs/>
          <w:color w:val="000000"/>
          <w:sz w:val="32"/>
          <w:szCs w:val="32"/>
          <w:lang w:eastAsia="zh-CN"/>
        </w:rPr>
        <w:t>就业专项补助资金</w:t>
      </w:r>
      <w:r>
        <w:rPr>
          <w:rFonts w:hint="eastAsia" w:ascii="仿宋" w:hAnsi="仿宋" w:eastAsia="仿宋"/>
          <w:color w:val="auto"/>
          <w:kern w:val="2"/>
          <w:sz w:val="32"/>
          <w:lang w:val="en-US"/>
        </w:rPr>
        <w:t>。</w:t>
      </w:r>
    </w:p>
    <w:p w14:paraId="7E5DDC2A">
      <w:pPr>
        <w:pStyle w:val="7"/>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16</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lang w:eastAsia="zh-CN"/>
        </w:rPr>
        <w:t>社会保障和就业</w:t>
      </w:r>
      <w:r>
        <w:rPr>
          <w:rStyle w:val="10"/>
          <w:rFonts w:hint="eastAsia" w:ascii="仿宋" w:hAnsi="仿宋" w:eastAsia="仿宋"/>
          <w:b/>
          <w:bCs/>
          <w:color w:val="000000"/>
          <w:sz w:val="32"/>
          <w:szCs w:val="32"/>
        </w:rPr>
        <w:t>（类）</w:t>
      </w:r>
      <w:r>
        <w:rPr>
          <w:rStyle w:val="10"/>
          <w:rFonts w:hint="eastAsia" w:ascii="仿宋" w:hAnsi="仿宋" w:eastAsia="仿宋"/>
          <w:b/>
          <w:bCs/>
          <w:color w:val="000000"/>
          <w:sz w:val="32"/>
          <w:szCs w:val="32"/>
          <w:lang w:eastAsia="zh-CN"/>
        </w:rPr>
        <w:t>就业补助</w:t>
      </w:r>
      <w:r>
        <w:rPr>
          <w:rStyle w:val="10"/>
          <w:rFonts w:hint="eastAsia" w:ascii="仿宋" w:hAnsi="仿宋" w:eastAsia="仿宋"/>
          <w:b/>
          <w:bCs/>
          <w:color w:val="000000"/>
          <w:sz w:val="32"/>
          <w:szCs w:val="32"/>
        </w:rPr>
        <w:t>（款）</w:t>
      </w:r>
      <w:r>
        <w:rPr>
          <w:rStyle w:val="10"/>
          <w:rFonts w:hint="eastAsia" w:ascii="仿宋" w:hAnsi="仿宋" w:eastAsia="仿宋"/>
          <w:b/>
          <w:bCs/>
          <w:color w:val="000000" w:themeColor="text1"/>
          <w:sz w:val="32"/>
          <w:szCs w:val="32"/>
          <w:lang w:eastAsia="zh-CN"/>
          <w14:textFill>
            <w14:solidFill>
              <w14:schemeClr w14:val="tx1"/>
            </w14:solidFill>
          </w14:textFill>
        </w:rPr>
        <w:t>其他就业补助支出</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2.8</w:t>
      </w:r>
      <w:r>
        <w:rPr>
          <w:rStyle w:val="10"/>
          <w:rFonts w:hint="eastAsia" w:ascii="仿宋" w:hAnsi="仿宋" w:eastAsia="仿宋"/>
          <w:b w:val="0"/>
          <w:bCs/>
          <w:color w:val="000000"/>
          <w:sz w:val="32"/>
          <w:szCs w:val="32"/>
        </w:rPr>
        <w:t>万元，完成预算100</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p>
    <w:p w14:paraId="4D266DA9">
      <w:pPr>
        <w:pStyle w:val="7"/>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17</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lang w:eastAsia="zh-CN"/>
        </w:rPr>
        <w:t>卫生健康支出</w:t>
      </w:r>
      <w:r>
        <w:rPr>
          <w:rStyle w:val="10"/>
          <w:rFonts w:hint="eastAsia" w:ascii="仿宋" w:hAnsi="仿宋" w:eastAsia="仿宋"/>
          <w:b/>
          <w:bCs/>
          <w:color w:val="000000"/>
          <w:sz w:val="32"/>
          <w:szCs w:val="32"/>
        </w:rPr>
        <w:t>（类）</w:t>
      </w:r>
      <w:r>
        <w:rPr>
          <w:rStyle w:val="10"/>
          <w:rFonts w:hint="eastAsia" w:ascii="仿宋" w:hAnsi="仿宋" w:eastAsia="仿宋"/>
          <w:b/>
          <w:bCs/>
          <w:color w:val="000000"/>
          <w:sz w:val="32"/>
          <w:szCs w:val="32"/>
          <w:lang w:eastAsia="zh-CN"/>
        </w:rPr>
        <w:t>行政事业单位医疗</w:t>
      </w:r>
      <w:r>
        <w:rPr>
          <w:rStyle w:val="10"/>
          <w:rFonts w:hint="eastAsia" w:ascii="仿宋" w:hAnsi="仿宋" w:eastAsia="仿宋"/>
          <w:b/>
          <w:bCs/>
          <w:color w:val="000000"/>
          <w:sz w:val="32"/>
          <w:szCs w:val="32"/>
        </w:rPr>
        <w:t>（款）</w:t>
      </w:r>
      <w:r>
        <w:rPr>
          <w:rStyle w:val="10"/>
          <w:rFonts w:hint="eastAsia" w:ascii="仿宋" w:hAnsi="仿宋" w:eastAsia="仿宋"/>
          <w:b/>
          <w:bCs/>
          <w:color w:val="000000" w:themeColor="text1"/>
          <w:sz w:val="32"/>
          <w:szCs w:val="32"/>
          <w:lang w:eastAsia="zh-CN"/>
          <w14:textFill>
            <w14:solidFill>
              <w14:schemeClr w14:val="tx1"/>
            </w14:solidFill>
          </w14:textFill>
        </w:rPr>
        <w:t>行政单位医疗</w:t>
      </w:r>
      <w:r>
        <w:rPr>
          <w:rStyle w:val="10"/>
          <w:rFonts w:hint="eastAsia" w:ascii="仿宋" w:hAnsi="仿宋" w:eastAsia="仿宋"/>
          <w:b/>
          <w:bCs/>
          <w:color w:val="000000" w:themeColor="text1"/>
          <w:sz w:val="32"/>
          <w:szCs w:val="32"/>
          <w14:textFill>
            <w14:solidFill>
              <w14:schemeClr w14:val="tx1"/>
            </w14:solidFill>
          </w14:textFill>
        </w:rPr>
        <w:t>（</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6.4</w:t>
      </w:r>
      <w:r>
        <w:rPr>
          <w:rStyle w:val="10"/>
          <w:rFonts w:hint="eastAsia" w:ascii="仿宋" w:hAnsi="仿宋" w:eastAsia="仿宋"/>
          <w:b w:val="0"/>
          <w:bCs/>
          <w:color w:val="000000"/>
          <w:sz w:val="32"/>
          <w:szCs w:val="32"/>
        </w:rPr>
        <w:t>万元，完成预算100</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p>
    <w:p w14:paraId="574F902A">
      <w:pPr>
        <w:pStyle w:val="7"/>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18</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lang w:eastAsia="zh-CN"/>
        </w:rPr>
        <w:t>卫生健康支出</w:t>
      </w:r>
      <w:r>
        <w:rPr>
          <w:rStyle w:val="10"/>
          <w:rFonts w:hint="eastAsia" w:ascii="仿宋" w:hAnsi="仿宋" w:eastAsia="仿宋"/>
          <w:b/>
          <w:bCs/>
          <w:color w:val="000000"/>
          <w:sz w:val="32"/>
          <w:szCs w:val="32"/>
        </w:rPr>
        <w:t>（类）</w:t>
      </w:r>
      <w:r>
        <w:rPr>
          <w:rStyle w:val="10"/>
          <w:rFonts w:hint="eastAsia" w:ascii="仿宋" w:hAnsi="仿宋" w:eastAsia="仿宋"/>
          <w:b/>
          <w:bCs/>
          <w:color w:val="000000"/>
          <w:sz w:val="32"/>
          <w:szCs w:val="32"/>
          <w:lang w:eastAsia="zh-CN"/>
        </w:rPr>
        <w:t>行政事业单位医疗</w:t>
      </w:r>
      <w:r>
        <w:rPr>
          <w:rStyle w:val="10"/>
          <w:rFonts w:hint="eastAsia" w:ascii="仿宋" w:hAnsi="仿宋" w:eastAsia="仿宋"/>
          <w:b/>
          <w:bCs/>
          <w:color w:val="000000"/>
          <w:sz w:val="32"/>
          <w:szCs w:val="32"/>
        </w:rPr>
        <w:t>（款）</w:t>
      </w:r>
      <w:r>
        <w:rPr>
          <w:rStyle w:val="10"/>
          <w:rFonts w:hint="eastAsia" w:ascii="仿宋" w:hAnsi="仿宋" w:eastAsia="仿宋"/>
          <w:b/>
          <w:bCs/>
          <w:color w:val="000000" w:themeColor="text1"/>
          <w:sz w:val="32"/>
          <w:szCs w:val="32"/>
          <w:lang w:eastAsia="zh-CN"/>
          <w14:textFill>
            <w14:solidFill>
              <w14:schemeClr w14:val="tx1"/>
            </w14:solidFill>
          </w14:textFill>
        </w:rPr>
        <w:t>事业单位医疗</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3.57</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14:textFill>
            <w14:solidFill>
              <w14:schemeClr w14:val="tx1"/>
            </w14:solidFill>
          </w14:textFill>
        </w:rPr>
        <w:t>1</w:t>
      </w:r>
      <w:r>
        <w:rPr>
          <w:rStyle w:val="10"/>
          <w:rFonts w:hint="eastAsia" w:ascii="仿宋" w:hAnsi="仿宋" w:eastAsia="仿宋"/>
          <w:b w:val="0"/>
          <w:bCs/>
          <w:color w:val="000000" w:themeColor="text1"/>
          <w:sz w:val="32"/>
          <w:szCs w:val="32"/>
          <w:lang w:val="en-US" w:eastAsia="zh-CN"/>
          <w14:textFill>
            <w14:solidFill>
              <w14:schemeClr w14:val="tx1"/>
            </w14:solidFill>
          </w14:textFill>
        </w:rPr>
        <w:t>12</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医疗保险基数变动</w:t>
      </w:r>
      <w:r>
        <w:rPr>
          <w:rFonts w:hint="eastAsia" w:ascii="仿宋" w:hAnsi="仿宋" w:eastAsia="仿宋"/>
          <w:color w:val="auto"/>
          <w:kern w:val="2"/>
          <w:sz w:val="32"/>
          <w:lang w:val="en-US"/>
        </w:rPr>
        <w:t>。</w:t>
      </w:r>
    </w:p>
    <w:p w14:paraId="6B5047E2">
      <w:pPr>
        <w:pStyle w:val="7"/>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19</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lang w:eastAsia="zh-CN"/>
        </w:rPr>
        <w:t>卫生健康支出</w:t>
      </w:r>
      <w:r>
        <w:rPr>
          <w:rStyle w:val="10"/>
          <w:rFonts w:hint="eastAsia" w:ascii="仿宋" w:hAnsi="仿宋" w:eastAsia="仿宋"/>
          <w:b/>
          <w:bCs/>
          <w:color w:val="000000"/>
          <w:sz w:val="32"/>
          <w:szCs w:val="32"/>
        </w:rPr>
        <w:t>（类）</w:t>
      </w:r>
      <w:r>
        <w:rPr>
          <w:rStyle w:val="10"/>
          <w:rFonts w:hint="eastAsia" w:ascii="仿宋" w:hAnsi="仿宋" w:eastAsia="仿宋"/>
          <w:b/>
          <w:bCs/>
          <w:color w:val="000000"/>
          <w:sz w:val="32"/>
          <w:szCs w:val="32"/>
          <w:lang w:eastAsia="zh-CN"/>
        </w:rPr>
        <w:t>行政事业单位医疗</w:t>
      </w:r>
      <w:r>
        <w:rPr>
          <w:rStyle w:val="10"/>
          <w:rFonts w:hint="eastAsia" w:ascii="仿宋" w:hAnsi="仿宋" w:eastAsia="仿宋"/>
          <w:b/>
          <w:bCs/>
          <w:color w:val="000000"/>
          <w:sz w:val="32"/>
          <w:szCs w:val="32"/>
        </w:rPr>
        <w:t>（款）</w:t>
      </w:r>
      <w:r>
        <w:rPr>
          <w:rStyle w:val="10"/>
          <w:rFonts w:hint="eastAsia" w:ascii="仿宋" w:hAnsi="仿宋" w:eastAsia="仿宋"/>
          <w:b/>
          <w:bCs/>
          <w:color w:val="000000" w:themeColor="text1"/>
          <w:sz w:val="32"/>
          <w:szCs w:val="32"/>
          <w:lang w:eastAsia="zh-CN"/>
          <w14:textFill>
            <w14:solidFill>
              <w14:schemeClr w14:val="tx1"/>
            </w14:solidFill>
          </w14:textFill>
        </w:rPr>
        <w:t>公务员医疗补助</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4.56</w:t>
      </w:r>
      <w:r>
        <w:rPr>
          <w:rStyle w:val="10"/>
          <w:rFonts w:hint="eastAsia" w:ascii="仿宋" w:hAnsi="仿宋" w:eastAsia="仿宋"/>
          <w:b w:val="0"/>
          <w:bCs/>
          <w:color w:val="000000"/>
          <w:sz w:val="32"/>
          <w:szCs w:val="32"/>
        </w:rPr>
        <w:t>万元，完成预算100</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p>
    <w:p w14:paraId="405A27CA">
      <w:pPr>
        <w:pStyle w:val="7"/>
        <w:jc w:val="both"/>
        <w:rPr>
          <w:rFonts w:hint="eastAsia" w:ascii="仿宋_GB2312" w:hAnsi="宋体" w:eastAsia="仿宋_GB2312" w:cs="宋体"/>
          <w:color w:val="000000"/>
          <w:kern w:val="0"/>
          <w:sz w:val="32"/>
          <w:szCs w:val="32"/>
        </w:rPr>
      </w:pPr>
      <w:r>
        <w:rPr>
          <w:rFonts w:hint="eastAsia" w:ascii="仿宋_GB2312" w:hAnsi="仿宋_GB2312" w:eastAsia="仿宋_GB2312"/>
          <w:b/>
          <w:color w:val="000000"/>
          <w:kern w:val="2"/>
          <w:sz w:val="32"/>
          <w:lang w:val="en-US" w:eastAsia="zh-CN"/>
        </w:rPr>
        <w:t>20</w:t>
      </w:r>
      <w:r>
        <w:rPr>
          <w:rFonts w:hint="eastAsia" w:ascii="仿宋_GB2312" w:hAnsi="仿宋_GB2312" w:eastAsia="仿宋_GB2312"/>
          <w:b/>
          <w:color w:val="000000"/>
          <w:kern w:val="2"/>
          <w:sz w:val="32"/>
          <w:lang w:val="en-US"/>
        </w:rPr>
        <w:t>.</w:t>
      </w:r>
      <w:r>
        <w:rPr>
          <w:rStyle w:val="10"/>
          <w:rFonts w:hint="eastAsia" w:ascii="仿宋" w:hAnsi="仿宋" w:eastAsia="仿宋"/>
          <w:b/>
          <w:bCs/>
          <w:color w:val="000000"/>
          <w:sz w:val="32"/>
          <w:szCs w:val="32"/>
          <w:lang w:eastAsia="zh-CN"/>
        </w:rPr>
        <w:t>住房保障支出</w:t>
      </w:r>
      <w:r>
        <w:rPr>
          <w:rStyle w:val="10"/>
          <w:rFonts w:hint="eastAsia" w:ascii="仿宋" w:hAnsi="仿宋" w:eastAsia="仿宋"/>
          <w:b/>
          <w:bCs/>
          <w:color w:val="000000"/>
          <w:sz w:val="32"/>
          <w:szCs w:val="32"/>
        </w:rPr>
        <w:t>（类）</w:t>
      </w:r>
      <w:r>
        <w:rPr>
          <w:rStyle w:val="10"/>
          <w:rFonts w:hint="eastAsia" w:ascii="仿宋" w:hAnsi="仿宋" w:eastAsia="仿宋"/>
          <w:b/>
          <w:bCs/>
          <w:color w:val="000000"/>
          <w:sz w:val="32"/>
          <w:szCs w:val="32"/>
          <w:lang w:eastAsia="zh-CN"/>
        </w:rPr>
        <w:t>住房改革</w:t>
      </w:r>
      <w:r>
        <w:rPr>
          <w:rStyle w:val="10"/>
          <w:rFonts w:hint="eastAsia" w:ascii="仿宋" w:hAnsi="仿宋" w:eastAsia="仿宋"/>
          <w:b/>
          <w:bCs/>
          <w:color w:val="000000"/>
          <w:sz w:val="32"/>
          <w:szCs w:val="32"/>
        </w:rPr>
        <w:t>（款）</w:t>
      </w:r>
      <w:r>
        <w:rPr>
          <w:rStyle w:val="10"/>
          <w:rFonts w:hint="eastAsia" w:ascii="仿宋" w:hAnsi="仿宋" w:eastAsia="仿宋"/>
          <w:b/>
          <w:bCs/>
          <w:color w:val="000000" w:themeColor="text1"/>
          <w:sz w:val="32"/>
          <w:szCs w:val="32"/>
          <w:lang w:eastAsia="zh-CN"/>
          <w14:textFill>
            <w14:solidFill>
              <w14:schemeClr w14:val="tx1"/>
            </w14:solidFill>
          </w14:textFill>
        </w:rPr>
        <w:t>住房公积金</w:t>
      </w:r>
      <w:r>
        <w:rPr>
          <w:rStyle w:val="10"/>
          <w:rFonts w:hint="eastAsia" w:ascii="仿宋" w:hAnsi="仿宋" w:eastAsia="仿宋"/>
          <w:b/>
          <w:bCs/>
          <w:color w:val="000000"/>
          <w:sz w:val="32"/>
          <w:szCs w:val="32"/>
        </w:rPr>
        <w:t>（项）</w:t>
      </w:r>
      <w:r>
        <w:rPr>
          <w:rStyle w:val="10"/>
          <w:rFonts w:ascii="仿宋" w:hAnsi="仿宋" w:eastAsia="仿宋"/>
          <w:b/>
          <w:bCs/>
          <w:color w:val="000000"/>
          <w:sz w:val="32"/>
          <w:szCs w:val="32"/>
        </w:rPr>
        <w:t>:</w:t>
      </w:r>
      <w:r>
        <w:rPr>
          <w:rStyle w:val="10"/>
          <w:rFonts w:hint="eastAsia" w:ascii="仿宋" w:hAnsi="仿宋" w:eastAsia="仿宋"/>
          <w:b w:val="0"/>
          <w:bCs/>
          <w:color w:val="000000"/>
          <w:sz w:val="32"/>
          <w:szCs w:val="32"/>
        </w:rPr>
        <w:t>支出决算为</w:t>
      </w:r>
      <w:r>
        <w:rPr>
          <w:rStyle w:val="10"/>
          <w:rFonts w:hint="eastAsia" w:ascii="仿宋" w:hAnsi="仿宋" w:eastAsia="仿宋"/>
          <w:b w:val="0"/>
          <w:bCs/>
          <w:color w:val="000000"/>
          <w:sz w:val="32"/>
          <w:szCs w:val="32"/>
          <w:lang w:val="en-US" w:eastAsia="zh-CN"/>
        </w:rPr>
        <w:t>32.53</w:t>
      </w:r>
      <w:r>
        <w:rPr>
          <w:rStyle w:val="10"/>
          <w:rFonts w:hint="eastAsia" w:ascii="仿宋" w:hAnsi="仿宋" w:eastAsia="仿宋"/>
          <w:b w:val="0"/>
          <w:bCs/>
          <w:color w:val="000000"/>
          <w:sz w:val="32"/>
          <w:szCs w:val="32"/>
        </w:rPr>
        <w:t>万元，完成预算</w:t>
      </w:r>
      <w:r>
        <w:rPr>
          <w:rStyle w:val="10"/>
          <w:rFonts w:hint="eastAsia" w:ascii="仿宋" w:hAnsi="仿宋" w:eastAsia="仿宋"/>
          <w:b w:val="0"/>
          <w:bCs/>
          <w:color w:val="000000" w:themeColor="text1"/>
          <w:sz w:val="32"/>
          <w:szCs w:val="32"/>
          <w:lang w:val="en-US" w:eastAsia="zh-CN"/>
          <w14:textFill>
            <w14:solidFill>
              <w14:schemeClr w14:val="tx1"/>
            </w14:solidFill>
          </w14:textFill>
        </w:rPr>
        <w:t>108</w:t>
      </w:r>
      <w:r>
        <w:rPr>
          <w:rStyle w:val="10"/>
          <w:rFonts w:ascii="仿宋" w:hAnsi="仿宋" w:eastAsia="仿宋"/>
          <w:b w:val="0"/>
          <w:bCs/>
          <w:color w:val="000000"/>
          <w:sz w:val="32"/>
          <w:szCs w:val="32"/>
        </w:rPr>
        <w:t>%</w:t>
      </w:r>
      <w:r>
        <w:rPr>
          <w:rFonts w:hint="eastAsia" w:ascii="仿宋_GB2312" w:hAnsi="宋体" w:eastAsia="仿宋_GB2312" w:cs="宋体"/>
          <w:color w:val="000000"/>
          <w:kern w:val="0"/>
          <w:sz w:val="32"/>
          <w:szCs w:val="32"/>
        </w:rPr>
        <w:t>。</w:t>
      </w:r>
      <w:r>
        <w:rPr>
          <w:rFonts w:hint="eastAsia" w:ascii="仿宋" w:hAnsi="仿宋" w:eastAsia="仿宋"/>
          <w:color w:val="auto"/>
          <w:kern w:val="2"/>
          <w:sz w:val="32"/>
          <w:lang w:val="en-US"/>
        </w:rPr>
        <w:t>决算数</w:t>
      </w:r>
      <w:r>
        <w:rPr>
          <w:rFonts w:hint="eastAsia" w:ascii="仿宋" w:hAnsi="仿宋" w:eastAsia="仿宋"/>
          <w:color w:val="auto"/>
          <w:kern w:val="2"/>
          <w:sz w:val="32"/>
          <w:lang w:val="en-US" w:eastAsia="zh-CN"/>
        </w:rPr>
        <w:t>大</w:t>
      </w:r>
      <w:r>
        <w:rPr>
          <w:rFonts w:hint="eastAsia" w:ascii="仿宋" w:hAnsi="仿宋" w:eastAsia="仿宋"/>
          <w:color w:val="auto"/>
          <w:kern w:val="2"/>
          <w:sz w:val="32"/>
          <w:lang w:val="en-US"/>
        </w:rPr>
        <w:t>于预算数的主要原因是</w:t>
      </w:r>
      <w:r>
        <w:rPr>
          <w:rFonts w:hint="eastAsia" w:ascii="仿宋" w:hAnsi="仿宋" w:eastAsia="仿宋"/>
          <w:color w:val="auto"/>
          <w:kern w:val="2"/>
          <w:sz w:val="32"/>
          <w:lang w:val="en-US" w:eastAsia="zh-CN"/>
        </w:rPr>
        <w:t>住房公积金基数变动</w:t>
      </w:r>
      <w:r>
        <w:rPr>
          <w:rFonts w:hint="eastAsia" w:ascii="仿宋" w:hAnsi="仿宋" w:eastAsia="仿宋"/>
          <w:color w:val="auto"/>
          <w:kern w:val="2"/>
          <w:sz w:val="32"/>
          <w:lang w:val="en-US"/>
        </w:rPr>
        <w:t>。</w:t>
      </w:r>
    </w:p>
    <w:p w14:paraId="63F8F83A">
      <w:pPr>
        <w:keepNext/>
        <w:keepLines/>
        <w:tabs>
          <w:tab w:val="right" w:pos="8306"/>
        </w:tabs>
        <w:spacing w:beforeLines="0" w:afterLines="0" w:line="576" w:lineRule="exact"/>
        <w:ind w:firstLine="640"/>
        <w:jc w:val="both"/>
        <w:rPr>
          <w:rFonts w:hint="default" w:ascii="Cambria" w:hAnsi="Cambria" w:eastAsia="Cambria"/>
          <w:b/>
          <w:color w:val="auto"/>
          <w:kern w:val="2"/>
          <w:sz w:val="32"/>
          <w:lang w:val="zh-CN"/>
        </w:rPr>
      </w:pPr>
      <w:bookmarkStart w:id="61" w:name="_Toc21696_WPSOffice_Level2"/>
      <w:r>
        <w:rPr>
          <w:rFonts w:hint="eastAsia" w:ascii="黑体" w:hAnsi="黑体" w:eastAsia="黑体"/>
          <w:color w:val="000000"/>
          <w:kern w:val="2"/>
          <w:sz w:val="32"/>
          <w:lang w:val="zh-CN"/>
        </w:rPr>
        <w:t>六</w:t>
      </w:r>
      <w:r>
        <w:rPr>
          <w:rFonts w:hint="eastAsia" w:ascii="黑体" w:hAnsi="黑体" w:eastAsia="黑体"/>
          <w:b/>
          <w:color w:val="000000"/>
          <w:kern w:val="2"/>
          <w:sz w:val="32"/>
          <w:lang w:val="zh-CN"/>
        </w:rPr>
        <w:t>、一</w:t>
      </w:r>
      <w:r>
        <w:rPr>
          <w:rFonts w:hint="eastAsia" w:ascii="黑体" w:hAnsi="黑体" w:eastAsia="黑体"/>
          <w:color w:val="auto"/>
          <w:kern w:val="2"/>
          <w:sz w:val="32"/>
          <w:lang w:val="zh-CN"/>
        </w:rPr>
        <w:t>般公共预算财政拨款基本支出决算情况说明</w:t>
      </w:r>
      <w:bookmarkEnd w:id="61"/>
      <w:r>
        <w:rPr>
          <w:rFonts w:hint="eastAsia" w:ascii="黑体" w:hAnsi="黑体" w:eastAsia="黑体"/>
          <w:color w:val="auto"/>
          <w:kern w:val="2"/>
          <w:sz w:val="32"/>
          <w:lang w:val="zh-CN"/>
        </w:rPr>
        <w:tab/>
      </w:r>
    </w:p>
    <w:p w14:paraId="6E31B953">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2022年一般公共预算财政拨款基本支出467.23万元，其中：</w:t>
      </w:r>
    </w:p>
    <w:p w14:paraId="4D1F2D33">
      <w:pPr>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人员经费</w:t>
      </w:r>
      <w:r>
        <w:rPr>
          <w:rFonts w:hint="eastAsia" w:ascii="仿宋_GB2312" w:hAnsi="仿宋_GB2312" w:eastAsia="仿宋_GB2312"/>
          <w:color w:val="000000"/>
          <w:kern w:val="2"/>
          <w:sz w:val="32"/>
          <w:lang w:val="zh-CN"/>
        </w:rPr>
        <w:t>438.36万元，主要包括：</w:t>
      </w:r>
      <w:r>
        <w:rPr>
          <w:rFonts w:hint="eastAsia" w:ascii="仿宋" w:hAnsi="仿宋" w:eastAsia="仿宋"/>
          <w:color w:val="auto"/>
          <w:kern w:val="2"/>
          <w:sz w:val="32"/>
          <w:lang w:val="en-US"/>
        </w:rPr>
        <w:t>基本工资、津贴补贴、奖金、伙食补助费、绩效工资、机关事业单位基本养老保险缴费、职业年金缴费、其他社会保障缴费、其他工资福利支出、生活补助、医疗费补助、奖励金、住房公积金、其他对个人和家庭的补助支出等</w:t>
      </w:r>
      <w:r>
        <w:rPr>
          <w:rFonts w:hint="eastAsia" w:ascii="仿宋_GB2312" w:hAnsi="仿宋_GB2312" w:eastAsia="仿宋_GB2312"/>
          <w:color w:val="000000"/>
          <w:kern w:val="2"/>
          <w:sz w:val="32"/>
          <w:lang w:val="zh-CN"/>
        </w:rPr>
        <w:t>。</w:t>
      </w:r>
    </w:p>
    <w:p w14:paraId="7B78F7D1">
      <w:pPr>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公用经费</w:t>
      </w:r>
      <w:r>
        <w:rPr>
          <w:rFonts w:hint="eastAsia" w:ascii="仿宋_GB2312" w:hAnsi="仿宋_GB2312" w:eastAsia="仿宋_GB2312"/>
          <w:color w:val="000000"/>
          <w:kern w:val="2"/>
          <w:sz w:val="32"/>
          <w:lang w:val="zh-CN"/>
        </w:rPr>
        <w:t>28.87万元，主要包括：</w:t>
      </w:r>
      <w:r>
        <w:rPr>
          <w:rFonts w:hint="eastAsia" w:ascii="仿宋" w:hAnsi="仿宋" w:eastAsia="仿宋"/>
          <w:color w:val="auto"/>
          <w:kern w:val="2"/>
          <w:sz w:val="32"/>
          <w:lang w:val="en-US"/>
        </w:rPr>
        <w:t>办公费、印刷费、咨询费、手续费、水费、电费、邮电费、差旅费、维修（护）费、租赁费、会议费、培训费、公务接待费、劳务费、委托业务费、工会经费、其他交通费、其他商品和服务支出、信息网络及软件购置更新等</w:t>
      </w:r>
      <w:r>
        <w:rPr>
          <w:rFonts w:hint="eastAsia" w:ascii="仿宋_GB2312" w:hAnsi="仿宋_GB2312" w:eastAsia="仿宋_GB2312"/>
          <w:color w:val="000000"/>
          <w:kern w:val="2"/>
          <w:sz w:val="32"/>
          <w:lang w:val="zh-CN"/>
        </w:rPr>
        <w:t>。</w:t>
      </w:r>
    </w:p>
    <w:p w14:paraId="4393E309">
      <w:pPr>
        <w:numPr>
          <w:ilvl w:val="0"/>
          <w:numId w:val="3"/>
        </w:numPr>
        <w:spacing w:beforeLines="0" w:afterLines="0" w:line="576" w:lineRule="exact"/>
        <w:ind w:firstLine="643"/>
        <w:jc w:val="both"/>
        <w:rPr>
          <w:rFonts w:hint="eastAsia" w:ascii="黑体" w:hAnsi="黑体" w:eastAsia="黑体"/>
          <w:color w:val="auto"/>
          <w:kern w:val="2"/>
          <w:sz w:val="32"/>
          <w:lang w:val="zh-CN"/>
        </w:rPr>
      </w:pPr>
      <w:bookmarkStart w:id="62" w:name="_Toc13884_WPSOffice_Level2"/>
      <w:r>
        <w:rPr>
          <w:rFonts w:hint="default" w:ascii="黑体" w:hAnsi="黑体" w:eastAsia="黑体"/>
          <w:b/>
          <w:color w:val="auto"/>
          <w:kern w:val="2"/>
          <w:sz w:val="32"/>
          <w:lang w:val="zh-CN"/>
        </w:rPr>
        <w:t>“</w:t>
      </w:r>
      <w:r>
        <w:rPr>
          <w:rFonts w:hint="eastAsia" w:ascii="黑体" w:hAnsi="黑体" w:eastAsia="黑体"/>
          <w:color w:val="auto"/>
          <w:kern w:val="2"/>
          <w:sz w:val="32"/>
          <w:lang w:val="zh-CN"/>
        </w:rPr>
        <w:t>三公</w:t>
      </w:r>
      <w:r>
        <w:rPr>
          <w:rFonts w:hint="default" w:ascii="黑体" w:hAnsi="黑体" w:eastAsia="黑体"/>
          <w:color w:val="auto"/>
          <w:kern w:val="2"/>
          <w:sz w:val="32"/>
          <w:lang w:val="zh-CN"/>
        </w:rPr>
        <w:t>”</w:t>
      </w:r>
      <w:r>
        <w:rPr>
          <w:rFonts w:hint="eastAsia" w:ascii="黑体" w:hAnsi="黑体" w:eastAsia="黑体"/>
          <w:color w:val="auto"/>
          <w:kern w:val="2"/>
          <w:sz w:val="32"/>
          <w:lang w:val="zh-CN"/>
        </w:rPr>
        <w:t>经费财政拨款支出决算情况说明</w:t>
      </w:r>
      <w:bookmarkEnd w:id="62"/>
    </w:p>
    <w:p w14:paraId="53C7043C">
      <w:pPr>
        <w:numPr>
          <w:ilvl w:val="0"/>
          <w:numId w:val="4"/>
        </w:numPr>
        <w:spacing w:beforeLines="0" w:afterLines="0" w:line="576" w:lineRule="exact"/>
        <w:ind w:firstLine="321" w:firstLineChars="100"/>
        <w:jc w:val="both"/>
        <w:rPr>
          <w:rFonts w:hint="eastAsia" w:ascii="仿宋_GB2312" w:hAnsi="仿宋_GB2312" w:eastAsia="仿宋_GB2312"/>
          <w:b/>
          <w:color w:val="000000"/>
          <w:kern w:val="2"/>
          <w:sz w:val="32"/>
          <w:lang w:val="zh-CN"/>
        </w:rPr>
      </w:pP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三公</w:t>
      </w: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经费财政拨款支出决算总体情况说明</w:t>
      </w:r>
    </w:p>
    <w:p w14:paraId="5F5FEA21">
      <w:pPr>
        <w:numPr>
          <w:ilvl w:val="0"/>
          <w:numId w:val="0"/>
        </w:numPr>
        <w:spacing w:beforeLines="0" w:afterLines="0" w:line="576" w:lineRule="exact"/>
        <w:ind w:firstLine="640" w:firstLineChars="20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三公</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经费财政拨款支出决算为4.98万元，完成预算100%；较上年增加4.3万元，增长632.4%。决算数大于预算数的主要原因是</w:t>
      </w:r>
      <w:r>
        <w:rPr>
          <w:rFonts w:hint="eastAsia" w:ascii="仿宋_GB2312" w:hAnsi="仿宋_GB2312" w:eastAsia="仿宋_GB2312"/>
          <w:color w:val="000000" w:themeColor="text1"/>
          <w:kern w:val="2"/>
          <w:sz w:val="32"/>
          <w:lang w:val="zh-CN"/>
          <w14:textFill>
            <w14:solidFill>
              <w14:schemeClr w14:val="tx1"/>
            </w14:solidFill>
          </w14:textFill>
        </w:rPr>
        <w:t>我县承办了省运会气排球项目</w:t>
      </w:r>
      <w:r>
        <w:rPr>
          <w:rFonts w:hint="eastAsia" w:ascii="仿宋_GB2312" w:hAnsi="仿宋_GB2312" w:eastAsia="仿宋_GB2312"/>
          <w:color w:val="000000"/>
          <w:kern w:val="2"/>
          <w:sz w:val="32"/>
          <w:lang w:val="zh-CN"/>
        </w:rPr>
        <w:t>。</w:t>
      </w:r>
    </w:p>
    <w:p w14:paraId="123A39F7">
      <w:pPr>
        <w:numPr>
          <w:ilvl w:val="0"/>
          <w:numId w:val="4"/>
        </w:numPr>
        <w:spacing w:beforeLines="0" w:afterLines="0" w:line="576" w:lineRule="exact"/>
        <w:ind w:left="0" w:leftChars="0" w:firstLine="321" w:firstLineChars="100"/>
        <w:jc w:val="both"/>
        <w:rPr>
          <w:rFonts w:hint="eastAsia" w:ascii="仿宋_GB2312" w:hAnsi="仿宋_GB2312" w:eastAsia="仿宋_GB2312"/>
          <w:b/>
          <w:color w:val="000000"/>
          <w:kern w:val="2"/>
          <w:sz w:val="32"/>
          <w:lang w:val="zh-CN"/>
        </w:rPr>
      </w:pP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三公</w:t>
      </w:r>
      <w:r>
        <w:rPr>
          <w:rFonts w:hint="default" w:ascii="仿宋_GB2312" w:hAnsi="仿宋_GB2312" w:eastAsia="仿宋_GB2312"/>
          <w:b/>
          <w:color w:val="000000"/>
          <w:kern w:val="2"/>
          <w:sz w:val="32"/>
          <w:lang w:val="zh-CN"/>
        </w:rPr>
        <w:t>”</w:t>
      </w:r>
      <w:r>
        <w:rPr>
          <w:rFonts w:hint="eastAsia" w:ascii="仿宋_GB2312" w:hAnsi="仿宋_GB2312" w:eastAsia="仿宋_GB2312"/>
          <w:b/>
          <w:color w:val="000000"/>
          <w:kern w:val="2"/>
          <w:sz w:val="32"/>
          <w:lang w:val="zh-CN"/>
        </w:rPr>
        <w:t>经费财政拨款支出决算具体情况说明</w:t>
      </w:r>
    </w:p>
    <w:p w14:paraId="229F4670">
      <w:pPr>
        <w:numPr>
          <w:ilvl w:val="0"/>
          <w:numId w:val="0"/>
        </w:numPr>
        <w:spacing w:beforeLines="0" w:afterLines="0" w:line="576" w:lineRule="exact"/>
        <w:ind w:leftChars="100" w:firstLine="640" w:firstLineChars="20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三公</w:t>
      </w:r>
      <w:r>
        <w:rPr>
          <w:rFonts w:hint="default" w:ascii="仿宋_GB2312" w:hAnsi="仿宋_GB2312" w:eastAsia="仿宋_GB2312"/>
          <w:color w:val="000000"/>
          <w:kern w:val="2"/>
          <w:sz w:val="32"/>
          <w:lang w:val="zh-CN"/>
        </w:rPr>
        <w:t>”</w:t>
      </w:r>
      <w:r>
        <w:rPr>
          <w:rFonts w:hint="eastAsia" w:ascii="仿宋_GB2312" w:hAnsi="仿宋_GB2312" w:eastAsia="仿宋_GB2312"/>
          <w:color w:val="000000"/>
          <w:kern w:val="2"/>
          <w:sz w:val="32"/>
          <w:lang w:val="zh-CN"/>
        </w:rPr>
        <w:t>经费财政拨款支出决算中，因公出国（境）费支出决算0万元，占0%；公务用车购置及运行维护费支出决算0万元，占0%；公务接待费支出决算4.98万元，占100%。具体情况如下：</w:t>
      </w:r>
    </w:p>
    <w:p w14:paraId="18A0255A">
      <w:pPr>
        <w:spacing w:beforeLines="0" w:afterLines="0" w:line="600" w:lineRule="exact"/>
        <w:ind w:firstLine="640"/>
        <w:jc w:val="both"/>
        <w:rPr>
          <w:rFonts w:hint="eastAsia" w:ascii="仿宋" w:hAnsi="仿宋" w:eastAsia="仿宋"/>
          <w:color w:val="auto"/>
          <w:kern w:val="2"/>
          <w:sz w:val="32"/>
          <w:lang w:val="en-US"/>
        </w:rPr>
      </w:pPr>
      <w:r>
        <w:rPr>
          <w:rFonts w:hint="eastAsia" w:eastAsia="仿宋"/>
          <w:lang w:val="en-US" w:eastAsia="zh-CN"/>
        </w:rPr>
        <w:drawing>
          <wp:anchor distT="0" distB="0" distL="114300" distR="114300" simplePos="0" relativeHeight="251664384" behindDoc="0" locked="0" layoutInCell="1" allowOverlap="1">
            <wp:simplePos x="0" y="0"/>
            <wp:positionH relativeFrom="column">
              <wp:posOffset>728980</wp:posOffset>
            </wp:positionH>
            <wp:positionV relativeFrom="paragraph">
              <wp:posOffset>255905</wp:posOffset>
            </wp:positionV>
            <wp:extent cx="4074795" cy="1879600"/>
            <wp:effectExtent l="4445" t="4445" r="16510" b="2095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5B0480E5">
      <w:pPr>
        <w:bidi w:val="0"/>
        <w:rPr>
          <w:rFonts w:hint="eastAsia" w:ascii="Times New Roman" w:hAnsi="Times New Roman" w:eastAsia="宋体" w:cs="Times New Roman"/>
          <w:sz w:val="24"/>
          <w:lang w:val="en-US" w:eastAsia="zh-CN"/>
        </w:rPr>
      </w:pPr>
    </w:p>
    <w:p w14:paraId="3B25809A">
      <w:pPr>
        <w:tabs>
          <w:tab w:val="left" w:pos="2676"/>
        </w:tabs>
        <w:bidi w:val="0"/>
        <w:jc w:val="left"/>
        <w:rPr>
          <w:rFonts w:hint="eastAsia"/>
          <w:lang w:val="en-US" w:eastAsia="zh-CN"/>
        </w:rPr>
      </w:pPr>
    </w:p>
    <w:p w14:paraId="1AFCDAC4">
      <w:pPr>
        <w:keepNext/>
        <w:keepLines/>
        <w:spacing w:beforeLines="0" w:afterLines="0" w:line="576" w:lineRule="exact"/>
        <w:ind w:firstLine="321" w:firstLineChars="100"/>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1.因公出国（境）经费</w:t>
      </w:r>
      <w:r>
        <w:rPr>
          <w:rFonts w:hint="eastAsia" w:ascii="仿宋_GB2312" w:hAnsi="仿宋_GB2312" w:eastAsia="仿宋_GB2312"/>
          <w:color w:val="000000"/>
          <w:kern w:val="2"/>
          <w:sz w:val="32"/>
          <w:lang w:val="zh-CN"/>
        </w:rPr>
        <w:t>支出0万元，完成预算0%。全年安排因公出国（境）团组0个，出国（境）0人。因公出国（境）支出决算比2021年增加0万元，增长0%。</w:t>
      </w:r>
    </w:p>
    <w:p w14:paraId="7965BBEF">
      <w:pPr>
        <w:keepNext/>
        <w:keepLines/>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2.公务用车购置及运行维护费</w:t>
      </w:r>
      <w:r>
        <w:rPr>
          <w:rFonts w:hint="eastAsia" w:ascii="仿宋_GB2312" w:hAnsi="仿宋_GB2312" w:eastAsia="仿宋_GB2312"/>
          <w:color w:val="000000"/>
          <w:kern w:val="2"/>
          <w:sz w:val="32"/>
          <w:lang w:val="zh-CN"/>
        </w:rPr>
        <w:t>支出0万元，完成预算0%。公务用车购置及运行维护费支出决算比2021年增加/减少0万元，增长0%。</w:t>
      </w:r>
    </w:p>
    <w:p w14:paraId="26EFC07B">
      <w:pPr>
        <w:keepNext/>
        <w:keepLines/>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其中：</w:t>
      </w:r>
      <w:r>
        <w:rPr>
          <w:rFonts w:hint="eastAsia" w:ascii="仿宋_GB2312" w:hAnsi="仿宋_GB2312" w:eastAsia="仿宋_GB2312"/>
          <w:b/>
          <w:color w:val="000000"/>
          <w:kern w:val="2"/>
          <w:sz w:val="32"/>
          <w:lang w:val="zh-CN"/>
        </w:rPr>
        <w:t>公务用车购置费</w:t>
      </w:r>
      <w:r>
        <w:rPr>
          <w:rFonts w:hint="eastAsia" w:ascii="仿宋_GB2312" w:hAnsi="仿宋_GB2312" w:eastAsia="仿宋_GB2312"/>
          <w:color w:val="000000"/>
          <w:kern w:val="2"/>
          <w:sz w:val="32"/>
          <w:lang w:val="zh-CN"/>
        </w:rPr>
        <w:t>支出0万元。截至2022年12月底，本部门共有公务用车0辆。</w:t>
      </w:r>
    </w:p>
    <w:p w14:paraId="17177A78">
      <w:pPr>
        <w:keepNext/>
        <w:keepLines/>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公务用车运行维护费</w:t>
      </w:r>
      <w:r>
        <w:rPr>
          <w:rFonts w:hint="eastAsia" w:ascii="仿宋_GB2312" w:hAnsi="仿宋_GB2312" w:eastAsia="仿宋_GB2312"/>
          <w:color w:val="000000"/>
          <w:kern w:val="2"/>
          <w:sz w:val="32"/>
          <w:lang w:val="zh-CN"/>
        </w:rPr>
        <w:t>支出0万元。。</w:t>
      </w:r>
    </w:p>
    <w:p w14:paraId="17338F3C">
      <w:pPr>
        <w:keepNext/>
        <w:keepLines/>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3.公务接待费</w:t>
      </w:r>
      <w:r>
        <w:rPr>
          <w:rFonts w:hint="eastAsia" w:ascii="仿宋_GB2312" w:hAnsi="仿宋_GB2312" w:eastAsia="仿宋_GB2312"/>
          <w:color w:val="000000"/>
          <w:kern w:val="2"/>
          <w:sz w:val="32"/>
          <w:lang w:val="zh-CN"/>
        </w:rPr>
        <w:t>支出4.98万元，完成预算100%。公务接待费支出决算比2021年增加4.3万元，增长632.4%。主要原因是</w:t>
      </w:r>
      <w:r>
        <w:rPr>
          <w:rFonts w:hint="eastAsia" w:ascii="仿宋_GB2312" w:hAnsi="仿宋_GB2312" w:eastAsia="仿宋_GB2312"/>
          <w:color w:val="000000" w:themeColor="text1"/>
          <w:kern w:val="2"/>
          <w:sz w:val="32"/>
          <w:lang w:val="en-US" w:eastAsia="zh-CN"/>
          <w14:textFill>
            <w14:solidFill>
              <w14:schemeClr w14:val="tx1"/>
            </w14:solidFill>
          </w14:textFill>
        </w:rPr>
        <w:t>2022年我县承办了省运会气排球项目</w:t>
      </w:r>
      <w:r>
        <w:rPr>
          <w:rFonts w:hint="eastAsia" w:ascii="仿宋_GB2312" w:hAnsi="仿宋_GB2312" w:eastAsia="仿宋_GB2312"/>
          <w:color w:val="000000" w:themeColor="text1"/>
          <w:kern w:val="2"/>
          <w:sz w:val="32"/>
          <w:lang w:val="zh-CN"/>
          <w14:textFill>
            <w14:solidFill>
              <w14:schemeClr w14:val="tx1"/>
            </w14:solidFill>
          </w14:textFill>
        </w:rPr>
        <w:t>。</w:t>
      </w:r>
    </w:p>
    <w:p w14:paraId="3596D33F">
      <w:pPr>
        <w:keepNext/>
        <w:keepLines/>
        <w:spacing w:beforeLines="0" w:afterLines="0" w:line="576" w:lineRule="exact"/>
        <w:ind w:firstLine="643"/>
        <w:jc w:val="both"/>
        <w:rPr>
          <w:rFonts w:hint="eastAsia" w:ascii="仿宋_GB2312" w:hAnsi="仿宋_GB2312" w:eastAsia="仿宋_GB2312"/>
          <w:color w:val="000000"/>
          <w:kern w:val="2"/>
          <w:sz w:val="32"/>
          <w:szCs w:val="22"/>
          <w:highlight w:val="white"/>
          <w:lang w:val="en-US" w:eastAsia="zh-CN"/>
        </w:rPr>
      </w:pPr>
      <w:r>
        <w:rPr>
          <w:rFonts w:hint="eastAsia" w:ascii="仿宋_GB2312" w:hAnsi="仿宋_GB2312" w:eastAsia="仿宋_GB2312"/>
          <w:b/>
          <w:color w:val="000000"/>
          <w:kern w:val="2"/>
          <w:sz w:val="32"/>
          <w:lang w:val="zh-CN"/>
        </w:rPr>
        <w:t>国内公务接待</w:t>
      </w:r>
      <w:r>
        <w:rPr>
          <w:rFonts w:hint="eastAsia" w:ascii="仿宋_GB2312" w:hAnsi="仿宋_GB2312" w:eastAsia="仿宋_GB2312"/>
          <w:color w:val="000000"/>
          <w:kern w:val="2"/>
          <w:sz w:val="32"/>
          <w:lang w:val="zh-CN"/>
        </w:rPr>
        <w:t>支出4.98万元。主要用于</w:t>
      </w:r>
      <w:r>
        <w:rPr>
          <w:rFonts w:hint="eastAsia" w:ascii="仿宋_GB2312" w:hAnsi="仿宋_GB2312" w:eastAsia="仿宋_GB2312"/>
          <w:color w:val="000000" w:themeColor="text1"/>
          <w:kern w:val="2"/>
          <w:sz w:val="32"/>
          <w:lang w:val="en-US" w:eastAsia="zh-CN"/>
          <w14:textFill>
            <w14:solidFill>
              <w14:schemeClr w14:val="tx1"/>
            </w14:solidFill>
          </w14:textFill>
        </w:rPr>
        <w:t>省运会气排球项目开展费用</w:t>
      </w:r>
      <w:r>
        <w:rPr>
          <w:rFonts w:hint="eastAsia" w:ascii="仿宋_GB2312" w:hAnsi="仿宋_GB2312" w:eastAsia="仿宋_GB2312"/>
          <w:color w:val="000000"/>
          <w:kern w:val="2"/>
          <w:sz w:val="32"/>
          <w:highlight w:val="white"/>
          <w:lang w:val="en-US"/>
        </w:rPr>
        <w:t>（执行公务、开展业务活动开支的交通费、住宿费、用餐费等)。</w:t>
      </w:r>
      <w:r>
        <w:rPr>
          <w:rFonts w:hint="eastAsia" w:ascii="仿宋_GB2312" w:hAnsi="仿宋_GB2312" w:eastAsia="仿宋_GB2312"/>
          <w:color w:val="000000"/>
          <w:kern w:val="2"/>
          <w:sz w:val="32"/>
          <w:lang w:val="zh-CN"/>
        </w:rPr>
        <w:t>国内公务接待51批次，511人次，共计支出4.98万元，具体内容包</w:t>
      </w:r>
      <w:r>
        <w:rPr>
          <w:rFonts w:hint="eastAsia" w:ascii="仿宋_GB2312" w:hAnsi="仿宋_GB2312" w:eastAsia="仿宋_GB2312"/>
          <w:color w:val="000000"/>
          <w:kern w:val="2"/>
          <w:sz w:val="32"/>
          <w:szCs w:val="22"/>
          <w:highlight w:val="white"/>
          <w:lang w:val="zh-CN"/>
        </w:rPr>
        <w:t>括</w:t>
      </w:r>
      <w:r>
        <w:rPr>
          <w:rFonts w:hint="eastAsia" w:ascii="仿宋_GB2312" w:hAnsi="仿宋_GB2312" w:eastAsia="仿宋_GB2312"/>
          <w:color w:val="000000"/>
          <w:kern w:val="2"/>
          <w:sz w:val="32"/>
          <w:szCs w:val="22"/>
          <w:highlight w:val="white"/>
          <w:lang w:val="en-US" w:eastAsia="zh-CN"/>
        </w:rPr>
        <w:t>1、</w:t>
      </w:r>
      <w:r>
        <w:rPr>
          <w:rFonts w:hint="eastAsia" w:ascii="仿宋_GB2312" w:hAnsi="仿宋_GB2312" w:eastAsia="仿宋_GB2312"/>
          <w:color w:val="000000"/>
          <w:kern w:val="2"/>
          <w:sz w:val="32"/>
          <w:szCs w:val="22"/>
          <w:highlight w:val="white"/>
          <w:lang w:val="en-US"/>
        </w:rPr>
        <w:t>摆渡车司机及调度人员餐费</w:t>
      </w:r>
      <w:r>
        <w:rPr>
          <w:rFonts w:hint="eastAsia" w:ascii="仿宋_GB2312" w:hAnsi="仿宋_GB2312" w:eastAsia="仿宋_GB2312"/>
          <w:color w:val="000000"/>
          <w:kern w:val="2"/>
          <w:sz w:val="32"/>
          <w:szCs w:val="22"/>
          <w:highlight w:val="white"/>
          <w:lang w:val="en-US" w:eastAsia="zh-CN"/>
        </w:rPr>
        <w:t>0.47万元。2、</w:t>
      </w:r>
      <w:r>
        <w:rPr>
          <w:rFonts w:hint="eastAsia" w:ascii="仿宋_GB2312" w:hAnsi="仿宋_GB2312" w:eastAsia="仿宋_GB2312"/>
          <w:color w:val="000000"/>
          <w:kern w:val="2"/>
          <w:sz w:val="32"/>
          <w:szCs w:val="22"/>
          <w:highlight w:val="white"/>
          <w:lang w:val="en-US"/>
        </w:rPr>
        <w:t>交警队参与省运会气排球</w:t>
      </w:r>
      <w:r>
        <w:rPr>
          <w:rFonts w:hint="eastAsia" w:ascii="仿宋_GB2312" w:hAnsi="仿宋_GB2312" w:eastAsia="仿宋_GB2312"/>
          <w:color w:val="000000"/>
          <w:kern w:val="2"/>
          <w:sz w:val="32"/>
          <w:szCs w:val="22"/>
          <w:highlight w:val="white"/>
          <w:lang w:val="en-US" w:eastAsia="zh-CN"/>
        </w:rPr>
        <w:t>0.32万元。3</w:t>
      </w:r>
      <w:r>
        <w:rPr>
          <w:rFonts w:hint="eastAsia" w:ascii="仿宋_GB2312" w:hAnsi="仿宋_GB2312" w:eastAsia="仿宋_GB2312"/>
          <w:color w:val="000000"/>
          <w:kern w:val="2"/>
          <w:sz w:val="32"/>
          <w:szCs w:val="22"/>
          <w:highlight w:val="white"/>
          <w:lang w:val="en-US"/>
        </w:rPr>
        <w:t>省运会组委会--工作餐</w:t>
      </w:r>
      <w:r>
        <w:rPr>
          <w:rFonts w:hint="eastAsia" w:ascii="仿宋_GB2312" w:hAnsi="仿宋_GB2312" w:eastAsia="仿宋_GB2312"/>
          <w:color w:val="000000"/>
          <w:kern w:val="2"/>
          <w:sz w:val="32"/>
          <w:szCs w:val="22"/>
          <w:highlight w:val="white"/>
          <w:lang w:val="en-US" w:eastAsia="zh-CN"/>
        </w:rPr>
        <w:t>0.34万元。4、</w:t>
      </w:r>
      <w:r>
        <w:rPr>
          <w:rFonts w:hint="eastAsia" w:ascii="仿宋_GB2312" w:hAnsi="仿宋_GB2312" w:eastAsia="仿宋_GB2312"/>
          <w:color w:val="000000"/>
          <w:kern w:val="2"/>
          <w:sz w:val="32"/>
          <w:szCs w:val="22"/>
          <w:highlight w:val="white"/>
          <w:lang w:val="en-US"/>
        </w:rPr>
        <w:t>省运会组委会--接待费</w:t>
      </w:r>
      <w:r>
        <w:rPr>
          <w:rFonts w:hint="eastAsia" w:ascii="仿宋_GB2312" w:hAnsi="仿宋_GB2312" w:eastAsia="仿宋_GB2312"/>
          <w:color w:val="000000"/>
          <w:kern w:val="2"/>
          <w:sz w:val="32"/>
          <w:szCs w:val="22"/>
          <w:highlight w:val="white"/>
          <w:lang w:val="en-US" w:eastAsia="zh-CN"/>
        </w:rPr>
        <w:t>0.07万元等。</w:t>
      </w:r>
    </w:p>
    <w:p w14:paraId="162BC5AD">
      <w:pPr>
        <w:keepNext/>
        <w:keepLines/>
        <w:spacing w:beforeLines="0" w:afterLines="0" w:line="576" w:lineRule="exact"/>
        <w:ind w:firstLine="643"/>
        <w:jc w:val="both"/>
        <w:rPr>
          <w:rFonts w:hint="eastAsia" w:ascii="仿宋_GB2312" w:hAnsi="仿宋_GB2312" w:eastAsia="仿宋_GB2312"/>
          <w:color w:val="000000"/>
          <w:kern w:val="2"/>
          <w:sz w:val="32"/>
          <w:lang w:val="en-US"/>
        </w:rPr>
      </w:pPr>
      <w:r>
        <w:rPr>
          <w:rFonts w:hint="eastAsia" w:ascii="仿宋_GB2312" w:hAnsi="仿宋_GB2312" w:eastAsia="仿宋_GB2312"/>
          <w:b/>
          <w:color w:val="000000"/>
          <w:kern w:val="2"/>
          <w:sz w:val="32"/>
          <w:lang w:val="zh-CN"/>
        </w:rPr>
        <w:t>外事接待</w:t>
      </w:r>
      <w:r>
        <w:rPr>
          <w:rFonts w:hint="eastAsia" w:ascii="仿宋_GB2312" w:hAnsi="仿宋_GB2312" w:eastAsia="仿宋_GB2312"/>
          <w:color w:val="000000"/>
          <w:kern w:val="2"/>
          <w:sz w:val="32"/>
          <w:lang w:val="zh-CN"/>
        </w:rPr>
        <w:t>支出0万元。外事接待0批次，0人，共计支出0万元。</w:t>
      </w:r>
    </w:p>
    <w:p w14:paraId="0E2F8619">
      <w:pPr>
        <w:keepNext/>
        <w:keepLines/>
        <w:spacing w:beforeLines="0" w:afterLines="0" w:line="576" w:lineRule="exact"/>
        <w:ind w:firstLine="640"/>
        <w:jc w:val="both"/>
        <w:rPr>
          <w:rFonts w:hint="eastAsia" w:ascii="黑体" w:hAnsi="黑体" w:eastAsia="黑体"/>
          <w:b/>
          <w:color w:val="auto"/>
          <w:kern w:val="2"/>
          <w:sz w:val="32"/>
          <w:lang w:val="zh-CN"/>
        </w:rPr>
      </w:pPr>
      <w:bookmarkStart w:id="63" w:name="_Toc17449_WPSOffice_Level2"/>
      <w:r>
        <w:rPr>
          <w:rFonts w:hint="eastAsia" w:ascii="黑体" w:hAnsi="黑体" w:eastAsia="黑体"/>
          <w:color w:val="000000"/>
          <w:kern w:val="2"/>
          <w:sz w:val="32"/>
          <w:lang w:val="zh-CN"/>
        </w:rPr>
        <w:t>八、</w:t>
      </w:r>
      <w:r>
        <w:rPr>
          <w:rFonts w:hint="eastAsia" w:ascii="黑体" w:hAnsi="黑体" w:eastAsia="黑体"/>
          <w:color w:val="auto"/>
          <w:kern w:val="2"/>
          <w:sz w:val="32"/>
          <w:lang w:val="zh-CN"/>
        </w:rPr>
        <w:t>政府性基金预算支出决算情况说明</w:t>
      </w:r>
      <w:bookmarkEnd w:id="63"/>
    </w:p>
    <w:p w14:paraId="2FAD8B33">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2022年政府性基金预算拨款支出86.46万元。</w:t>
      </w:r>
    </w:p>
    <w:p w14:paraId="2E93FE23">
      <w:pPr>
        <w:keepNext/>
        <w:keepLines/>
        <w:spacing w:beforeLines="0" w:afterLines="0" w:line="576" w:lineRule="exact"/>
        <w:ind w:firstLine="640"/>
        <w:jc w:val="both"/>
        <w:rPr>
          <w:rFonts w:hint="eastAsia" w:ascii="黑体" w:hAnsi="黑体" w:eastAsia="黑体"/>
          <w:color w:val="auto"/>
          <w:kern w:val="2"/>
          <w:sz w:val="32"/>
          <w:lang w:val="zh-CN"/>
        </w:rPr>
      </w:pPr>
      <w:bookmarkStart w:id="64" w:name="_Toc6192_WPSOffice_Level2"/>
      <w:r>
        <w:rPr>
          <w:rFonts w:hint="eastAsia" w:ascii="黑体" w:hAnsi="黑体" w:eastAsia="黑体"/>
          <w:color w:val="auto"/>
          <w:kern w:val="2"/>
          <w:sz w:val="32"/>
          <w:lang w:val="zh-CN"/>
        </w:rPr>
        <w:t>九、国有资本经营预算支出决算情况说明</w:t>
      </w:r>
      <w:bookmarkEnd w:id="64"/>
    </w:p>
    <w:p w14:paraId="0AE90C84">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2022年国有资本经营预算拨款支出0万元。</w:t>
      </w:r>
    </w:p>
    <w:p w14:paraId="32283474">
      <w:pPr>
        <w:keepNext/>
        <w:keepLines/>
        <w:spacing w:beforeLines="0" w:afterLines="0" w:line="576" w:lineRule="exact"/>
        <w:ind w:firstLine="640"/>
        <w:jc w:val="both"/>
        <w:rPr>
          <w:rFonts w:hint="eastAsia" w:ascii="黑体" w:hAnsi="黑体" w:eastAsia="黑体"/>
          <w:b/>
          <w:color w:val="auto"/>
          <w:kern w:val="2"/>
          <w:sz w:val="32"/>
          <w:lang w:val="zh-CN"/>
        </w:rPr>
      </w:pPr>
      <w:bookmarkStart w:id="65" w:name="_Toc9184_WPSOffice_Level2"/>
      <w:r>
        <w:rPr>
          <w:rFonts w:hint="eastAsia" w:ascii="黑体" w:hAnsi="黑体" w:eastAsia="黑体"/>
          <w:color w:val="000000"/>
          <w:kern w:val="2"/>
          <w:sz w:val="32"/>
          <w:lang w:val="zh-CN"/>
        </w:rPr>
        <w:t>十</w:t>
      </w:r>
      <w:r>
        <w:rPr>
          <w:rFonts w:hint="eastAsia" w:ascii="黑体" w:hAnsi="黑体" w:eastAsia="黑体"/>
          <w:b/>
          <w:color w:val="auto"/>
          <w:kern w:val="2"/>
          <w:sz w:val="32"/>
          <w:lang w:val="zh-CN"/>
        </w:rPr>
        <w:t>、</w:t>
      </w:r>
      <w:r>
        <w:rPr>
          <w:rFonts w:hint="eastAsia" w:ascii="黑体" w:hAnsi="黑体" w:eastAsia="黑体"/>
          <w:color w:val="auto"/>
          <w:kern w:val="2"/>
          <w:sz w:val="32"/>
          <w:lang w:val="zh-CN"/>
        </w:rPr>
        <w:t>其他重要事项的情况说明</w:t>
      </w:r>
      <w:bookmarkEnd w:id="65"/>
    </w:p>
    <w:p w14:paraId="4872868B">
      <w:pPr>
        <w:keepNext/>
        <w:keepLines/>
        <w:spacing w:beforeLines="0" w:afterLines="0" w:line="576" w:lineRule="exact"/>
        <w:ind w:firstLine="643"/>
        <w:jc w:val="both"/>
        <w:rPr>
          <w:rFonts w:hint="eastAsia" w:ascii="仿宋_GB2312" w:hAnsi="仿宋_GB2312" w:eastAsia="仿宋_GB2312"/>
          <w:color w:val="000000"/>
          <w:kern w:val="2"/>
          <w:sz w:val="32"/>
          <w:lang w:val="zh-CN"/>
        </w:rPr>
      </w:pPr>
      <w:r>
        <w:rPr>
          <w:rFonts w:hint="eastAsia" w:ascii="仿宋_GB2312" w:hAnsi="仿宋_GB2312" w:eastAsia="仿宋_GB2312"/>
          <w:b/>
          <w:color w:val="000000"/>
          <w:kern w:val="2"/>
          <w:sz w:val="32"/>
          <w:lang w:val="zh-CN"/>
        </w:rPr>
        <w:t>（一）机关运行经费支出情况</w:t>
      </w:r>
    </w:p>
    <w:p w14:paraId="15C59286">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2022年，井研县文化体育和旅游局（本级）机关运行经费支出28.87万元，比2021年减少18.31万元，下降38.8%。主要原因是压缩办公开支。</w:t>
      </w:r>
    </w:p>
    <w:p w14:paraId="6335C737">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（二）政府采购支出情况</w:t>
      </w:r>
    </w:p>
    <w:p w14:paraId="3231C4B1">
      <w:pPr>
        <w:spacing w:beforeLines="0" w:afterLines="0" w:line="576" w:lineRule="exact"/>
        <w:ind w:firstLine="640"/>
        <w:jc w:val="both"/>
        <w:rPr>
          <w:rFonts w:hint="eastAsia" w:ascii="仿宋_GB2312" w:hAnsi="仿宋_GB2312" w:eastAsia="仿宋_GB2312"/>
          <w:color w:val="000000"/>
          <w:kern w:val="2"/>
          <w:sz w:val="32"/>
          <w:lang w:val="zh-CN"/>
        </w:rPr>
      </w:pPr>
      <w:r>
        <w:rPr>
          <w:rFonts w:hint="eastAsia" w:ascii="仿宋_GB2312" w:hAnsi="仿宋_GB2312" w:eastAsia="仿宋_GB2312"/>
          <w:color w:val="000000"/>
          <w:kern w:val="2"/>
          <w:sz w:val="32"/>
          <w:lang w:val="zh-CN"/>
        </w:rPr>
        <w:t>2022年，井研县文化体育和旅游局（本级）政府采购支出总额302.07万元，其中：政府采购货物支出0万元、政府采购工程支出302.07万元、政府采购服务支出0万元。主要用于</w:t>
      </w:r>
      <w:r>
        <w:rPr>
          <w:rFonts w:hint="eastAsia" w:ascii="仿宋_GB2312" w:hAnsi="仿宋_GB2312" w:eastAsia="仿宋_GB2312"/>
          <w:color w:val="000000"/>
          <w:kern w:val="2"/>
          <w:sz w:val="32"/>
          <w:highlight w:val="white"/>
          <w:lang w:val="zh-CN"/>
        </w:rPr>
        <w:t>村村通项目、广播电视户户通运行维护，雷氏名居项目等。</w:t>
      </w:r>
      <w:r>
        <w:rPr>
          <w:rFonts w:hint="eastAsia" w:ascii="仿宋_GB2312" w:hAnsi="仿宋_GB2312" w:eastAsia="仿宋_GB2312"/>
          <w:color w:val="000000"/>
          <w:kern w:val="2"/>
          <w:sz w:val="32"/>
          <w:lang w:val="zh-CN"/>
        </w:rPr>
        <w:t>授予中小企业合同金额0万元，占政府采购支出总额的0%，其中：授予小微企业合同金额0万元，</w:t>
      </w:r>
      <w:r>
        <w:rPr>
          <w:rFonts w:hint="eastAsia" w:ascii="仿宋_GB2312" w:hAnsi="仿宋_GB2312" w:eastAsia="仿宋_GB2312"/>
          <w:color w:val="auto"/>
          <w:kern w:val="2"/>
          <w:sz w:val="32"/>
          <w:lang w:val="en-US"/>
        </w:rPr>
        <w:t>占政府采购支出总额的</w:t>
      </w:r>
      <w:r>
        <w:rPr>
          <w:rFonts w:hint="eastAsia" w:ascii="仿宋_GB2312" w:hAnsi="仿宋_GB2312" w:eastAsia="仿宋_GB2312"/>
          <w:color w:val="000000"/>
          <w:kern w:val="2"/>
          <w:sz w:val="32"/>
          <w:lang w:val="zh-CN"/>
        </w:rPr>
        <w:t>0%。</w:t>
      </w:r>
    </w:p>
    <w:p w14:paraId="50B3CD6D">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（三）国有资产占有使用情况</w:t>
      </w:r>
    </w:p>
    <w:p w14:paraId="72A5753E">
      <w:pPr>
        <w:spacing w:beforeLines="0" w:afterLines="0" w:line="576" w:lineRule="exact"/>
        <w:ind w:firstLine="640"/>
        <w:rPr>
          <w:rFonts w:hint="eastAsia" w:ascii="仿宋" w:hAnsi="仿宋" w:eastAsia="仿宋"/>
          <w:b/>
          <w:color w:val="auto"/>
          <w:kern w:val="2"/>
          <w:sz w:val="32"/>
          <w:lang w:val="en-US"/>
        </w:rPr>
      </w:pPr>
      <w:r>
        <w:rPr>
          <w:rFonts w:hint="eastAsia" w:ascii="仿宋_GB2312" w:hAnsi="仿宋_GB2312" w:eastAsia="仿宋_GB2312"/>
          <w:color w:val="000000"/>
          <w:kern w:val="2"/>
          <w:sz w:val="32"/>
          <w:lang w:val="zh-CN"/>
        </w:rPr>
        <w:t>截至2022年12月31日，井研县文化体育和旅游局（本级）共有车辆4辆，其中：副部（省）级及以上领导用车0辆、主要领导干部用车0辆、机要通信用车0辆、应急保障用车2辆、执法执勤用车0辆、特种专业技术用车2辆、离退休干部用车0辆、其他用车0辆。其中：其他用车主要是用于</w:t>
      </w:r>
      <w:r>
        <w:rPr>
          <w:rFonts w:hint="eastAsia" w:ascii="仿宋_GB2312" w:eastAsia="仿宋_GB2312"/>
          <w:color w:val="auto"/>
          <w:sz w:val="32"/>
          <w:szCs w:val="32"/>
          <w:highlight w:val="none"/>
          <w:lang w:eastAsia="zh-CN"/>
        </w:rPr>
        <w:t>图书馆文化三下乡图书浏览车</w:t>
      </w:r>
      <w:r>
        <w:rPr>
          <w:rFonts w:hint="eastAsia" w:ascii="仿宋_GB2312" w:hAnsi="仿宋_GB2312" w:eastAsia="仿宋_GB2312"/>
          <w:color w:val="000000"/>
          <w:kern w:val="2"/>
          <w:sz w:val="32"/>
          <w:lang w:val="zh-CN"/>
        </w:rPr>
        <w:t>。单价100万元（含）以上设备0台（套)。</w:t>
      </w:r>
    </w:p>
    <w:p w14:paraId="1C8765FF">
      <w:pPr>
        <w:keepNext/>
        <w:keepLines/>
        <w:spacing w:beforeLines="0" w:afterLines="0" w:line="576" w:lineRule="exact"/>
        <w:ind w:firstLine="643"/>
        <w:jc w:val="both"/>
        <w:rPr>
          <w:rFonts w:hint="eastAsia" w:ascii="仿宋_GB2312" w:hAnsi="仿宋_GB2312" w:eastAsia="仿宋_GB2312"/>
          <w:b/>
          <w:color w:val="000000"/>
          <w:kern w:val="2"/>
          <w:sz w:val="32"/>
          <w:lang w:val="zh-CN"/>
        </w:rPr>
      </w:pPr>
      <w:r>
        <w:rPr>
          <w:rFonts w:hint="eastAsia" w:ascii="仿宋_GB2312" w:hAnsi="仿宋_GB2312" w:eastAsia="仿宋_GB2312"/>
          <w:b/>
          <w:color w:val="000000"/>
          <w:kern w:val="2"/>
          <w:sz w:val="32"/>
          <w:lang w:val="zh-CN"/>
        </w:rPr>
        <w:t>（四）预算绩效管理情况。</w:t>
      </w:r>
    </w:p>
    <w:p w14:paraId="318A9223">
      <w:pPr>
        <w:spacing w:beforeLines="0" w:afterLines="0" w:line="576" w:lineRule="exact"/>
        <w:ind w:firstLine="643"/>
        <w:jc w:val="both"/>
        <w:rPr>
          <w:rFonts w:hint="eastAsia" w:ascii="仿宋_GB2312" w:hAnsi="仿宋_GB2312" w:eastAsia="仿宋_GB2312"/>
          <w:color w:val="auto"/>
          <w:kern w:val="2"/>
          <w:sz w:val="32"/>
          <w:lang w:val="en-US"/>
        </w:rPr>
      </w:pPr>
      <w:r>
        <w:rPr>
          <w:rFonts w:hint="eastAsia" w:ascii="仿宋_GB2312" w:hAnsi="仿宋_GB2312" w:eastAsia="仿宋_GB2312"/>
          <w:color w:val="auto"/>
          <w:kern w:val="2"/>
          <w:sz w:val="32"/>
          <w:lang w:val="en-US"/>
        </w:rPr>
        <w:t>根据预算绩效管理要求，本单位在202</w:t>
      </w:r>
      <w:r>
        <w:rPr>
          <w:rFonts w:hint="eastAsia" w:ascii="宋体" w:hAnsi="宋体" w:eastAsia="宋体"/>
          <w:color w:val="auto"/>
          <w:kern w:val="2"/>
          <w:sz w:val="32"/>
          <w:lang w:val="en-US"/>
        </w:rPr>
        <w:t>2</w:t>
      </w:r>
      <w:r>
        <w:rPr>
          <w:rFonts w:hint="eastAsia" w:ascii="仿宋_GB2312" w:hAnsi="仿宋_GB2312" w:eastAsia="仿宋_GB2312"/>
          <w:color w:val="auto"/>
          <w:kern w:val="2"/>
          <w:sz w:val="32"/>
          <w:lang w:val="en-US"/>
        </w:rPr>
        <w:t>年度预算编制阶段，组织对文物单位租金</w:t>
      </w:r>
      <w:r>
        <w:rPr>
          <w:rFonts w:hint="eastAsia" w:ascii="仿宋_GB2312" w:hAnsi="仿宋_GB2312" w:eastAsia="仿宋_GB2312"/>
          <w:color w:val="auto"/>
          <w:kern w:val="2"/>
          <w:sz w:val="32"/>
          <w:lang w:val="en-US" w:eastAsia="zh-CN"/>
        </w:rPr>
        <w:t>、免费开放经费-文化活动、广播电视无线数字化覆盖运行维护、体育赛事、全民健身活动、场馆场地设备实施维修维护</w:t>
      </w:r>
      <w:r>
        <w:rPr>
          <w:rFonts w:hint="eastAsia" w:ascii="仿宋_GB2312" w:hAnsi="仿宋_GB2312" w:eastAsia="仿宋_GB2312"/>
          <w:color w:val="auto"/>
          <w:kern w:val="2"/>
          <w:sz w:val="32"/>
          <w:lang w:val="en-US"/>
        </w:rPr>
        <w:t>等</w:t>
      </w:r>
      <w:r>
        <w:rPr>
          <w:rFonts w:hint="eastAsia" w:ascii="仿宋_GB2312" w:hAnsi="仿宋_GB2312" w:eastAsia="仿宋_GB2312"/>
          <w:color w:val="auto"/>
          <w:kern w:val="2"/>
          <w:sz w:val="32"/>
          <w:lang w:val="en-US" w:eastAsia="zh-CN"/>
        </w:rPr>
        <w:t>52</w:t>
      </w:r>
      <w:r>
        <w:rPr>
          <w:rFonts w:hint="eastAsia" w:ascii="仿宋_GB2312" w:hAnsi="仿宋_GB2312" w:eastAsia="仿宋_GB2312"/>
          <w:color w:val="auto"/>
          <w:kern w:val="2"/>
          <w:sz w:val="32"/>
          <w:lang w:val="en-US"/>
        </w:rPr>
        <w:t>个项目开展了预算事前绩效评估，对</w:t>
      </w:r>
      <w:r>
        <w:rPr>
          <w:rFonts w:hint="eastAsia" w:ascii="仿宋_GB2312" w:hAnsi="仿宋_GB2312" w:eastAsia="仿宋_GB2312"/>
          <w:color w:val="auto"/>
          <w:kern w:val="2"/>
          <w:sz w:val="32"/>
          <w:lang w:val="en-US" w:eastAsia="zh-CN"/>
        </w:rPr>
        <w:t>52</w:t>
      </w:r>
      <w:r>
        <w:rPr>
          <w:rFonts w:hint="eastAsia" w:ascii="仿宋_GB2312" w:hAnsi="仿宋_GB2312" w:eastAsia="仿宋_GB2312"/>
          <w:color w:val="auto"/>
          <w:kern w:val="2"/>
          <w:sz w:val="32"/>
          <w:lang w:val="en-US"/>
        </w:rPr>
        <w:t>个项目编制了绩效目标，预算执行过程中，选取</w:t>
      </w:r>
      <w:r>
        <w:rPr>
          <w:rFonts w:hint="eastAsia" w:ascii="仿宋_GB2312" w:hAnsi="仿宋_GB2312" w:eastAsia="仿宋_GB2312"/>
          <w:color w:val="auto"/>
          <w:kern w:val="2"/>
          <w:sz w:val="32"/>
          <w:lang w:val="en-US" w:eastAsia="zh-CN"/>
        </w:rPr>
        <w:t>52</w:t>
      </w:r>
      <w:r>
        <w:rPr>
          <w:rFonts w:hint="eastAsia" w:ascii="仿宋_GB2312" w:hAnsi="仿宋_GB2312" w:eastAsia="仿宋_GB2312"/>
          <w:color w:val="auto"/>
          <w:kern w:val="2"/>
          <w:sz w:val="32"/>
          <w:lang w:val="en-US"/>
        </w:rPr>
        <w:t>个项目开展绩效监控，组织对</w:t>
      </w:r>
      <w:r>
        <w:rPr>
          <w:rFonts w:hint="eastAsia" w:ascii="仿宋_GB2312" w:hAnsi="仿宋_GB2312" w:eastAsia="仿宋_GB2312"/>
          <w:color w:val="auto"/>
          <w:kern w:val="2"/>
          <w:sz w:val="32"/>
          <w:lang w:val="en-US" w:eastAsia="zh-CN"/>
        </w:rPr>
        <w:t>52</w:t>
      </w:r>
      <w:r>
        <w:rPr>
          <w:rFonts w:hint="eastAsia" w:ascii="仿宋_GB2312" w:hAnsi="仿宋_GB2312" w:eastAsia="仿宋_GB2312"/>
          <w:color w:val="auto"/>
          <w:kern w:val="2"/>
          <w:sz w:val="32"/>
          <w:lang w:val="en-US"/>
        </w:rPr>
        <w:t>个项目开展绩效自评，绩效自评表详见第四部分附件。</w:t>
      </w:r>
    </w:p>
    <w:p w14:paraId="57391ECE">
      <w:pPr>
        <w:pStyle w:val="2"/>
        <w:rPr>
          <w:rFonts w:hint="eastAsia" w:ascii="仿宋_GB2312" w:hAnsi="仿宋_GB2312" w:eastAsia="仿宋_GB2312"/>
          <w:color w:val="auto"/>
          <w:kern w:val="2"/>
          <w:sz w:val="32"/>
          <w:lang w:val="en-US"/>
        </w:rPr>
      </w:pPr>
    </w:p>
    <w:p w14:paraId="444A7D88">
      <w:pPr>
        <w:rPr>
          <w:rFonts w:hint="eastAsia" w:ascii="仿宋_GB2312" w:hAnsi="仿宋_GB2312" w:eastAsia="仿宋_GB2312"/>
          <w:color w:val="auto"/>
          <w:kern w:val="2"/>
          <w:sz w:val="32"/>
          <w:lang w:val="en-US"/>
        </w:rPr>
      </w:pPr>
    </w:p>
    <w:p w14:paraId="01617FE2">
      <w:pPr>
        <w:pStyle w:val="2"/>
        <w:rPr>
          <w:rFonts w:hint="eastAsia" w:ascii="仿宋_GB2312" w:hAnsi="仿宋_GB2312" w:eastAsia="仿宋_GB2312"/>
          <w:color w:val="auto"/>
          <w:kern w:val="2"/>
          <w:sz w:val="32"/>
          <w:lang w:val="en-US"/>
        </w:rPr>
      </w:pPr>
    </w:p>
    <w:p w14:paraId="7D2C7FC4">
      <w:pPr>
        <w:rPr>
          <w:rFonts w:hint="eastAsia" w:ascii="仿宋_GB2312" w:hAnsi="仿宋_GB2312" w:eastAsia="仿宋_GB2312"/>
          <w:color w:val="auto"/>
          <w:kern w:val="2"/>
          <w:sz w:val="32"/>
          <w:lang w:val="en-US"/>
        </w:rPr>
      </w:pPr>
    </w:p>
    <w:p w14:paraId="09DF7B87">
      <w:pPr>
        <w:pStyle w:val="2"/>
        <w:rPr>
          <w:rFonts w:hint="eastAsia" w:ascii="仿宋_GB2312" w:hAnsi="仿宋_GB2312" w:eastAsia="仿宋_GB2312"/>
          <w:color w:val="auto"/>
          <w:kern w:val="2"/>
          <w:sz w:val="32"/>
          <w:lang w:val="en-US"/>
        </w:rPr>
      </w:pPr>
    </w:p>
    <w:p w14:paraId="315F8FD2">
      <w:pPr>
        <w:rPr>
          <w:rFonts w:hint="eastAsia" w:ascii="仿宋_GB2312" w:hAnsi="仿宋_GB2312" w:eastAsia="仿宋_GB2312"/>
          <w:color w:val="auto"/>
          <w:kern w:val="2"/>
          <w:sz w:val="32"/>
          <w:lang w:val="en-US"/>
        </w:rPr>
      </w:pPr>
    </w:p>
    <w:p w14:paraId="6D316CBA">
      <w:pPr>
        <w:pStyle w:val="2"/>
        <w:rPr>
          <w:rFonts w:hint="eastAsia" w:ascii="仿宋_GB2312" w:hAnsi="仿宋_GB2312" w:eastAsia="仿宋_GB2312"/>
          <w:color w:val="auto"/>
          <w:kern w:val="2"/>
          <w:sz w:val="32"/>
          <w:lang w:val="en-US"/>
        </w:rPr>
      </w:pPr>
    </w:p>
    <w:p w14:paraId="7DAC0DFE">
      <w:pPr>
        <w:rPr>
          <w:rFonts w:hint="eastAsia" w:ascii="仿宋_GB2312" w:hAnsi="仿宋_GB2312" w:eastAsia="仿宋_GB2312"/>
          <w:color w:val="auto"/>
          <w:kern w:val="2"/>
          <w:sz w:val="32"/>
          <w:lang w:val="en-US"/>
        </w:rPr>
      </w:pPr>
    </w:p>
    <w:p w14:paraId="0A896661">
      <w:pPr>
        <w:pStyle w:val="2"/>
        <w:rPr>
          <w:rFonts w:hint="eastAsia" w:ascii="仿宋_GB2312" w:hAnsi="仿宋_GB2312" w:eastAsia="仿宋_GB2312"/>
          <w:color w:val="auto"/>
          <w:kern w:val="2"/>
          <w:sz w:val="32"/>
          <w:lang w:val="en-US"/>
        </w:rPr>
      </w:pPr>
    </w:p>
    <w:p w14:paraId="613BB813">
      <w:pPr>
        <w:rPr>
          <w:rFonts w:hint="eastAsia" w:ascii="仿宋_GB2312" w:hAnsi="仿宋_GB2312" w:eastAsia="仿宋_GB2312"/>
          <w:color w:val="auto"/>
          <w:kern w:val="2"/>
          <w:sz w:val="32"/>
          <w:lang w:val="en-US"/>
        </w:rPr>
      </w:pPr>
    </w:p>
    <w:p w14:paraId="0D1E510A">
      <w:pPr>
        <w:pStyle w:val="2"/>
        <w:rPr>
          <w:rFonts w:hint="eastAsia" w:ascii="仿宋_GB2312" w:hAnsi="仿宋_GB2312" w:eastAsia="仿宋_GB2312"/>
          <w:color w:val="auto"/>
          <w:kern w:val="2"/>
          <w:sz w:val="32"/>
          <w:lang w:val="en-US"/>
        </w:rPr>
      </w:pPr>
    </w:p>
    <w:p w14:paraId="4F73A185">
      <w:pPr>
        <w:rPr>
          <w:rFonts w:hint="eastAsia" w:ascii="仿宋_GB2312" w:hAnsi="仿宋_GB2312" w:eastAsia="仿宋_GB2312"/>
          <w:color w:val="auto"/>
          <w:kern w:val="2"/>
          <w:sz w:val="32"/>
          <w:lang w:val="en-US"/>
        </w:rPr>
      </w:pPr>
    </w:p>
    <w:p w14:paraId="27D7840C">
      <w:pPr>
        <w:pStyle w:val="2"/>
        <w:rPr>
          <w:rFonts w:hint="eastAsia" w:ascii="仿宋_GB2312" w:hAnsi="仿宋_GB2312" w:eastAsia="仿宋_GB2312"/>
          <w:color w:val="auto"/>
          <w:kern w:val="2"/>
          <w:sz w:val="32"/>
          <w:lang w:val="en-US"/>
        </w:rPr>
      </w:pPr>
    </w:p>
    <w:p w14:paraId="33E6D80F">
      <w:pPr>
        <w:rPr>
          <w:rFonts w:hint="eastAsia" w:ascii="仿宋_GB2312" w:hAnsi="仿宋_GB2312" w:eastAsia="仿宋_GB2312"/>
          <w:color w:val="auto"/>
          <w:kern w:val="2"/>
          <w:sz w:val="32"/>
          <w:lang w:val="en-US"/>
        </w:rPr>
      </w:pPr>
    </w:p>
    <w:p w14:paraId="0C75AA06">
      <w:pPr>
        <w:pStyle w:val="2"/>
        <w:rPr>
          <w:rFonts w:hint="eastAsia" w:ascii="仿宋_GB2312" w:hAnsi="仿宋_GB2312" w:eastAsia="仿宋_GB2312"/>
          <w:color w:val="auto"/>
          <w:kern w:val="2"/>
          <w:sz w:val="32"/>
          <w:lang w:val="en-US"/>
        </w:rPr>
      </w:pPr>
    </w:p>
    <w:p w14:paraId="790B6310">
      <w:pPr>
        <w:rPr>
          <w:rFonts w:hint="eastAsia" w:ascii="仿宋_GB2312" w:hAnsi="仿宋_GB2312" w:eastAsia="仿宋_GB2312"/>
          <w:color w:val="auto"/>
          <w:kern w:val="2"/>
          <w:sz w:val="32"/>
          <w:lang w:val="en-US"/>
        </w:rPr>
      </w:pPr>
    </w:p>
    <w:p w14:paraId="7B8B5FCB">
      <w:pPr>
        <w:tabs>
          <w:tab w:val="left" w:pos="1270"/>
        </w:tabs>
        <w:spacing w:beforeLines="0" w:afterLines="0" w:line="576" w:lineRule="exact"/>
        <w:jc w:val="both"/>
        <w:rPr>
          <w:rFonts w:hint="eastAsia" w:ascii="仿宋_GB2312" w:hAnsi="仿宋_GB2312" w:eastAsia="仿宋_GB2312"/>
          <w:b/>
          <w:color w:val="000000"/>
          <w:kern w:val="2"/>
          <w:sz w:val="32"/>
          <w:lang w:val="zh-CN"/>
        </w:rPr>
      </w:pPr>
    </w:p>
    <w:p w14:paraId="561EAADE">
      <w:pPr>
        <w:keepNext/>
        <w:keepLines/>
        <w:spacing w:beforeLines="0" w:afterLines="0" w:line="576" w:lineRule="exact"/>
        <w:jc w:val="center"/>
        <w:rPr>
          <w:rFonts w:hint="eastAsia" w:ascii="黑体" w:hAnsi="黑体" w:eastAsia="黑体"/>
          <w:color w:val="auto"/>
          <w:kern w:val="44"/>
          <w:sz w:val="44"/>
          <w:lang w:val="zh-CN"/>
        </w:rPr>
      </w:pPr>
      <w:bookmarkStart w:id="66" w:name="_Toc390_WPSOffice_Level1"/>
      <w:r>
        <w:rPr>
          <w:rFonts w:hint="eastAsia" w:ascii="黑体" w:hAnsi="黑体" w:eastAsia="黑体"/>
          <w:color w:val="000000"/>
          <w:kern w:val="2"/>
          <w:sz w:val="44"/>
          <w:lang w:val="zh-CN"/>
        </w:rPr>
        <w:t>第三部分 名</w:t>
      </w:r>
      <w:r>
        <w:rPr>
          <w:rFonts w:hint="eastAsia" w:ascii="黑体" w:hAnsi="黑体" w:eastAsia="黑体"/>
          <w:color w:val="auto"/>
          <w:kern w:val="44"/>
          <w:sz w:val="44"/>
          <w:lang w:val="zh-CN"/>
        </w:rPr>
        <w:t>词解释</w:t>
      </w:r>
      <w:bookmarkEnd w:id="66"/>
    </w:p>
    <w:p w14:paraId="4DE536A3">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w:t>
      </w:r>
      <w:r>
        <w:rPr>
          <w:rFonts w:hint="eastAsia" w:ascii="仿宋_GB2312" w:hAnsi="宋体" w:eastAsia="仿宋_GB2312" w:cs="宋体"/>
          <w:color w:val="000000"/>
          <w:kern w:val="0"/>
          <w:sz w:val="32"/>
          <w:szCs w:val="32"/>
        </w:rPr>
        <w:t>财政拨款收入：指单位从同级财政部门取得的财政预算资金。</w:t>
      </w:r>
    </w:p>
    <w:p w14:paraId="02E39BAC">
      <w:pPr>
        <w:widowControl/>
        <w:shd w:val="clear" w:color="auto" w:fill="FFFFFF"/>
        <w:spacing w:line="560" w:lineRule="atLeast"/>
        <w:ind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2.</w:t>
      </w:r>
      <w:r>
        <w:rPr>
          <w:rFonts w:hint="eastAsia" w:ascii="仿宋_GB2312" w:hAnsi="宋体" w:eastAsia="仿宋_GB2312" w:cs="宋体"/>
          <w:color w:val="000000"/>
          <w:kern w:val="0"/>
          <w:sz w:val="32"/>
          <w:szCs w:val="32"/>
        </w:rPr>
        <w:t>事业收入：指事业单位开展专业业务活动及辅助活动取得的收入。</w:t>
      </w:r>
    </w:p>
    <w:p w14:paraId="22D61C64">
      <w:pPr>
        <w:widowControl/>
        <w:shd w:val="clear" w:color="auto" w:fill="FFFFFF"/>
        <w:spacing w:line="560" w:lineRule="atLeast"/>
        <w:ind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3.</w:t>
      </w:r>
      <w:r>
        <w:rPr>
          <w:rFonts w:hint="eastAsia" w:ascii="仿宋_GB2312" w:hAnsi="宋体" w:eastAsia="仿宋_GB2312" w:cs="宋体"/>
          <w:color w:val="000000"/>
          <w:kern w:val="0"/>
          <w:sz w:val="32"/>
          <w:szCs w:val="32"/>
        </w:rPr>
        <w:t>其他收入：指单位取得的除上述收入以外的各项收入。</w:t>
      </w:r>
    </w:p>
    <w:p w14:paraId="354D79F5">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4.</w:t>
      </w:r>
      <w:r>
        <w:rPr>
          <w:rFonts w:hint="eastAsia" w:ascii="仿宋_GB2312" w:hAnsi="宋体" w:eastAsia="仿宋_GB2312" w:cs="宋体"/>
          <w:color w:val="000000"/>
          <w:kern w:val="0"/>
          <w:sz w:val="32"/>
          <w:szCs w:val="32"/>
        </w:rPr>
        <w:t>年初结转和结余：指以前年度尚未完成、结转到本年按有关规定继续使用的资金。</w:t>
      </w:r>
    </w:p>
    <w:p w14:paraId="3ED65F1D">
      <w:pPr>
        <w:widowControl/>
        <w:shd w:val="clear" w:color="auto" w:fill="FFFFFF"/>
        <w:spacing w:line="560" w:lineRule="atLeast"/>
        <w:ind w:firstLine="480" w:firstLineChars="1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5.</w:t>
      </w:r>
      <w:r>
        <w:rPr>
          <w:rFonts w:hint="eastAsia" w:ascii="仿宋_GB2312" w:hAnsi="宋体" w:eastAsia="仿宋_GB2312" w:cs="宋体"/>
          <w:color w:val="000000"/>
          <w:kern w:val="0"/>
          <w:sz w:val="32"/>
          <w:szCs w:val="32"/>
        </w:rPr>
        <w:t>年末结转和结余：指单位按有关规定结转到下年或以后年度继续使用的资金。</w:t>
      </w:r>
    </w:p>
    <w:p w14:paraId="10CD41D8">
      <w:pPr>
        <w:widowControl/>
        <w:shd w:val="clear" w:color="auto" w:fill="FFFFFF"/>
        <w:spacing w:line="560" w:lineRule="atLeast"/>
        <w:ind w:left="365" w:leftChars="152" w:firstLine="160" w:firstLineChars="5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6.</w:t>
      </w:r>
      <w:r>
        <w:rPr>
          <w:rFonts w:hint="eastAsia" w:ascii="仿宋_GB2312" w:hAnsi="宋体" w:eastAsia="仿宋_GB2312" w:cs="宋体"/>
          <w:color w:val="000000"/>
          <w:kern w:val="0"/>
          <w:sz w:val="32"/>
          <w:szCs w:val="32"/>
        </w:rPr>
        <w:t>文化旅游体育与传媒（类）文化旅游（款）行政运行（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CD8D27D">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7.</w:t>
      </w:r>
      <w:r>
        <w:rPr>
          <w:rFonts w:hint="eastAsia" w:ascii="仿宋_GB2312" w:hAnsi="宋体" w:eastAsia="仿宋_GB2312" w:cs="宋体"/>
          <w:color w:val="000000"/>
          <w:kern w:val="0"/>
          <w:sz w:val="32"/>
          <w:szCs w:val="32"/>
        </w:rPr>
        <w:t>文化旅游体育与传媒（类）文化旅游（款）其它文化和旅游支出（项）</w:t>
      </w:r>
      <w:r>
        <w:rPr>
          <w:rFonts w:ascii="仿宋_GB2312" w:hAnsi="宋体" w:eastAsia="仿宋_GB2312" w:cs="宋体"/>
          <w:color w:val="000000"/>
          <w:kern w:val="0"/>
          <w:sz w:val="32"/>
          <w:szCs w:val="32"/>
        </w:rPr>
        <w:t>:</w:t>
      </w:r>
      <w:r>
        <w:rPr>
          <w:rFonts w:hint="eastAsia" w:ascii="仿宋_GB2312" w:hAnsi="宋体" w:eastAsia="仿宋_GB2312" w:cs="宋体"/>
          <w:color w:val="000000"/>
          <w:kern w:val="0"/>
          <w:sz w:val="32"/>
          <w:szCs w:val="32"/>
        </w:rPr>
        <w:t>指县内各项大型活动开展及，乡镇、村文化活动补助。</w:t>
      </w:r>
    </w:p>
    <w:p w14:paraId="4C211B63">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8.</w:t>
      </w:r>
      <w:r>
        <w:rPr>
          <w:rFonts w:hint="eastAsia" w:ascii="仿宋_GB2312" w:hAnsi="宋体" w:eastAsia="仿宋_GB2312" w:cs="宋体"/>
          <w:color w:val="000000"/>
          <w:kern w:val="0"/>
          <w:sz w:val="32"/>
          <w:szCs w:val="32"/>
        </w:rPr>
        <w:t>文化旅游体育与传媒（类）文物（款）文物保护（项）；指县内各级文物点义务守护员补助及文物小型维修。</w:t>
      </w:r>
    </w:p>
    <w:p w14:paraId="40EE6356">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9.</w:t>
      </w:r>
      <w:r>
        <w:rPr>
          <w:rFonts w:hint="eastAsia" w:ascii="仿宋_GB2312" w:hAnsi="宋体" w:eastAsia="仿宋_GB2312" w:cs="宋体"/>
          <w:color w:val="000000"/>
          <w:kern w:val="0"/>
          <w:sz w:val="32"/>
          <w:szCs w:val="32"/>
        </w:rPr>
        <w:t>文化旅游体育与传媒（类）体育（款）运动项目管理（项）；反映业余体校和全民健身等群众体育活动方面的支出。</w:t>
      </w:r>
      <w:r>
        <w:rPr>
          <w:rFonts w:ascii="宋体" w:hAnsi="宋体" w:eastAsia="仿宋_GB2312" w:cs="宋体"/>
          <w:color w:val="000000"/>
          <w:kern w:val="0"/>
          <w:sz w:val="32"/>
          <w:szCs w:val="32"/>
        </w:rPr>
        <w:t> </w:t>
      </w:r>
    </w:p>
    <w:p w14:paraId="60560A4B">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10.</w:t>
      </w:r>
      <w:r>
        <w:rPr>
          <w:rFonts w:hint="eastAsia" w:ascii="仿宋_GB2312" w:hAnsi="宋体" w:eastAsia="仿宋_GB2312" w:cs="宋体"/>
          <w:color w:val="000000"/>
          <w:kern w:val="0"/>
          <w:sz w:val="32"/>
          <w:szCs w:val="32"/>
        </w:rPr>
        <w:t>文化旅游体育与传媒（类）体育（款）体育场馆（项）；指反映全民健身活动中心购买服务支出。</w:t>
      </w:r>
    </w:p>
    <w:p w14:paraId="40FE0301">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11.</w:t>
      </w:r>
      <w:r>
        <w:rPr>
          <w:rFonts w:hint="eastAsia" w:ascii="仿宋_GB2312" w:hAnsi="宋体" w:eastAsia="仿宋_GB2312" w:cs="宋体"/>
          <w:color w:val="000000"/>
          <w:kern w:val="0"/>
          <w:sz w:val="32"/>
          <w:szCs w:val="32"/>
        </w:rPr>
        <w:t>文化体育与传媒（类）新闻出版广播影视（款）电影（项）；反映电影制片、发行、放映等方面的支出。</w:t>
      </w:r>
    </w:p>
    <w:p w14:paraId="1D0FC255">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12.</w:t>
      </w:r>
      <w:r>
        <w:rPr>
          <w:rFonts w:hint="eastAsia" w:ascii="仿宋_GB2312" w:hAnsi="宋体" w:eastAsia="仿宋_GB2312" w:cs="宋体"/>
          <w:color w:val="000000"/>
          <w:kern w:val="0"/>
          <w:sz w:val="32"/>
          <w:szCs w:val="32"/>
        </w:rPr>
        <w:t>文化体育与传媒（类）新闻出版广播影视（款）其它新闻出版广播影视支出（项）；反映除上述项目以外其他用于文化体育与传媒方面的支出。</w:t>
      </w:r>
    </w:p>
    <w:p w14:paraId="261AF4D7">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13.</w:t>
      </w:r>
      <w:r>
        <w:rPr>
          <w:rFonts w:hint="eastAsia" w:ascii="仿宋_GB2312" w:hAnsi="宋体" w:eastAsia="仿宋_GB2312" w:cs="宋体"/>
          <w:color w:val="000000"/>
          <w:kern w:val="0"/>
          <w:sz w:val="32"/>
          <w:szCs w:val="32"/>
        </w:rPr>
        <w:t>文化体育与传媒（类）其它文化体育与传媒支出（款）其它文化体育与传媒支出（项）；反映除上述项目以外其他文化体育与传媒方面的支出。</w:t>
      </w:r>
    </w:p>
    <w:p w14:paraId="370700A3">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14.</w:t>
      </w:r>
      <w:r>
        <w:rPr>
          <w:rFonts w:hint="eastAsia" w:ascii="仿宋_GB2312" w:hAnsi="宋体" w:eastAsia="仿宋_GB2312" w:cs="宋体"/>
          <w:color w:val="000000"/>
          <w:kern w:val="0"/>
          <w:sz w:val="32"/>
          <w:szCs w:val="32"/>
        </w:rPr>
        <w:t>社会保障和就业支出（类）行政事业单位离退休（款）机关事业单位基本养老保险缴费支出（项）指反映机关单位实施养老保险制度由单位缴纳的基本养老保险费支出。</w:t>
      </w:r>
    </w:p>
    <w:p w14:paraId="7761C76E">
      <w:pPr>
        <w:pStyle w:val="12"/>
        <w:widowControl/>
        <w:shd w:val="clear" w:color="auto" w:fill="FFFFFF"/>
        <w:spacing w:line="560" w:lineRule="atLeast"/>
        <w:ind w:left="420" w:firstLine="0" w:firstLineChars="0"/>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t>15.</w:t>
      </w:r>
      <w:r>
        <w:rPr>
          <w:rFonts w:hint="eastAsia" w:ascii="仿宋_GB2312" w:hAnsi="宋体" w:eastAsia="仿宋_GB2312" w:cs="宋体"/>
          <w:color w:val="000000"/>
          <w:kern w:val="0"/>
          <w:sz w:val="32"/>
          <w:szCs w:val="32"/>
        </w:rPr>
        <w:t>医疗卫生与计划生育支出（类）医疗保障（款）行政单位医疗（项）；指反映财政部门安排的行政单位基本医疗保险缴费经费。</w:t>
      </w:r>
    </w:p>
    <w:p w14:paraId="499C64E4">
      <w:pPr>
        <w:spacing w:beforeLines="0" w:afterLines="0" w:line="600" w:lineRule="exact"/>
        <w:jc w:val="center"/>
        <w:rPr>
          <w:rFonts w:hint="eastAsia" w:ascii="黑体" w:hAnsi="黑体" w:eastAsia="黑体"/>
          <w:color w:val="auto"/>
          <w:kern w:val="44"/>
          <w:sz w:val="44"/>
          <w:lang w:val="en-US"/>
        </w:rPr>
      </w:pPr>
      <w:bookmarkStart w:id="67" w:name="_Toc16906_WPSOffice_Level1"/>
      <w:r>
        <w:rPr>
          <w:rFonts w:hint="eastAsia" w:ascii="黑体" w:hAnsi="黑体" w:eastAsia="黑体"/>
          <w:color w:val="auto"/>
          <w:kern w:val="2"/>
          <w:sz w:val="44"/>
          <w:lang w:val="en-US"/>
        </w:rPr>
        <w:t>第</w:t>
      </w:r>
      <w:r>
        <w:rPr>
          <w:rFonts w:hint="eastAsia" w:ascii="黑体" w:hAnsi="黑体" w:eastAsia="黑体"/>
          <w:color w:val="auto"/>
          <w:kern w:val="44"/>
          <w:sz w:val="44"/>
          <w:lang w:val="en-US"/>
        </w:rPr>
        <w:t>四部分 附件</w:t>
      </w:r>
      <w:bookmarkEnd w:id="67"/>
    </w:p>
    <w:p w14:paraId="4B39E4F4">
      <w:pPr>
        <w:spacing w:beforeLines="0" w:afterLines="0" w:line="600" w:lineRule="exact"/>
        <w:jc w:val="both"/>
        <w:rPr>
          <w:rFonts w:hint="eastAsia" w:ascii="仿宋_GB2312" w:hAnsi="仿宋_GB2312" w:eastAsia="仿宋_GB2312"/>
          <w:color w:val="auto"/>
          <w:sz w:val="32"/>
          <w:lang w:val="en-US"/>
        </w:rPr>
      </w:pPr>
      <w:r>
        <w:rPr>
          <w:rFonts w:hint="eastAsia" w:ascii="宋体" w:hAnsi="宋体" w:eastAsia="宋体"/>
          <w:color w:val="auto"/>
          <w:sz w:val="32"/>
          <w:lang w:val="en-US"/>
        </w:rPr>
        <w:t>部门预算项目支出绩效自评表（2022年度）</w:t>
      </w:r>
    </w:p>
    <w:p w14:paraId="7C6EB720">
      <w:pPr>
        <w:spacing w:beforeLines="0" w:afterLines="0" w:line="600" w:lineRule="exact"/>
        <w:jc w:val="center"/>
        <w:rPr>
          <w:rFonts w:hint="eastAsia" w:ascii="仿宋" w:hAnsi="仿宋" w:eastAsia="仿宋"/>
          <w:color w:val="auto"/>
          <w:kern w:val="2"/>
          <w:sz w:val="21"/>
          <w:lang w:val="en-US"/>
        </w:rPr>
      </w:pPr>
      <w:bookmarkStart w:id="68" w:name="_Toc1138_WPSOffice_Level1"/>
      <w:r>
        <w:rPr>
          <w:rFonts w:hint="eastAsia" w:ascii="黑体" w:hAnsi="黑体" w:eastAsia="黑体"/>
          <w:color w:val="auto"/>
          <w:kern w:val="2"/>
          <w:sz w:val="44"/>
          <w:lang w:val="en-US"/>
        </w:rPr>
        <w:t>第</w:t>
      </w:r>
      <w:r>
        <w:rPr>
          <w:rFonts w:hint="eastAsia" w:ascii="黑体" w:hAnsi="黑体" w:eastAsia="黑体"/>
          <w:color w:val="auto"/>
          <w:kern w:val="44"/>
          <w:sz w:val="44"/>
          <w:lang w:val="en-US"/>
        </w:rPr>
        <w:t>五部分 附表</w:t>
      </w:r>
      <w:bookmarkEnd w:id="68"/>
    </w:p>
    <w:p w14:paraId="320C8D80">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69" w:name="_Toc9717_WPSOffice_Level2"/>
      <w:r>
        <w:rPr>
          <w:rFonts w:hint="eastAsia" w:ascii="仿宋" w:hAnsi="仿宋" w:eastAsia="仿宋"/>
          <w:color w:val="auto"/>
          <w:kern w:val="2"/>
          <w:sz w:val="32"/>
          <w:lang w:val="en-US"/>
        </w:rPr>
        <w:t>一、收入支出决算总表</w:t>
      </w:r>
      <w:bookmarkEnd w:id="69"/>
    </w:p>
    <w:p w14:paraId="2128AD0E">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0" w:name="_Toc15100_WPSOffice_Level2"/>
      <w:r>
        <w:rPr>
          <w:rFonts w:hint="eastAsia" w:ascii="仿宋" w:hAnsi="仿宋" w:eastAsia="仿宋"/>
          <w:color w:val="auto"/>
          <w:kern w:val="2"/>
          <w:sz w:val="32"/>
          <w:lang w:val="en-US"/>
        </w:rPr>
        <w:t>二、收入决算表</w:t>
      </w:r>
      <w:bookmarkEnd w:id="70"/>
    </w:p>
    <w:p w14:paraId="69CFE9F7">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1" w:name="_Toc18945_WPSOffice_Level2"/>
      <w:r>
        <w:rPr>
          <w:rFonts w:hint="eastAsia" w:ascii="仿宋" w:hAnsi="仿宋" w:eastAsia="仿宋"/>
          <w:color w:val="auto"/>
          <w:kern w:val="2"/>
          <w:sz w:val="32"/>
          <w:lang w:val="en-US"/>
        </w:rPr>
        <w:t>三、支出决算表</w:t>
      </w:r>
      <w:bookmarkEnd w:id="71"/>
    </w:p>
    <w:p w14:paraId="4A3FA00F">
      <w:pPr>
        <w:pStyle w:val="4"/>
        <w:keepNext/>
        <w:keepLines/>
        <w:spacing w:before="260" w:beforeLines="0" w:after="260" w:afterLines="0" w:line="408" w:lineRule="auto"/>
        <w:jc w:val="both"/>
        <w:rPr>
          <w:rFonts w:hint="eastAsia" w:ascii="仿宋" w:hAnsi="仿宋" w:eastAsia="仿宋"/>
          <w:color w:val="auto"/>
          <w:kern w:val="2"/>
          <w:sz w:val="32"/>
          <w:lang w:val="en-US"/>
        </w:rPr>
      </w:pPr>
      <w:bookmarkStart w:id="72" w:name="_Toc4821_WPSOffice_Level2"/>
      <w:r>
        <w:rPr>
          <w:rFonts w:hint="eastAsia" w:ascii="仿宋" w:hAnsi="仿宋" w:eastAsia="仿宋"/>
          <w:color w:val="auto"/>
          <w:kern w:val="2"/>
          <w:sz w:val="32"/>
          <w:lang w:val="en-US"/>
        </w:rPr>
        <w:t>四、财政拨款收入支出决算总表</w:t>
      </w:r>
      <w:bookmarkEnd w:id="72"/>
    </w:p>
    <w:p w14:paraId="636DFE6D">
      <w:pPr>
        <w:pStyle w:val="4"/>
        <w:keepNext/>
        <w:keepLines/>
        <w:spacing w:before="260" w:beforeLines="0" w:after="260" w:afterLines="0" w:line="408" w:lineRule="auto"/>
        <w:jc w:val="both"/>
        <w:rPr>
          <w:rFonts w:hint="eastAsia" w:ascii="仿宋" w:hAnsi="仿宋" w:eastAsia="仿宋"/>
          <w:color w:val="auto"/>
          <w:kern w:val="2"/>
          <w:sz w:val="32"/>
          <w:lang w:val="en-US"/>
        </w:rPr>
      </w:pPr>
      <w:bookmarkStart w:id="73" w:name="_Toc30246_WPSOffice_Level2"/>
      <w:r>
        <w:rPr>
          <w:rFonts w:hint="eastAsia" w:ascii="仿宋" w:hAnsi="仿宋" w:eastAsia="仿宋"/>
          <w:color w:val="auto"/>
          <w:kern w:val="2"/>
          <w:sz w:val="32"/>
          <w:lang w:val="en-US"/>
        </w:rPr>
        <w:t>五、财政拨款支出决算明细表</w:t>
      </w:r>
      <w:bookmarkEnd w:id="73"/>
    </w:p>
    <w:p w14:paraId="41D276CC">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4" w:name="_Toc29820_WPSOffice_Level2"/>
      <w:r>
        <w:rPr>
          <w:rFonts w:hint="eastAsia" w:ascii="仿宋" w:hAnsi="仿宋" w:eastAsia="仿宋"/>
          <w:color w:val="auto"/>
          <w:kern w:val="2"/>
          <w:sz w:val="32"/>
          <w:lang w:val="en-US"/>
        </w:rPr>
        <w:t>六、一般公共预算财政拨款支出决算表</w:t>
      </w:r>
      <w:bookmarkEnd w:id="74"/>
    </w:p>
    <w:p w14:paraId="483D1215">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5" w:name="_Toc7051_WPSOffice_Level2"/>
      <w:r>
        <w:rPr>
          <w:rFonts w:hint="eastAsia" w:ascii="仿宋" w:hAnsi="仿宋" w:eastAsia="仿宋"/>
          <w:color w:val="auto"/>
          <w:kern w:val="2"/>
          <w:sz w:val="32"/>
          <w:lang w:val="en-US"/>
        </w:rPr>
        <w:t>七、一般公共预算财政拨款支出决算明细表</w:t>
      </w:r>
      <w:bookmarkEnd w:id="75"/>
    </w:p>
    <w:p w14:paraId="3A6FC936">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6" w:name="_Toc12120_WPSOffice_Level2"/>
      <w:r>
        <w:rPr>
          <w:rFonts w:hint="eastAsia" w:ascii="仿宋" w:hAnsi="仿宋" w:eastAsia="仿宋"/>
          <w:color w:val="auto"/>
          <w:kern w:val="2"/>
          <w:sz w:val="32"/>
          <w:lang w:val="en-US"/>
        </w:rPr>
        <w:t>八、一般公共预算财政拨款基本支出决算表</w:t>
      </w:r>
      <w:bookmarkEnd w:id="76"/>
    </w:p>
    <w:p w14:paraId="3319195E">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7" w:name="_Toc19315_WPSOffice_Level2"/>
      <w:r>
        <w:rPr>
          <w:rFonts w:hint="eastAsia" w:ascii="仿宋" w:hAnsi="仿宋" w:eastAsia="仿宋"/>
          <w:color w:val="auto"/>
          <w:kern w:val="2"/>
          <w:sz w:val="32"/>
          <w:lang w:val="en-US"/>
        </w:rPr>
        <w:t>九、一般公共预算财政拨款项目支出决算表</w:t>
      </w:r>
      <w:bookmarkEnd w:id="77"/>
    </w:p>
    <w:p w14:paraId="67D7B3D9">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8" w:name="_Toc22860_WPSOffice_Level2"/>
      <w:r>
        <w:rPr>
          <w:rFonts w:hint="eastAsia" w:ascii="仿宋" w:hAnsi="仿宋" w:eastAsia="仿宋"/>
          <w:color w:val="auto"/>
          <w:kern w:val="2"/>
          <w:sz w:val="32"/>
          <w:lang w:val="en-US"/>
        </w:rPr>
        <w:t>十、政府性基金预算财政拨款收入支出决算表</w:t>
      </w:r>
      <w:bookmarkEnd w:id="78"/>
    </w:p>
    <w:p w14:paraId="7E5F6D99">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79" w:name="_Toc3895_WPSOffice_Level2"/>
      <w:r>
        <w:rPr>
          <w:rFonts w:hint="eastAsia" w:ascii="仿宋" w:hAnsi="仿宋" w:eastAsia="仿宋"/>
          <w:color w:val="auto"/>
          <w:kern w:val="2"/>
          <w:sz w:val="32"/>
          <w:lang w:val="en-US"/>
        </w:rPr>
        <w:t>十一、国有资本经营预算财政拨款收入支出决算表</w:t>
      </w:r>
      <w:bookmarkEnd w:id="79"/>
    </w:p>
    <w:p w14:paraId="76F82A37">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80" w:name="_Toc32068_WPSOffice_Level2"/>
      <w:r>
        <w:rPr>
          <w:rFonts w:hint="eastAsia" w:ascii="仿宋" w:hAnsi="仿宋" w:eastAsia="仿宋"/>
          <w:color w:val="auto"/>
          <w:kern w:val="2"/>
          <w:sz w:val="32"/>
          <w:lang w:val="en-US"/>
        </w:rPr>
        <w:t>十二、国有资本经营预算财政拨款支出决算表</w:t>
      </w:r>
      <w:bookmarkEnd w:id="80"/>
    </w:p>
    <w:p w14:paraId="6FB38BB9">
      <w:pPr>
        <w:pStyle w:val="4"/>
        <w:keepNext/>
        <w:keepLines/>
        <w:spacing w:before="260" w:beforeLines="0" w:after="260" w:afterLines="0" w:line="408" w:lineRule="auto"/>
        <w:jc w:val="both"/>
        <w:rPr>
          <w:rFonts w:hint="eastAsia" w:ascii="仿宋" w:hAnsi="仿宋" w:eastAsia="仿宋"/>
          <w:b/>
          <w:color w:val="auto"/>
          <w:kern w:val="2"/>
          <w:sz w:val="32"/>
          <w:lang w:val="en-US"/>
        </w:rPr>
      </w:pPr>
      <w:bookmarkStart w:id="81" w:name="_Toc14624_WPSOffice_Level2"/>
      <w:r>
        <w:rPr>
          <w:rFonts w:hint="eastAsia" w:ascii="仿宋" w:hAnsi="仿宋" w:eastAsia="仿宋"/>
          <w:color w:val="auto"/>
          <w:kern w:val="2"/>
          <w:sz w:val="32"/>
          <w:lang w:val="en-US"/>
        </w:rPr>
        <w:t>十三、财政拨款</w:t>
      </w:r>
      <w:r>
        <w:rPr>
          <w:rFonts w:hint="default" w:ascii="仿宋" w:hAnsi="仿宋" w:eastAsia="仿宋"/>
          <w:color w:val="auto"/>
          <w:kern w:val="2"/>
          <w:sz w:val="32"/>
          <w:lang w:val="en-US"/>
        </w:rPr>
        <w:t>“</w:t>
      </w:r>
      <w:r>
        <w:rPr>
          <w:rFonts w:hint="eastAsia" w:ascii="仿宋" w:hAnsi="仿宋" w:eastAsia="仿宋"/>
          <w:color w:val="auto"/>
          <w:kern w:val="2"/>
          <w:sz w:val="32"/>
          <w:lang w:val="en-US"/>
        </w:rPr>
        <w:t>三公</w:t>
      </w:r>
      <w:r>
        <w:rPr>
          <w:rFonts w:hint="default" w:ascii="仿宋" w:hAnsi="仿宋" w:eastAsia="仿宋"/>
          <w:color w:val="auto"/>
          <w:kern w:val="2"/>
          <w:sz w:val="32"/>
          <w:lang w:val="en-US"/>
        </w:rPr>
        <w:t>”</w:t>
      </w:r>
      <w:r>
        <w:rPr>
          <w:rFonts w:hint="eastAsia" w:ascii="仿宋" w:hAnsi="仿宋" w:eastAsia="仿宋"/>
          <w:color w:val="auto"/>
          <w:kern w:val="2"/>
          <w:sz w:val="32"/>
          <w:lang w:val="en-US"/>
        </w:rPr>
        <w:t>经费支出决算表</w:t>
      </w:r>
      <w:bookmarkEnd w:id="81"/>
    </w:p>
    <w:p w14:paraId="50E04098"/>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1810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324B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FDDF30">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1FDDF30">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52190">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4E7392"/>
    <w:multiLevelType w:val="singleLevel"/>
    <w:tmpl w:val="0A4E7392"/>
    <w:lvl w:ilvl="0" w:tentative="0">
      <w:start w:val="2"/>
      <w:numFmt w:val="chineseCounting"/>
      <w:suff w:val="nothing"/>
      <w:lvlText w:val="%1、"/>
      <w:lvlJc w:val="left"/>
      <w:rPr>
        <w:rFonts w:hint="eastAsia"/>
      </w:rPr>
    </w:lvl>
  </w:abstractNum>
  <w:abstractNum w:abstractNumId="1">
    <w:nsid w:val="34F85EAF"/>
    <w:multiLevelType w:val="multilevel"/>
    <w:tmpl w:val="34F85EAF"/>
    <w:lvl w:ilvl="0" w:tentative="0">
      <w:start w:val="1"/>
      <w:numFmt w:val="chineseCountingThousand"/>
      <w:pStyle w:val="11"/>
      <w:suff w:val="nothing"/>
      <w:lvlText w:val="%1、"/>
      <w:lvlJc w:val="left"/>
      <w:pPr>
        <w:ind w:left="1057" w:hanging="420"/>
      </w:pPr>
      <w:rPr>
        <w:rFonts w:hint="eastAsia" w:cs="Times New Roman"/>
      </w:rPr>
    </w:lvl>
    <w:lvl w:ilvl="1" w:tentative="0">
      <w:start w:val="1"/>
      <w:numFmt w:val="lowerLetter"/>
      <w:lvlText w:val="%2)"/>
      <w:lvlJc w:val="left"/>
      <w:pPr>
        <w:ind w:left="1477" w:hanging="420"/>
      </w:pPr>
      <w:rPr>
        <w:rFonts w:cs="Times New Roman"/>
      </w:rPr>
    </w:lvl>
    <w:lvl w:ilvl="2" w:tentative="0">
      <w:start w:val="1"/>
      <w:numFmt w:val="lowerRoman"/>
      <w:lvlText w:val="%3."/>
      <w:lvlJc w:val="right"/>
      <w:pPr>
        <w:ind w:left="1897" w:hanging="420"/>
      </w:pPr>
      <w:rPr>
        <w:rFonts w:cs="Times New Roman"/>
      </w:rPr>
    </w:lvl>
    <w:lvl w:ilvl="3" w:tentative="0">
      <w:start w:val="1"/>
      <w:numFmt w:val="decimal"/>
      <w:lvlText w:val="%4."/>
      <w:lvlJc w:val="left"/>
      <w:pPr>
        <w:ind w:left="2317" w:hanging="420"/>
      </w:pPr>
      <w:rPr>
        <w:rFonts w:cs="Times New Roman"/>
      </w:rPr>
    </w:lvl>
    <w:lvl w:ilvl="4" w:tentative="0">
      <w:start w:val="1"/>
      <w:numFmt w:val="lowerLetter"/>
      <w:lvlText w:val="%5)"/>
      <w:lvlJc w:val="left"/>
      <w:pPr>
        <w:ind w:left="2737" w:hanging="420"/>
      </w:pPr>
      <w:rPr>
        <w:rFonts w:cs="Times New Roman"/>
      </w:rPr>
    </w:lvl>
    <w:lvl w:ilvl="5" w:tentative="0">
      <w:start w:val="1"/>
      <w:numFmt w:val="lowerRoman"/>
      <w:lvlText w:val="%6."/>
      <w:lvlJc w:val="right"/>
      <w:pPr>
        <w:ind w:left="3157" w:hanging="420"/>
      </w:pPr>
      <w:rPr>
        <w:rFonts w:cs="Times New Roman"/>
      </w:rPr>
    </w:lvl>
    <w:lvl w:ilvl="6" w:tentative="0">
      <w:start w:val="1"/>
      <w:numFmt w:val="decimal"/>
      <w:lvlText w:val="%7."/>
      <w:lvlJc w:val="left"/>
      <w:pPr>
        <w:ind w:left="3577" w:hanging="420"/>
      </w:pPr>
      <w:rPr>
        <w:rFonts w:cs="Times New Roman"/>
      </w:rPr>
    </w:lvl>
    <w:lvl w:ilvl="7" w:tentative="0">
      <w:start w:val="1"/>
      <w:numFmt w:val="lowerLetter"/>
      <w:lvlText w:val="%8)"/>
      <w:lvlJc w:val="left"/>
      <w:pPr>
        <w:ind w:left="3997" w:hanging="420"/>
      </w:pPr>
      <w:rPr>
        <w:rFonts w:cs="Times New Roman"/>
      </w:rPr>
    </w:lvl>
    <w:lvl w:ilvl="8" w:tentative="0">
      <w:start w:val="1"/>
      <w:numFmt w:val="lowerRoman"/>
      <w:lvlText w:val="%9."/>
      <w:lvlJc w:val="right"/>
      <w:pPr>
        <w:ind w:left="4417" w:hanging="420"/>
      </w:pPr>
      <w:rPr>
        <w:rFonts w:cs="Times New Roman"/>
      </w:rPr>
    </w:lvl>
  </w:abstractNum>
  <w:abstractNum w:abstractNumId="2">
    <w:nsid w:val="5E1970DD"/>
    <w:multiLevelType w:val="singleLevel"/>
    <w:tmpl w:val="5E1970DD"/>
    <w:lvl w:ilvl="0" w:tentative="0">
      <w:start w:val="7"/>
      <w:numFmt w:val="chineseCounting"/>
      <w:suff w:val="nothing"/>
      <w:lvlText w:val="%1、"/>
      <w:lvlJc w:val="left"/>
      <w:rPr>
        <w:rFonts w:hint="eastAsia"/>
      </w:rPr>
    </w:lvl>
  </w:abstractNum>
  <w:abstractNum w:abstractNumId="3">
    <w:nsid w:val="6FEC8BB4"/>
    <w:multiLevelType w:val="singleLevel"/>
    <w:tmpl w:val="6FEC8BB4"/>
    <w:lvl w:ilvl="0" w:tentative="0">
      <w:start w:val="1"/>
      <w:numFmt w:val="chineseCounting"/>
      <w:suff w:val="nothing"/>
      <w:lvlText w:val="（%1）"/>
      <w:lvlJc w:val="left"/>
      <w:rPr>
        <w:rFonts w:hint="eastAsia"/>
      </w:rPr>
    </w:lvl>
  </w:abstractNum>
  <w:num w:numId="1">
    <w:abstractNumId w:val="1"/>
    <w:lvlOverride w:ilvl="0">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27393F"/>
    <w:rsid w:val="00795221"/>
    <w:rsid w:val="01661ED8"/>
    <w:rsid w:val="01FE1EB5"/>
    <w:rsid w:val="02C11B5D"/>
    <w:rsid w:val="030C21C4"/>
    <w:rsid w:val="03DF4C47"/>
    <w:rsid w:val="049207AD"/>
    <w:rsid w:val="06683E11"/>
    <w:rsid w:val="082749EB"/>
    <w:rsid w:val="08DD3667"/>
    <w:rsid w:val="094E6757"/>
    <w:rsid w:val="0AEE4A4D"/>
    <w:rsid w:val="0B6C1742"/>
    <w:rsid w:val="0E436F73"/>
    <w:rsid w:val="0E5C150A"/>
    <w:rsid w:val="0EF00E7C"/>
    <w:rsid w:val="0F2F0522"/>
    <w:rsid w:val="0F617F0A"/>
    <w:rsid w:val="10BB0D38"/>
    <w:rsid w:val="137C677B"/>
    <w:rsid w:val="1C680F62"/>
    <w:rsid w:val="1D59730E"/>
    <w:rsid w:val="1F1C40B5"/>
    <w:rsid w:val="20B60B75"/>
    <w:rsid w:val="21E323C8"/>
    <w:rsid w:val="2491743B"/>
    <w:rsid w:val="28703DB2"/>
    <w:rsid w:val="2985196B"/>
    <w:rsid w:val="2A5928A9"/>
    <w:rsid w:val="2C8F7668"/>
    <w:rsid w:val="2E450967"/>
    <w:rsid w:val="2EC63CDA"/>
    <w:rsid w:val="2F485A42"/>
    <w:rsid w:val="306C5D9E"/>
    <w:rsid w:val="3222388A"/>
    <w:rsid w:val="348D0259"/>
    <w:rsid w:val="35175047"/>
    <w:rsid w:val="35F04F75"/>
    <w:rsid w:val="36344234"/>
    <w:rsid w:val="38814C2D"/>
    <w:rsid w:val="3A6E4DC4"/>
    <w:rsid w:val="3E7E2AEC"/>
    <w:rsid w:val="3ED2701E"/>
    <w:rsid w:val="3FB04B56"/>
    <w:rsid w:val="41E21B00"/>
    <w:rsid w:val="4331421D"/>
    <w:rsid w:val="442527F7"/>
    <w:rsid w:val="463360FB"/>
    <w:rsid w:val="47812132"/>
    <w:rsid w:val="4A27393F"/>
    <w:rsid w:val="4A66392E"/>
    <w:rsid w:val="4ACA7C56"/>
    <w:rsid w:val="4AEA2E11"/>
    <w:rsid w:val="4BA83F24"/>
    <w:rsid w:val="4BED3F1E"/>
    <w:rsid w:val="4E11164C"/>
    <w:rsid w:val="55404B82"/>
    <w:rsid w:val="554977C8"/>
    <w:rsid w:val="57A30A7B"/>
    <w:rsid w:val="57D432C1"/>
    <w:rsid w:val="598506E9"/>
    <w:rsid w:val="5A024AB6"/>
    <w:rsid w:val="5A400F9F"/>
    <w:rsid w:val="5AFA44F1"/>
    <w:rsid w:val="5B9B4008"/>
    <w:rsid w:val="5BA548C2"/>
    <w:rsid w:val="5BFB1F9A"/>
    <w:rsid w:val="62AE71AA"/>
    <w:rsid w:val="62C00758"/>
    <w:rsid w:val="655160E6"/>
    <w:rsid w:val="6618760C"/>
    <w:rsid w:val="66CA65B2"/>
    <w:rsid w:val="68B43AD8"/>
    <w:rsid w:val="69A076E5"/>
    <w:rsid w:val="6ADF6DE1"/>
    <w:rsid w:val="6B3C3CDC"/>
    <w:rsid w:val="6F794770"/>
    <w:rsid w:val="707C37AF"/>
    <w:rsid w:val="733866BD"/>
    <w:rsid w:val="74C91498"/>
    <w:rsid w:val="7A1C1237"/>
    <w:rsid w:val="7A333252"/>
    <w:rsid w:val="7ADB11EB"/>
    <w:rsid w:val="7E2235B2"/>
    <w:rsid w:val="7EAF0C20"/>
    <w:rsid w:val="7F644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iPriority="99" w:semiHidden="0" w:name="Normal"/>
    <w:lsdException w:uiPriority="99" w:semiHidden="0" w:name="heading 1"/>
    <w:lsdException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uiPriority w:val="99"/>
    <w:pPr>
      <w:widowControl w:val="0"/>
      <w:autoSpaceDE w:val="0"/>
      <w:autoSpaceDN w:val="0"/>
      <w:adjustRightInd w:val="0"/>
      <w:spacing w:beforeLines="0" w:afterLines="0"/>
    </w:pPr>
    <w:rPr>
      <w:rFonts w:hint="default" w:ascii="Times New Roman" w:hAnsi="Times New Roman" w:eastAsia="宋体" w:cs="Times New Roman"/>
      <w:sz w:val="24"/>
    </w:rPr>
  </w:style>
  <w:style w:type="paragraph" w:styleId="3">
    <w:name w:val="heading 1"/>
    <w:next w:val="1"/>
    <w:unhideWhenUsed/>
    <w:uiPriority w:val="99"/>
    <w:pPr>
      <w:widowControl w:val="0"/>
      <w:autoSpaceDE w:val="0"/>
      <w:autoSpaceDN w:val="0"/>
      <w:adjustRightInd w:val="0"/>
      <w:spacing w:beforeLines="0" w:afterLines="0"/>
    </w:pPr>
    <w:rPr>
      <w:rFonts w:hint="default" w:ascii="Times New Roman" w:hAnsi="Times New Roman" w:eastAsia="宋体" w:cs="Times New Roman"/>
      <w:sz w:val="24"/>
    </w:rPr>
  </w:style>
  <w:style w:type="paragraph" w:styleId="4">
    <w:name w:val="heading 2"/>
    <w:next w:val="1"/>
    <w:unhideWhenUsed/>
    <w:uiPriority w:val="99"/>
    <w:pPr>
      <w:widowControl w:val="0"/>
      <w:autoSpaceDE w:val="0"/>
      <w:autoSpaceDN w:val="0"/>
      <w:adjustRightInd w:val="0"/>
      <w:spacing w:beforeLines="0" w:afterLines="0"/>
    </w:pPr>
    <w:rPr>
      <w:rFonts w:hint="default" w:ascii="Times New Roman" w:hAnsi="Times New Roman" w:eastAsia="宋体" w:cs="Times New Roman"/>
      <w:sz w:val="24"/>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qFormat/>
    <w:uiPriority w:val="0"/>
    <w:pPr>
      <w:spacing w:before="240" w:after="60"/>
      <w:jc w:val="center"/>
      <w:outlineLvl w:val="0"/>
    </w:pPr>
    <w:rPr>
      <w:rFonts w:ascii="Arial" w:hAnsi="Arial" w:cs="Arial"/>
      <w:b/>
      <w:bCs/>
      <w:sz w:val="32"/>
      <w:szCs w:val="32"/>
    </w:rPr>
  </w:style>
  <w:style w:type="character" w:styleId="10">
    <w:name w:val="Strong"/>
    <w:basedOn w:val="9"/>
    <w:qFormat/>
    <w:uiPriority w:val="99"/>
    <w:rPr>
      <w:b/>
    </w:rPr>
  </w:style>
  <w:style w:type="paragraph" w:customStyle="1" w:styleId="11">
    <w:name w:val="〖B01〗一级标题"/>
    <w:basedOn w:val="1"/>
    <w:next w:val="1"/>
    <w:qFormat/>
    <w:uiPriority w:val="99"/>
    <w:pPr>
      <w:numPr>
        <w:ilvl w:val="0"/>
        <w:numId w:val="1"/>
      </w:numPr>
      <w:topLinePunct/>
      <w:spacing w:line="600" w:lineRule="exact"/>
      <w:outlineLvl w:val="0"/>
    </w:pPr>
    <w:rPr>
      <w:rFonts w:ascii="黑体" w:hAnsi="Calibri" w:eastAsia="黑体"/>
      <w:szCs w:val="32"/>
    </w:rPr>
  </w:style>
  <w:style w:type="paragraph" w:styleId="12">
    <w:name w:val="List Paragraph"/>
    <w:basedOn w:val="1"/>
    <w:qFormat/>
    <w:uiPriority w:val="34"/>
    <w:pPr>
      <w:ind w:firstLine="420" w:firstLineChars="200"/>
    </w:pPr>
  </w:style>
  <w:style w:type="paragraph" w:customStyle="1" w:styleId="13">
    <w:name w:val="WPSOffice手动目录 1"/>
    <w:qFormat/>
    <w:uiPriority w:val="0"/>
    <w:pPr>
      <w:ind w:leftChars="0"/>
    </w:pPr>
    <w:rPr>
      <w:rFonts w:ascii="Calibri" w:hAnsi="Calibri" w:eastAsia="宋体" w:cs="Times New Roman"/>
      <w:sz w:val="20"/>
      <w:szCs w:val="20"/>
    </w:rPr>
  </w:style>
  <w:style w:type="paragraph" w:customStyle="1" w:styleId="14">
    <w:name w:val="WPSOffice手动目录 2"/>
    <w:qFormat/>
    <w:uiPriority w:val="0"/>
    <w:pPr>
      <w:ind w:leftChars="2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万元</a:t>
            </a:r>
          </a:p>
        </c:rich>
      </c:tx>
      <c:layout/>
      <c:overlay val="0"/>
      <c:spPr>
        <a:noFill/>
        <a:ln>
          <a:noFill/>
        </a:ln>
        <a:effectLst/>
      </c:spPr>
    </c:title>
    <c:autoTitleDeleted val="0"/>
    <c:plotArea>
      <c:layout>
        <c:manualLayout>
          <c:layoutTarget val="inner"/>
          <c:xMode val="edge"/>
          <c:yMode val="edge"/>
          <c:x val="0.0794085129906025"/>
          <c:y val="0.20806595602089"/>
          <c:w val="0.882587064676617"/>
          <c:h val="0.565619412515964"/>
        </c:manualLayout>
      </c:layout>
      <c:barChart>
        <c:barDir val="col"/>
        <c:grouping val="clustered"/>
        <c:varyColors val="0"/>
        <c:ser>
          <c:idx val="0"/>
          <c:order val="0"/>
          <c:tx>
            <c:strRef>
              <c:f>Sheet1!$B$1</c:f>
              <c:strCache>
                <c:ptCount val="1"/>
                <c:pt idx="0">
                  <c:v>收入（万元）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3414.31</c:v>
                </c:pt>
                <c:pt idx="1">
                  <c:v>1578.42</c:v>
                </c:pt>
              </c:numCache>
            </c:numRef>
          </c:val>
        </c:ser>
        <c:ser>
          <c:idx val="1"/>
          <c:order val="1"/>
          <c:tx>
            <c:strRef>
              <c:f>Sheet1!$C$1</c:f>
              <c:strCache>
                <c:ptCount val="1"/>
                <c:pt idx="0">
                  <c:v>支出（万元）</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Sheet1!$C$2:$C$3</c:f>
              <c:numCache>
                <c:formatCode>General</c:formatCode>
                <c:ptCount val="2"/>
                <c:pt idx="0">
                  <c:v>3414.31</c:v>
                </c:pt>
                <c:pt idx="1">
                  <c:v>1578.12</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2021年</c:v>
                </c:pt>
                <c:pt idx="1">
                  <c:v>2022年</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728069578"/>
        <c:axId val="684089279"/>
      </c:barChart>
      <c:catAx>
        <c:axId val="7280695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4089279"/>
        <c:crosses val="autoZero"/>
        <c:auto val="1"/>
        <c:lblAlgn val="ctr"/>
        <c:lblOffset val="100"/>
        <c:noMultiLvlLbl val="0"/>
      </c:catAx>
      <c:valAx>
        <c:axId val="68408927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28069578"/>
        <c:crosses val="autoZero"/>
        <c:crossBetween val="between"/>
      </c:valAx>
      <c:spPr>
        <a:noFill/>
        <a:ln>
          <a:noFill/>
        </a:ln>
        <a:effectLst/>
      </c:spPr>
    </c:plotArea>
    <c:legend>
      <c:legendPos val="b"/>
      <c:layout>
        <c:manualLayout>
          <c:xMode val="edge"/>
          <c:yMode val="edge"/>
          <c:x val="0.297954671088999"/>
          <c:y val="0.9003300330033"/>
          <c:w val="0.404090657822001"/>
          <c:h val="0.037183718371837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37c9084-86bf-4deb-852a-97cbb9b5941f}"/>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manualLayout>
                  <c:x val="-0.093023423769347"/>
                  <c:y val="0.024733393035012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22394413698266"/>
                  <c:y val="0.028828919134590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一般公共预算</c:v>
                </c:pt>
                <c:pt idx="1">
                  <c:v>政府性基金</c:v>
                </c:pt>
                <c:pt idx="2">
                  <c:v>其它</c:v>
                </c:pt>
              </c:strCache>
            </c:strRef>
          </c:cat>
          <c:val>
            <c:numRef>
              <c:f>Sheet1!$B$2:$B$4</c:f>
              <c:numCache>
                <c:formatCode>General</c:formatCode>
                <c:ptCount val="3"/>
                <c:pt idx="0">
                  <c:v>1446.09</c:v>
                </c:pt>
                <c:pt idx="1">
                  <c:v>86.04</c:v>
                </c:pt>
                <c:pt idx="2">
                  <c:v>0.21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dae2a58-2fb6-4650-8485-35720b81d71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 </c:v>
                </c:pt>
              </c:strCache>
            </c:strRef>
          </c:cat>
          <c:val>
            <c:numRef>
              <c:f>Sheet1!$B$2:$B$3</c:f>
              <c:numCache>
                <c:formatCode>General</c:formatCode>
                <c:ptCount val="2"/>
                <c:pt idx="0">
                  <c:v>467.23</c:v>
                </c:pt>
                <c:pt idx="1">
                  <c:v>1110.98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dd36202-7037-4465-adca-43bc15e43b8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财政拨款收入支出</a:t>
            </a:r>
          </a:p>
        </c:rich>
      </c:tx>
      <c:layout/>
      <c:overlay val="0"/>
      <c:spPr>
        <a:noFill/>
        <a:ln>
          <a:noFill/>
        </a:ln>
        <a:effectLst/>
      </c:spPr>
    </c:title>
    <c:autoTitleDeleted val="0"/>
    <c:plotArea>
      <c:layout>
        <c:manualLayout>
          <c:layoutTarget val="inner"/>
          <c:xMode val="edge"/>
          <c:yMode val="edge"/>
          <c:x val="0.06995"/>
          <c:y val="0.339130434782609"/>
          <c:w val="0.8938"/>
          <c:h val="0.551884057971014"/>
        </c:manualLayout>
      </c:layout>
      <c:barChart>
        <c:barDir val="col"/>
        <c:grouping val="clustered"/>
        <c:varyColors val="0"/>
        <c:ser>
          <c:idx val="0"/>
          <c:order val="0"/>
          <c:tx>
            <c:strRef>
              <c:f>Sheet1!$B$1</c:f>
              <c:strCache>
                <c:ptCount val="1"/>
                <c:pt idx="0">
                  <c:v>万元</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2021年</c:v>
                </c:pt>
              </c:strCache>
            </c:strRef>
          </c:cat>
          <c:val>
            <c:numRef>
              <c:f>Sheet1!$B$2:$B$3</c:f>
              <c:numCache>
                <c:formatCode>General</c:formatCode>
                <c:ptCount val="2"/>
                <c:pt idx="0">
                  <c:v>1578.22</c:v>
                </c:pt>
                <c:pt idx="1">
                  <c:v>3411.12</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2022年</c:v>
                </c:pt>
                <c:pt idx="1">
                  <c:v>2021年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2022年</c:v>
                </c:pt>
                <c:pt idx="1">
                  <c:v>2021年</c:v>
                </c:pt>
              </c:strCache>
            </c:strRef>
          </c:cat>
          <c:val>
            <c:numRef>
              <c:f>Sheet1!#REF!</c:f>
              <c:numCache>
                <c:formatCode>General</c:formatCode>
                <c:ptCount val="1"/>
                <c:pt idx="0">
                  <c:v>1</c:v>
                </c:pt>
              </c:numCache>
            </c:numRef>
          </c:val>
        </c:ser>
        <c:dLbls>
          <c:showLegendKey val="0"/>
          <c:showVal val="1"/>
          <c:showCatName val="0"/>
          <c:showSerName val="0"/>
          <c:showPercent val="0"/>
          <c:showBubbleSize val="0"/>
        </c:dLbls>
        <c:gapWidth val="219"/>
        <c:overlap val="-27"/>
        <c:axId val="947377458"/>
        <c:axId val="984228293"/>
      </c:barChart>
      <c:catAx>
        <c:axId val="94737745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4228293"/>
        <c:crosses val="autoZero"/>
        <c:auto val="1"/>
        <c:lblAlgn val="ctr"/>
        <c:lblOffset val="100"/>
        <c:noMultiLvlLbl val="0"/>
      </c:catAx>
      <c:valAx>
        <c:axId val="984228293"/>
        <c:scaling>
          <c:orientation val="minMax"/>
        </c:scaling>
        <c:delete val="0"/>
        <c:axPos val="l"/>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7377458"/>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362125"/>
          <c:y val="0.885220125786163"/>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151dff3e-0934-4668-8a50-6b2b50ff6e8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449280328992461"/>
          <c:y val="0.0184125849124061"/>
        </c:manualLayout>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0808224811514736"/>
          <c:y val="0.223285261354244"/>
          <c:w val="0.883536668951337"/>
          <c:h val="0.528297695084699"/>
        </c:manualLayout>
      </c:layout>
      <c:barChart>
        <c:barDir val="col"/>
        <c:grouping val="clustered"/>
        <c:varyColors val="0"/>
        <c:ser>
          <c:idx val="0"/>
          <c:order val="0"/>
          <c:tx>
            <c:strRef>
              <c:f>Sheet1!$B$1</c:f>
              <c:strCache>
                <c:ptCount val="1"/>
                <c:pt idx="0">
                  <c:v>一般公共预算支出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2022年一般公共预算支出</c:v>
                </c:pt>
                <c:pt idx="1">
                  <c:v>2021年一般公共预算支出</c:v>
                </c:pt>
              </c:strCache>
            </c:strRef>
          </c:cat>
          <c:val>
            <c:numRef>
              <c:f>Sheet1!$B$2:$B$3</c:f>
              <c:numCache>
                <c:formatCode>General</c:formatCode>
                <c:ptCount val="2"/>
                <c:pt idx="0">
                  <c:v>1491.75</c:v>
                </c:pt>
                <c:pt idx="1">
                  <c:v>1796.58</c:v>
                </c:pt>
              </c:numCache>
            </c:numRef>
          </c:val>
        </c:ser>
        <c:dLbls>
          <c:showLegendKey val="0"/>
          <c:showVal val="1"/>
          <c:showCatName val="0"/>
          <c:showSerName val="0"/>
          <c:showPercent val="0"/>
          <c:showBubbleSize val="0"/>
        </c:dLbls>
        <c:gapWidth val="219"/>
        <c:overlap val="-27"/>
        <c:axId val="725185378"/>
        <c:axId val="879760753"/>
      </c:barChart>
      <c:catAx>
        <c:axId val="72518537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9760753"/>
        <c:crosses val="autoZero"/>
        <c:auto val="1"/>
        <c:lblAlgn val="ctr"/>
        <c:lblOffset val="100"/>
        <c:noMultiLvlLbl val="0"/>
      </c:catAx>
      <c:valAx>
        <c:axId val="87976075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2518537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44e16e3-adb8-4215-8850-ba8148def278}"/>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0.166077801030033"/>
                  <c:y val="-0.0060050165948102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50538902714201"/>
                  <c:y val="-0.0090115876001672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45859428383957"/>
                  <c:y val="-0.043963692275608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48907917025097"/>
                  <c:y val="-0.023942404377184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文化旅游体育与传媒支出</c:v>
                </c:pt>
                <c:pt idx="1">
                  <c:v>社会保障和就业支出</c:v>
                </c:pt>
                <c:pt idx="2">
                  <c:v>卫生健康支出</c:v>
                </c:pt>
                <c:pt idx="3">
                  <c:v>住房保障支出</c:v>
                </c:pt>
              </c:strCache>
            </c:strRef>
          </c:cat>
          <c:val>
            <c:numRef>
              <c:f>Sheet1!$B$2:$B$5</c:f>
              <c:numCache>
                <c:formatCode>General</c:formatCode>
                <c:ptCount val="4"/>
                <c:pt idx="0">
                  <c:v>1403.61</c:v>
                </c:pt>
                <c:pt idx="1">
                  <c:v>41.09</c:v>
                </c:pt>
                <c:pt idx="2">
                  <c:v>14.53</c:v>
                </c:pt>
                <c:pt idx="3">
                  <c:v>32.53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4bebad9-7f49-4e5e-9139-e2162950632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万元</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公务接待支出</c:v>
                </c:pt>
                <c:pt idx="1">
                  <c:v>公务用车支出</c:v>
                </c:pt>
                <c:pt idx="2">
                  <c:v>因公出国支出</c:v>
                </c:pt>
              </c:strCache>
            </c:strRef>
          </c:cat>
          <c:val>
            <c:numRef>
              <c:f>Sheet1!$B$2:$B$4</c:f>
              <c:numCache>
                <c:formatCode>General</c:formatCode>
                <c:ptCount val="3"/>
                <c:pt idx="0">
                  <c:v>4.98</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3270b70-eb3a-4f83-8d8d-cfebcb7b11b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19cc391-98e2-42ae-9ef2-6db42adc1e76}"/>
        <w:style w:val=""/>
        <w:category>
          <w:name w:val="常规"/>
          <w:gallery w:val="placeholder"/>
        </w:category>
        <w:types>
          <w:type w:val="bbPlcHdr"/>
        </w:types>
        <w:behaviors>
          <w:behavior w:val="content"/>
        </w:behaviors>
        <w:description w:val=""/>
        <w:guid w:val="{619cc391-98e2-42ae-9ef2-6db42adc1e76}"/>
      </w:docPartPr>
      <w:docPartBody>
        <w:p w14:paraId="2BD2F863">
          <w:r>
            <w:rPr>
              <w:color w:val="808080"/>
            </w:rPr>
            <w:t>单击此处输入文字。</w:t>
          </w:r>
        </w:p>
      </w:docPartBody>
    </w:docPart>
    <w:docPart>
      <w:docPartPr>
        <w:name w:val="{0b7d3d6b-a72f-4613-81a0-810f07bd33ad}"/>
        <w:style w:val=""/>
        <w:category>
          <w:name w:val="常规"/>
          <w:gallery w:val="placeholder"/>
        </w:category>
        <w:types>
          <w:type w:val="bbPlcHdr"/>
        </w:types>
        <w:behaviors>
          <w:behavior w:val="content"/>
        </w:behaviors>
        <w:description w:val=""/>
        <w:guid w:val="{0b7d3d6b-a72f-4613-81a0-810f07bd33ad}"/>
      </w:docPartPr>
      <w:docPartBody>
        <w:p w14:paraId="685D4A9C">
          <w:r>
            <w:rPr>
              <w:color w:val="808080"/>
            </w:rPr>
            <w:t>单击此处输入文字。</w:t>
          </w:r>
        </w:p>
      </w:docPartBody>
    </w:docPart>
    <w:docPart>
      <w:docPartPr>
        <w:name w:val="{ccfbfa3c-3771-4ce0-b07f-dbad3406834b}"/>
        <w:style w:val=""/>
        <w:category>
          <w:name w:val="常规"/>
          <w:gallery w:val="placeholder"/>
        </w:category>
        <w:types>
          <w:type w:val="bbPlcHdr"/>
        </w:types>
        <w:behaviors>
          <w:behavior w:val="content"/>
        </w:behaviors>
        <w:description w:val=""/>
        <w:guid w:val="{ccfbfa3c-3771-4ce0-b07f-dbad3406834b}"/>
      </w:docPartPr>
      <w:docPartBody>
        <w:p w14:paraId="72ECEDF8">
          <w:r>
            <w:rPr>
              <w:color w:val="808080"/>
            </w:rPr>
            <w:t>单击此处输入文字。</w:t>
          </w:r>
        </w:p>
      </w:docPartBody>
    </w:docPart>
    <w:docPart>
      <w:docPartPr>
        <w:name w:val="{213ea52b-27e5-4ff1-a801-68778ad778d5}"/>
        <w:style w:val=""/>
        <w:category>
          <w:name w:val="常规"/>
          <w:gallery w:val="placeholder"/>
        </w:category>
        <w:types>
          <w:type w:val="bbPlcHdr"/>
        </w:types>
        <w:behaviors>
          <w:behavior w:val="content"/>
        </w:behaviors>
        <w:description w:val=""/>
        <w:guid w:val="{213ea52b-27e5-4ff1-a801-68778ad778d5}"/>
      </w:docPartPr>
      <w:docPartBody>
        <w:p w14:paraId="16D78E77">
          <w:r>
            <w:rPr>
              <w:color w:val="808080"/>
            </w:rPr>
            <w:t>单击此处输入文字。</w:t>
          </w:r>
        </w:p>
      </w:docPartBody>
    </w:docPart>
    <w:docPart>
      <w:docPartPr>
        <w:name w:val="{429cc79d-e186-4db1-b9fe-4c9b8533a984}"/>
        <w:style w:val=""/>
        <w:category>
          <w:name w:val="常规"/>
          <w:gallery w:val="placeholder"/>
        </w:category>
        <w:types>
          <w:type w:val="bbPlcHdr"/>
        </w:types>
        <w:behaviors>
          <w:behavior w:val="content"/>
        </w:behaviors>
        <w:description w:val=""/>
        <w:guid w:val="{429cc79d-e186-4db1-b9fe-4c9b8533a984}"/>
      </w:docPartPr>
      <w:docPartBody>
        <w:p w14:paraId="3DE5AE31">
          <w:r>
            <w:rPr>
              <w:color w:val="808080"/>
            </w:rPr>
            <w:t>单击此处输入文字。</w:t>
          </w:r>
        </w:p>
      </w:docPartBody>
    </w:docPart>
    <w:docPart>
      <w:docPartPr>
        <w:name w:val="{a276d484-110c-479e-8230-a38ee1730ec4}"/>
        <w:style w:val=""/>
        <w:category>
          <w:name w:val="常规"/>
          <w:gallery w:val="placeholder"/>
        </w:category>
        <w:types>
          <w:type w:val="bbPlcHdr"/>
        </w:types>
        <w:behaviors>
          <w:behavior w:val="content"/>
        </w:behaviors>
        <w:description w:val=""/>
        <w:guid w:val="{a276d484-110c-479e-8230-a38ee1730ec4}"/>
      </w:docPartPr>
      <w:docPartBody>
        <w:p w14:paraId="6E19B6DD">
          <w:r>
            <w:rPr>
              <w:color w:val="808080"/>
            </w:rPr>
            <w:t>单击此处输入文字。</w:t>
          </w:r>
        </w:p>
      </w:docPartBody>
    </w:docPart>
    <w:docPart>
      <w:docPartPr>
        <w:name w:val="{be7df837-4b5e-44cc-a080-11f1fdbca576}"/>
        <w:style w:val=""/>
        <w:category>
          <w:name w:val="常规"/>
          <w:gallery w:val="placeholder"/>
        </w:category>
        <w:types>
          <w:type w:val="bbPlcHdr"/>
        </w:types>
        <w:behaviors>
          <w:behavior w:val="content"/>
        </w:behaviors>
        <w:description w:val=""/>
        <w:guid w:val="{be7df837-4b5e-44cc-a080-11f1fdbca576}"/>
      </w:docPartPr>
      <w:docPartBody>
        <w:p w14:paraId="41B387DB">
          <w:r>
            <w:rPr>
              <w:color w:val="808080"/>
            </w:rPr>
            <w:t>单击此处输入文字。</w:t>
          </w:r>
        </w:p>
      </w:docPartBody>
    </w:docPart>
    <w:docPart>
      <w:docPartPr>
        <w:name w:val="{5ca7885f-8686-4757-8171-0009b60b4000}"/>
        <w:style w:val=""/>
        <w:category>
          <w:name w:val="常规"/>
          <w:gallery w:val="placeholder"/>
        </w:category>
        <w:types>
          <w:type w:val="bbPlcHdr"/>
        </w:types>
        <w:behaviors>
          <w:behavior w:val="content"/>
        </w:behaviors>
        <w:description w:val=""/>
        <w:guid w:val="{5ca7885f-8686-4757-8171-0009b60b4000}"/>
      </w:docPartPr>
      <w:docPartBody>
        <w:p w14:paraId="02A6A9A5">
          <w:r>
            <w:rPr>
              <w:color w:val="808080"/>
            </w:rPr>
            <w:t>单击此处输入文字。</w:t>
          </w:r>
        </w:p>
      </w:docPartBody>
    </w:docPart>
    <w:docPart>
      <w:docPartPr>
        <w:name w:val="{5e160fef-d59c-42e4-8dc8-451ec940eb5c}"/>
        <w:style w:val=""/>
        <w:category>
          <w:name w:val="常规"/>
          <w:gallery w:val="placeholder"/>
        </w:category>
        <w:types>
          <w:type w:val="bbPlcHdr"/>
        </w:types>
        <w:behaviors>
          <w:behavior w:val="content"/>
        </w:behaviors>
        <w:description w:val=""/>
        <w:guid w:val="{5e160fef-d59c-42e4-8dc8-451ec940eb5c}"/>
      </w:docPartPr>
      <w:docPartBody>
        <w:p w14:paraId="5A5EC768">
          <w:r>
            <w:rPr>
              <w:color w:val="808080"/>
            </w:rPr>
            <w:t>单击此处输入文字。</w:t>
          </w:r>
        </w:p>
      </w:docPartBody>
    </w:docPart>
    <w:docPart>
      <w:docPartPr>
        <w:name w:val="{11a2453d-7417-4e64-9183-580f02d0ed70}"/>
        <w:style w:val=""/>
        <w:category>
          <w:name w:val="常规"/>
          <w:gallery w:val="placeholder"/>
        </w:category>
        <w:types>
          <w:type w:val="bbPlcHdr"/>
        </w:types>
        <w:behaviors>
          <w:behavior w:val="content"/>
        </w:behaviors>
        <w:description w:val=""/>
        <w:guid w:val="{11a2453d-7417-4e64-9183-580f02d0ed70}"/>
      </w:docPartPr>
      <w:docPartBody>
        <w:p w14:paraId="49DB77D5">
          <w:r>
            <w:rPr>
              <w:color w:val="808080"/>
            </w:rPr>
            <w:t>单击此处输入文字。</w:t>
          </w:r>
        </w:p>
      </w:docPartBody>
    </w:docPart>
    <w:docPart>
      <w:docPartPr>
        <w:name w:val="{f2c85cd8-8e2d-4e92-a1e2-088566b09a3a}"/>
        <w:style w:val=""/>
        <w:category>
          <w:name w:val="常规"/>
          <w:gallery w:val="placeholder"/>
        </w:category>
        <w:types>
          <w:type w:val="bbPlcHdr"/>
        </w:types>
        <w:behaviors>
          <w:behavior w:val="content"/>
        </w:behaviors>
        <w:description w:val=""/>
        <w:guid w:val="{f2c85cd8-8e2d-4e92-a1e2-088566b09a3a}"/>
      </w:docPartPr>
      <w:docPartBody>
        <w:p w14:paraId="044AA434">
          <w:r>
            <w:rPr>
              <w:color w:val="808080"/>
            </w:rPr>
            <w:t>单击此处输入文字。</w:t>
          </w:r>
        </w:p>
      </w:docPartBody>
    </w:docPart>
    <w:docPart>
      <w:docPartPr>
        <w:name w:val="{8efb7221-6183-4b5d-b194-09a5a0313143}"/>
        <w:style w:val=""/>
        <w:category>
          <w:name w:val="常规"/>
          <w:gallery w:val="placeholder"/>
        </w:category>
        <w:types>
          <w:type w:val="bbPlcHdr"/>
        </w:types>
        <w:behaviors>
          <w:behavior w:val="content"/>
        </w:behaviors>
        <w:description w:val=""/>
        <w:guid w:val="{8efb7221-6183-4b5d-b194-09a5a0313143}"/>
      </w:docPartPr>
      <w:docPartBody>
        <w:p w14:paraId="6EF44CA4">
          <w:r>
            <w:rPr>
              <w:color w:val="808080"/>
            </w:rPr>
            <w:t>单击此处输入文字。</w:t>
          </w:r>
        </w:p>
      </w:docPartBody>
    </w:docPart>
    <w:docPart>
      <w:docPartPr>
        <w:name w:val="{3e15750b-1f24-42fa-86fa-02b8ff751a4a}"/>
        <w:style w:val=""/>
        <w:category>
          <w:name w:val="常规"/>
          <w:gallery w:val="placeholder"/>
        </w:category>
        <w:types>
          <w:type w:val="bbPlcHdr"/>
        </w:types>
        <w:behaviors>
          <w:behavior w:val="content"/>
        </w:behaviors>
        <w:description w:val=""/>
        <w:guid w:val="{3e15750b-1f24-42fa-86fa-02b8ff751a4a}"/>
      </w:docPartPr>
      <w:docPartBody>
        <w:p w14:paraId="6B4A7E04">
          <w:r>
            <w:rPr>
              <w:color w:val="808080"/>
            </w:rPr>
            <w:t>单击此处输入文字。</w:t>
          </w:r>
        </w:p>
      </w:docPartBody>
    </w:docPart>
    <w:docPart>
      <w:docPartPr>
        <w:name w:val="{0538deae-13a2-4ad4-9d77-cfd1e50021a0}"/>
        <w:style w:val=""/>
        <w:category>
          <w:name w:val="常规"/>
          <w:gallery w:val="placeholder"/>
        </w:category>
        <w:types>
          <w:type w:val="bbPlcHdr"/>
        </w:types>
        <w:behaviors>
          <w:behavior w:val="content"/>
        </w:behaviors>
        <w:description w:val=""/>
        <w:guid w:val="{0538deae-13a2-4ad4-9d77-cfd1e50021a0}"/>
      </w:docPartPr>
      <w:docPartBody>
        <w:p w14:paraId="79D2BA0E">
          <w:r>
            <w:rPr>
              <w:color w:val="808080"/>
            </w:rPr>
            <w:t>单击此处输入文字。</w:t>
          </w:r>
        </w:p>
      </w:docPartBody>
    </w:docPart>
    <w:docPart>
      <w:docPartPr>
        <w:name w:val="{fa9338fc-0b0c-4139-853d-f21357c786c6}"/>
        <w:style w:val=""/>
        <w:category>
          <w:name w:val="常规"/>
          <w:gallery w:val="placeholder"/>
        </w:category>
        <w:types>
          <w:type w:val="bbPlcHdr"/>
        </w:types>
        <w:behaviors>
          <w:behavior w:val="content"/>
        </w:behaviors>
        <w:description w:val=""/>
        <w:guid w:val="{fa9338fc-0b0c-4139-853d-f21357c786c6}"/>
      </w:docPartPr>
      <w:docPartBody>
        <w:p w14:paraId="3AEDEAEF">
          <w:r>
            <w:rPr>
              <w:color w:val="808080"/>
            </w:rPr>
            <w:t>单击此处输入文字。</w:t>
          </w:r>
        </w:p>
      </w:docPartBody>
    </w:docPart>
    <w:docPart>
      <w:docPartPr>
        <w:name w:val="{265cc666-95be-4723-859a-486cc70b1819}"/>
        <w:style w:val=""/>
        <w:category>
          <w:name w:val="常规"/>
          <w:gallery w:val="placeholder"/>
        </w:category>
        <w:types>
          <w:type w:val="bbPlcHdr"/>
        </w:types>
        <w:behaviors>
          <w:behavior w:val="content"/>
        </w:behaviors>
        <w:description w:val=""/>
        <w:guid w:val="{265cc666-95be-4723-859a-486cc70b1819}"/>
      </w:docPartPr>
      <w:docPartBody>
        <w:p w14:paraId="0DEC1BEF">
          <w:r>
            <w:rPr>
              <w:color w:val="808080"/>
            </w:rPr>
            <w:t>单击此处输入文字。</w:t>
          </w:r>
        </w:p>
      </w:docPartBody>
    </w:docPart>
    <w:docPart>
      <w:docPartPr>
        <w:name w:val="{f3375a00-4146-465e-8814-5faf04b8cd77}"/>
        <w:style w:val=""/>
        <w:category>
          <w:name w:val="常规"/>
          <w:gallery w:val="placeholder"/>
        </w:category>
        <w:types>
          <w:type w:val="bbPlcHdr"/>
        </w:types>
        <w:behaviors>
          <w:behavior w:val="content"/>
        </w:behaviors>
        <w:description w:val=""/>
        <w:guid w:val="{f3375a00-4146-465e-8814-5faf04b8cd77}"/>
      </w:docPartPr>
      <w:docPartBody>
        <w:p w14:paraId="359ABA54">
          <w:r>
            <w:rPr>
              <w:color w:val="808080"/>
            </w:rPr>
            <w:t>单击此处输入文字。</w:t>
          </w:r>
        </w:p>
      </w:docPartBody>
    </w:docPart>
    <w:docPart>
      <w:docPartPr>
        <w:name w:val="{a60367c4-0c16-4291-8d85-1a11d36f5ecf}"/>
        <w:style w:val=""/>
        <w:category>
          <w:name w:val="常规"/>
          <w:gallery w:val="placeholder"/>
        </w:category>
        <w:types>
          <w:type w:val="bbPlcHdr"/>
        </w:types>
        <w:behaviors>
          <w:behavior w:val="content"/>
        </w:behaviors>
        <w:description w:val=""/>
        <w:guid w:val="{a60367c4-0c16-4291-8d85-1a11d36f5ecf}"/>
      </w:docPartPr>
      <w:docPartBody>
        <w:p w14:paraId="03CCE5C6">
          <w:r>
            <w:rPr>
              <w:color w:val="808080"/>
            </w:rPr>
            <w:t>单击此处输入文字。</w:t>
          </w:r>
        </w:p>
      </w:docPartBody>
    </w:docPart>
    <w:docPart>
      <w:docPartPr>
        <w:name w:val="{0e3e8aa4-1947-4aa6-a5dd-bd8bbba77d01}"/>
        <w:style w:val=""/>
        <w:category>
          <w:name w:val="常规"/>
          <w:gallery w:val="placeholder"/>
        </w:category>
        <w:types>
          <w:type w:val="bbPlcHdr"/>
        </w:types>
        <w:behaviors>
          <w:behavior w:val="content"/>
        </w:behaviors>
        <w:description w:val=""/>
        <w:guid w:val="{0e3e8aa4-1947-4aa6-a5dd-bd8bbba77d01}"/>
      </w:docPartPr>
      <w:docPartBody>
        <w:p w14:paraId="57E349F7">
          <w:r>
            <w:rPr>
              <w:color w:val="808080"/>
            </w:rPr>
            <w:t>单击此处输入文字。</w:t>
          </w:r>
        </w:p>
      </w:docPartBody>
    </w:docPart>
    <w:docPart>
      <w:docPartPr>
        <w:name w:val="{f8a1278c-546e-44a3-84df-e313d70c42c3}"/>
        <w:style w:val=""/>
        <w:category>
          <w:name w:val="常规"/>
          <w:gallery w:val="placeholder"/>
        </w:category>
        <w:types>
          <w:type w:val="bbPlcHdr"/>
        </w:types>
        <w:behaviors>
          <w:behavior w:val="content"/>
        </w:behaviors>
        <w:description w:val=""/>
        <w:guid w:val="{f8a1278c-546e-44a3-84df-e313d70c42c3}"/>
      </w:docPartPr>
      <w:docPartBody>
        <w:p w14:paraId="1DA1C2AA">
          <w:r>
            <w:rPr>
              <w:color w:val="808080"/>
            </w:rPr>
            <w:t>单击此处输入文字。</w:t>
          </w:r>
        </w:p>
      </w:docPartBody>
    </w:docPart>
    <w:docPart>
      <w:docPartPr>
        <w:name w:val="{72aa94c4-d998-4377-b42e-13a13b7303d3}"/>
        <w:style w:val=""/>
        <w:category>
          <w:name w:val="常规"/>
          <w:gallery w:val="placeholder"/>
        </w:category>
        <w:types>
          <w:type w:val="bbPlcHdr"/>
        </w:types>
        <w:behaviors>
          <w:behavior w:val="content"/>
        </w:behaviors>
        <w:description w:val=""/>
        <w:guid w:val="{72aa94c4-d998-4377-b42e-13a13b7303d3}"/>
      </w:docPartPr>
      <w:docPartBody>
        <w:p w14:paraId="2D44A74F">
          <w:r>
            <w:rPr>
              <w:color w:val="808080"/>
            </w:rPr>
            <w:t>单击此处输入文字。</w:t>
          </w:r>
        </w:p>
      </w:docPartBody>
    </w:docPart>
    <w:docPart>
      <w:docPartPr>
        <w:name w:val="{f07eaa0c-2f82-42fb-9e01-e29f1f338e1c}"/>
        <w:style w:val=""/>
        <w:category>
          <w:name w:val="常规"/>
          <w:gallery w:val="placeholder"/>
        </w:category>
        <w:types>
          <w:type w:val="bbPlcHdr"/>
        </w:types>
        <w:behaviors>
          <w:behavior w:val="content"/>
        </w:behaviors>
        <w:description w:val=""/>
        <w:guid w:val="{f07eaa0c-2f82-42fb-9e01-e29f1f338e1c}"/>
      </w:docPartPr>
      <w:docPartBody>
        <w:p w14:paraId="1B1B9C15">
          <w:r>
            <w:rPr>
              <w:color w:val="808080"/>
            </w:rPr>
            <w:t>单击此处输入文字。</w:t>
          </w:r>
        </w:p>
      </w:docPartBody>
    </w:docPart>
    <w:docPart>
      <w:docPartPr>
        <w:name w:val="{ce1215e4-9933-4eb8-8b3d-91497c8207e5}"/>
        <w:style w:val=""/>
        <w:category>
          <w:name w:val="常规"/>
          <w:gallery w:val="placeholder"/>
        </w:category>
        <w:types>
          <w:type w:val="bbPlcHdr"/>
        </w:types>
        <w:behaviors>
          <w:behavior w:val="content"/>
        </w:behaviors>
        <w:description w:val=""/>
        <w:guid w:val="{ce1215e4-9933-4eb8-8b3d-91497c8207e5}"/>
      </w:docPartPr>
      <w:docPartBody>
        <w:p w14:paraId="68F18746">
          <w:r>
            <w:rPr>
              <w:color w:val="808080"/>
            </w:rPr>
            <w:t>单击此处输入文字。</w:t>
          </w:r>
        </w:p>
      </w:docPartBody>
    </w:docPart>
    <w:docPart>
      <w:docPartPr>
        <w:name w:val="{d8d41e3b-5bb2-4b82-b93b-e1406cc19f71}"/>
        <w:style w:val=""/>
        <w:category>
          <w:name w:val="常规"/>
          <w:gallery w:val="placeholder"/>
        </w:category>
        <w:types>
          <w:type w:val="bbPlcHdr"/>
        </w:types>
        <w:behaviors>
          <w:behavior w:val="content"/>
        </w:behaviors>
        <w:description w:val=""/>
        <w:guid w:val="{d8d41e3b-5bb2-4b82-b93b-e1406cc19f71}"/>
      </w:docPartPr>
      <w:docPartBody>
        <w:p w14:paraId="23083D55">
          <w:r>
            <w:rPr>
              <w:color w:val="808080"/>
            </w:rPr>
            <w:t>单击此处输入文字。</w:t>
          </w:r>
        </w:p>
      </w:docPartBody>
    </w:docPart>
    <w:docPart>
      <w:docPartPr>
        <w:name w:val="{2bcc7089-b13f-428c-a47b-f1a080be9efc}"/>
        <w:style w:val=""/>
        <w:category>
          <w:name w:val="常规"/>
          <w:gallery w:val="placeholder"/>
        </w:category>
        <w:types>
          <w:type w:val="bbPlcHdr"/>
        </w:types>
        <w:behaviors>
          <w:behavior w:val="content"/>
        </w:behaviors>
        <w:description w:val=""/>
        <w:guid w:val="{2bcc7089-b13f-428c-a47b-f1a080be9efc}"/>
      </w:docPartPr>
      <w:docPartBody>
        <w:p w14:paraId="46FCDCC8">
          <w:r>
            <w:rPr>
              <w:color w:val="808080"/>
            </w:rPr>
            <w:t>单击此处输入文字。</w:t>
          </w:r>
        </w:p>
      </w:docPartBody>
    </w:docPart>
    <w:docPart>
      <w:docPartPr>
        <w:name w:val="{f528708c-512c-494a-95ed-7de6db9eeee7}"/>
        <w:style w:val=""/>
        <w:category>
          <w:name w:val="常规"/>
          <w:gallery w:val="placeholder"/>
        </w:category>
        <w:types>
          <w:type w:val="bbPlcHdr"/>
        </w:types>
        <w:behaviors>
          <w:behavior w:val="content"/>
        </w:behaviors>
        <w:description w:val=""/>
        <w:guid w:val="{f528708c-512c-494a-95ed-7de6db9eeee7}"/>
      </w:docPartPr>
      <w:docPartBody>
        <w:p w14:paraId="75024CA4">
          <w:r>
            <w:rPr>
              <w:color w:val="808080"/>
            </w:rPr>
            <w:t>单击此处输入文字。</w:t>
          </w:r>
        </w:p>
      </w:docPartBody>
    </w:docPart>
    <w:docPart>
      <w:docPartPr>
        <w:name w:val="{3339edc3-6324-4521-835a-17804606eb31}"/>
        <w:style w:val=""/>
        <w:category>
          <w:name w:val="常规"/>
          <w:gallery w:val="placeholder"/>
        </w:category>
        <w:types>
          <w:type w:val="bbPlcHdr"/>
        </w:types>
        <w:behaviors>
          <w:behavior w:val="content"/>
        </w:behaviors>
        <w:description w:val=""/>
        <w:guid w:val="{3339edc3-6324-4521-835a-17804606eb31}"/>
      </w:docPartPr>
      <w:docPartBody>
        <w:p w14:paraId="66318C78">
          <w:r>
            <w:rPr>
              <w:color w:val="808080"/>
            </w:rPr>
            <w:t>单击此处输入文字。</w:t>
          </w:r>
        </w:p>
      </w:docPartBody>
    </w:docPart>
    <w:docPart>
      <w:docPartPr>
        <w:name w:val="{3bddf441-d727-4c97-b881-8284310b57c6}"/>
        <w:style w:val=""/>
        <w:category>
          <w:name w:val="常规"/>
          <w:gallery w:val="placeholder"/>
        </w:category>
        <w:types>
          <w:type w:val="bbPlcHdr"/>
        </w:types>
        <w:behaviors>
          <w:behavior w:val="content"/>
        </w:behaviors>
        <w:description w:val=""/>
        <w:guid w:val="{3bddf441-d727-4c97-b881-8284310b57c6}"/>
      </w:docPartPr>
      <w:docPartBody>
        <w:p w14:paraId="334C1A35">
          <w:r>
            <w:rPr>
              <w:color w:val="808080"/>
            </w:rPr>
            <w:t>单击此处输入文字。</w:t>
          </w:r>
        </w:p>
      </w:docPartBody>
    </w:docPart>
    <w:docPart>
      <w:docPartPr>
        <w:name w:val="{bba26241-3035-4cc0-891f-f8bfb1f0eebb}"/>
        <w:style w:val=""/>
        <w:category>
          <w:name w:val="常规"/>
          <w:gallery w:val="placeholder"/>
        </w:category>
        <w:types>
          <w:type w:val="bbPlcHdr"/>
        </w:types>
        <w:behaviors>
          <w:behavior w:val="content"/>
        </w:behaviors>
        <w:description w:val=""/>
        <w:guid w:val="{bba26241-3035-4cc0-891f-f8bfb1f0eebb}"/>
      </w:docPartPr>
      <w:docPartBody>
        <w:p w14:paraId="1E184F00">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6820</Words>
  <Characters>7435</Characters>
  <Lines>0</Lines>
  <Paragraphs>0</Paragraphs>
  <TotalTime>11</TotalTime>
  <ScaleCrop>false</ScaleCrop>
  <LinksUpToDate>false</LinksUpToDate>
  <CharactersWithSpaces>7521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2023-09-14T07:04:00Z</dcterms:created>
  <dc:creator>Administrator</dc:creator>
  <cp:lastModifiedBy>monday</cp:lastModifiedBy>
  <dcterms:modified xsi:type="dcterms:W3CDTF">2025-01-20T08:01:57Z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eyJoZGlkIjoiZmUwODM3ZThjZmM0OGU3ZjRmODM5NTUzODJhNmFhYTEiLCJ1c2VySWQiOiIyNDY4MjgyOTgifQ==</vt:lpwstr>
  </property>
  <property fmtid="{D5CDD505-2E9C-101B-9397-08002B2CF9AE}" pid="4" name="ICV">
    <vt:lpwstr>A36C2964A244469E8AB6943561E067A0_12</vt:lpwstr>
  </property>
</Properties>
</file>