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Calibri" w:eastAsia="方正小标宋简体" w:cs="Times New Roman"/>
          <w:kern w:val="2"/>
          <w:sz w:val="44"/>
          <w:szCs w:val="22"/>
          <w:lang w:val="en-US" w:eastAsia="zh-CN" w:bidi="ar-SA"/>
        </w:rPr>
      </w:pPr>
      <w:r>
        <w:rPr>
          <w:rFonts w:hint="eastAsia" w:ascii="方正小标宋简体" w:hAnsi="Calibri" w:eastAsia="方正小标宋简体" w:cs="Times New Roman"/>
          <w:kern w:val="2"/>
          <w:sz w:val="44"/>
          <w:szCs w:val="22"/>
          <w:lang w:val="en-US" w:eastAsia="zh-CN" w:bidi="ar-SA"/>
        </w:rPr>
        <w:t>关于井研县门坎镇卫生院</w:t>
      </w:r>
    </w:p>
    <w:p>
      <w:pPr>
        <w:widowControl/>
        <w:jc w:val="center"/>
        <w:rPr>
          <w:rFonts w:hint="eastAsia" w:ascii="方正小标宋简体" w:hAnsi="Calibri" w:eastAsia="方正小标宋简体" w:cs="Times New Roman"/>
          <w:kern w:val="2"/>
          <w:sz w:val="44"/>
          <w:szCs w:val="22"/>
          <w:lang w:val="en-US" w:eastAsia="zh-CN" w:bidi="ar-SA"/>
        </w:rPr>
      </w:pPr>
      <w:r>
        <w:rPr>
          <w:rFonts w:hint="eastAsia" w:ascii="方正小标宋简体" w:hAnsi="Calibri" w:eastAsia="方正小标宋简体" w:cs="Times New Roman"/>
          <w:kern w:val="2"/>
          <w:sz w:val="44"/>
          <w:szCs w:val="22"/>
          <w:lang w:val="en-US" w:eastAsia="zh-CN" w:bidi="ar-SA"/>
        </w:rPr>
        <w:t>2024年部门预算编制的说明</w:t>
      </w:r>
    </w:p>
    <w:p>
      <w:pPr>
        <w:suppressAutoHyphens/>
        <w:spacing w:line="600" w:lineRule="exact"/>
        <w:ind w:firstLine="640" w:firstLineChars="200"/>
        <w:rPr>
          <w:rFonts w:hint="default" w:ascii="仿宋_GB2312" w:hAnsi="Times New Roman" w:eastAsia="仿宋_GB2312"/>
          <w:sz w:val="32"/>
          <w:szCs w:val="32"/>
        </w:rPr>
      </w:pPr>
    </w:p>
    <w:p>
      <w:pPr>
        <w:suppressAutoHyphens/>
        <w:spacing w:line="600" w:lineRule="exact"/>
        <w:ind w:firstLine="640" w:firstLineChars="200"/>
        <w:rPr>
          <w:rFonts w:ascii="仿宋_GB2312" w:hAnsi="Times New Roman" w:eastAsia="仿宋_GB2312"/>
          <w:sz w:val="32"/>
          <w:szCs w:val="32"/>
        </w:rPr>
      </w:pPr>
      <w:r>
        <w:rPr>
          <w:rFonts w:hint="default" w:ascii="仿宋_GB2312" w:hAnsi="Times New Roman" w:eastAsia="仿宋_GB2312"/>
          <w:sz w:val="32"/>
          <w:szCs w:val="32"/>
        </w:rPr>
        <w:t>按照预算管理有关规定，目前部门预算的编制实行综合预算制度，即全部收入和支出都反映在预算中。</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lang w:eastAsia="zh-CN"/>
        </w:rPr>
        <w:t>井研县门坎镇卫生院</w:t>
      </w:r>
      <w:r>
        <w:rPr>
          <w:rFonts w:hint="eastAsia" w:ascii="Times New Roman" w:hAnsi="Times New Roman" w:eastAsia="楷体_GB2312"/>
          <w:b/>
          <w:sz w:val="32"/>
          <w:szCs w:val="32"/>
        </w:rPr>
        <w:t>单位</w:t>
      </w:r>
      <w:r>
        <w:rPr>
          <w:rFonts w:ascii="Times New Roman" w:hAnsi="Times New Roman" w:eastAsia="楷体_GB2312"/>
          <w:b/>
          <w:sz w:val="32"/>
          <w:szCs w:val="32"/>
        </w:rPr>
        <w:t>职能简介。</w:t>
      </w:r>
    </w:p>
    <w:p>
      <w:pPr>
        <w:pStyle w:val="10"/>
      </w:pPr>
      <w:r>
        <w:rPr>
          <w:rFonts w:hint="eastAsia" w:ascii="仿宋_GB2312" w:hAnsi="Times New Roman" w:eastAsia="仿宋_GB2312"/>
          <w:sz w:val="32"/>
          <w:szCs w:val="32"/>
        </w:rPr>
        <w:t>（1）</w:t>
      </w:r>
      <w:r>
        <w:rPr>
          <w:rFonts w:hint="eastAsia"/>
        </w:rPr>
        <w:t>职能参照政府批准的三定方案；重点工作任务介绍</w:t>
      </w:r>
      <w:r>
        <w:rPr>
          <w:rFonts w:hint="eastAsia"/>
          <w:lang w:val="en-US" w:eastAsia="zh-CN"/>
        </w:rPr>
        <w:t>:为本辖区居民提供基本医疗服务，基本公共卫生服务</w:t>
      </w:r>
      <w:r>
        <w:rPr>
          <w:rFonts w:hint="eastAsia"/>
        </w:rPr>
        <w:t>。</w:t>
      </w:r>
    </w:p>
    <w:p>
      <w:pPr>
        <w:suppressAutoHyphens/>
        <w:spacing w:line="600" w:lineRule="exact"/>
        <w:ind w:firstLine="320" w:firstLineChars="100"/>
        <w:rPr>
          <w:rFonts w:hint="eastAsia" w:ascii="仿宋_GB2312" w:hAnsi="Times New Roman" w:eastAsia="仿宋_GB2312"/>
          <w:sz w:val="32"/>
          <w:szCs w:val="32"/>
          <w:lang w:eastAsia="zh-CN"/>
        </w:rPr>
      </w:pPr>
      <w:r>
        <w:rPr>
          <w:rFonts w:hint="eastAsia" w:ascii="仿宋_GB2312" w:hAnsi="Times New Roman" w:eastAsia="仿宋_GB2312"/>
          <w:sz w:val="32"/>
          <w:szCs w:val="32"/>
        </w:rPr>
        <w:t>（2）加强农村疫病防控，防治农村突发公共卫生事件报告工作，重点控制传染病、地方病，对农民健康、职业病、寄生虫病等重大疾病造成严重损害</w:t>
      </w:r>
      <w:r>
        <w:rPr>
          <w:rFonts w:hint="eastAsia" w:ascii="仿宋_GB2312" w:hAnsi="Times New Roman" w:eastAsia="仿宋_GB2312"/>
          <w:sz w:val="32"/>
          <w:szCs w:val="32"/>
          <w:lang w:eastAsia="zh-CN"/>
        </w:rPr>
        <w:t>；</w:t>
      </w:r>
    </w:p>
    <w:p>
      <w:pPr>
        <w:suppressAutoHyphens/>
        <w:spacing w:line="600" w:lineRule="exact"/>
        <w:ind w:firstLine="320" w:firstLineChars="100"/>
        <w:rPr>
          <w:rFonts w:hint="eastAsia" w:ascii="仿宋_GB2312" w:hAnsi="Times New Roman" w:eastAsia="仿宋_GB2312"/>
          <w:sz w:val="32"/>
          <w:szCs w:val="32"/>
          <w:lang w:eastAsia="zh-CN"/>
        </w:rPr>
      </w:pPr>
      <w:r>
        <w:rPr>
          <w:rFonts w:hint="eastAsia" w:ascii="仿宋_GB2312" w:hAnsi="Times New Roman" w:eastAsia="仿宋_GB2312"/>
          <w:sz w:val="32"/>
          <w:szCs w:val="32"/>
        </w:rPr>
        <w:t>（3）认真执行儿童计划免疫。积极开展慢性非传染性疾病防控工作</w:t>
      </w:r>
      <w:r>
        <w:rPr>
          <w:rFonts w:hint="eastAsia" w:ascii="仿宋_GB2312" w:hAnsi="Times New Roman" w:eastAsia="仿宋_GB2312"/>
          <w:sz w:val="32"/>
          <w:szCs w:val="32"/>
          <w:lang w:eastAsia="zh-CN"/>
        </w:rPr>
        <w:t>；</w:t>
      </w:r>
    </w:p>
    <w:p>
      <w:pPr>
        <w:suppressAutoHyphens/>
        <w:spacing w:line="600" w:lineRule="exact"/>
        <w:ind w:firstLine="320" w:firstLineChars="100"/>
        <w:rPr>
          <w:rFonts w:hint="eastAsia" w:ascii="仿宋_GB2312" w:hAnsi="Times New Roman" w:eastAsia="仿宋_GB2312"/>
          <w:sz w:val="32"/>
          <w:szCs w:val="32"/>
          <w:lang w:eastAsia="zh-CN"/>
        </w:rPr>
      </w:pPr>
      <w:r>
        <w:rPr>
          <w:rFonts w:hint="eastAsia" w:ascii="仿宋_GB2312" w:hAnsi="Times New Roman" w:eastAsia="仿宋_GB2312"/>
          <w:sz w:val="32"/>
          <w:szCs w:val="32"/>
        </w:rPr>
        <w:t>（4）做好农村妇幼保健工作，提高卫生院产生率，改善儿童营养状况</w:t>
      </w:r>
      <w:r>
        <w:rPr>
          <w:rFonts w:hint="eastAsia" w:ascii="仿宋_GB2312" w:hAnsi="Times New Roman" w:eastAsia="仿宋_GB2312"/>
          <w:sz w:val="32"/>
          <w:szCs w:val="32"/>
          <w:lang w:eastAsia="zh-CN"/>
        </w:rPr>
        <w:t>；</w:t>
      </w:r>
    </w:p>
    <w:p>
      <w:pPr>
        <w:suppressAutoHyphens/>
        <w:spacing w:line="600" w:lineRule="exact"/>
        <w:ind w:firstLine="320" w:firstLineChars="100"/>
        <w:rPr>
          <w:rFonts w:hint="eastAsia" w:ascii="仿宋_GB2312" w:hAnsi="Times New Roman" w:eastAsia="仿宋_GB2312"/>
          <w:sz w:val="32"/>
          <w:szCs w:val="32"/>
          <w:lang w:val="en-US" w:eastAsia="zh-CN"/>
        </w:rPr>
      </w:pPr>
      <w:r>
        <w:rPr>
          <w:rFonts w:hint="eastAsia" w:ascii="仿宋_GB2312" w:hAnsi="Times New Roman" w:eastAsia="仿宋_GB2312"/>
          <w:sz w:val="32"/>
          <w:szCs w:val="32"/>
        </w:rPr>
        <w:t>（5）积极开展新型农村合作医疗、计划生育技术指导和康复工作</w:t>
      </w:r>
      <w:r>
        <w:rPr>
          <w:rFonts w:hint="eastAsia" w:ascii="仿宋_GB2312" w:hAnsi="Times New Roman" w:eastAsia="仿宋_GB2312"/>
          <w:sz w:val="32"/>
          <w:szCs w:val="32"/>
          <w:lang w:eastAsia="zh-CN"/>
        </w:rPr>
        <w:t>；</w:t>
      </w:r>
      <w:r>
        <w:rPr>
          <w:rFonts w:hint="eastAsia" w:ascii="仿宋_GB2312" w:hAnsi="Times New Roman" w:eastAsia="仿宋_GB2312"/>
          <w:sz w:val="32"/>
          <w:szCs w:val="32"/>
          <w:lang w:val="en-US" w:eastAsia="zh-CN"/>
        </w:rPr>
        <w:t xml:space="preserve"> </w:t>
      </w:r>
    </w:p>
    <w:p>
      <w:pPr>
        <w:suppressAutoHyphens/>
        <w:spacing w:line="600" w:lineRule="exact"/>
        <w:ind w:firstLine="320" w:firstLineChars="100"/>
        <w:rPr>
          <w:rFonts w:hint="eastAsia" w:ascii="仿宋_GB2312" w:hAnsi="Times New Roman" w:eastAsia="仿宋_GB2312"/>
          <w:sz w:val="32"/>
          <w:szCs w:val="32"/>
        </w:rPr>
      </w:pPr>
      <w:r>
        <w:rPr>
          <w:rFonts w:hint="eastAsia" w:ascii="仿宋_GB2312" w:hAnsi="Times New Roman" w:eastAsia="仿宋_GB2312"/>
          <w:sz w:val="32"/>
          <w:szCs w:val="32"/>
        </w:rPr>
        <w:t>（6）开展爱国卫生运动，普及疾病预防和卫生知识，引导群众改善住房、食品、饮水、卫生条件，引导和帮助农民建立良好卫生。</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lang w:eastAsia="zh-CN"/>
        </w:rPr>
        <w:t>井研县门坎镇卫生院</w:t>
      </w:r>
      <w:r>
        <w:rPr>
          <w:rFonts w:hint="eastAsia" w:ascii="Times New Roman" w:hAnsi="Times New Roman" w:eastAsia="楷体_GB2312"/>
          <w:b/>
          <w:sz w:val="32"/>
          <w:szCs w:val="32"/>
        </w:rPr>
        <w:t>单位</w:t>
      </w:r>
      <w:r>
        <w:rPr>
          <w:rFonts w:ascii="Times New Roman" w:hAnsi="Times New Roman" w:eastAsia="楷体_GB2312"/>
          <w:b/>
          <w:sz w:val="32"/>
          <w:szCs w:val="32"/>
        </w:rPr>
        <w:t>重点工作。</w:t>
      </w:r>
    </w:p>
    <w:p>
      <w:pPr>
        <w:suppressAutoHyphens/>
        <w:spacing w:line="600" w:lineRule="exact"/>
        <w:ind w:firstLine="640" w:firstLineChars="200"/>
        <w:rPr>
          <w:rFonts w:hint="default" w:ascii="仿宋_GB2312" w:hAnsi="Times New Roman" w:eastAsia="仿宋_GB2312"/>
          <w:sz w:val="32"/>
          <w:szCs w:val="32"/>
          <w:lang w:val="en-US" w:eastAsia="zh-CN"/>
        </w:rPr>
      </w:pPr>
      <w:r>
        <w:rPr>
          <w:rFonts w:hint="eastAsia" w:ascii="仿宋_GB2312" w:hAnsi="Times New Roman" w:eastAsia="仿宋_GB2312"/>
          <w:sz w:val="32"/>
          <w:szCs w:val="32"/>
        </w:rPr>
        <w:t>负责镇内医疗卫生工作，组织领导群众卫生运动，培训卫生技术人员并对基层卫生医疗机构进行业务指导和会诊工作;开展基本公共卫生服务项目;艾滋病防治宣传;乡镇卫生院是农村三级医疗网点的重要环节，担负着医疗防疫，保健的重要任务。</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uppressAutoHyphens/>
        <w:spacing w:line="60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lang w:eastAsia="zh-CN"/>
        </w:rPr>
        <w:t>井研县门坎镇卫生院</w:t>
      </w:r>
      <w:r>
        <w:rPr>
          <w:rFonts w:hint="eastAsia" w:ascii="仿宋_GB2312" w:hAnsi="Times New Roman" w:eastAsia="仿宋_GB2312"/>
          <w:sz w:val="32"/>
          <w:szCs w:val="32"/>
        </w:rPr>
        <w:t>属二级预算单位，单位性质为财政补助事业单位。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按照综合预算的原则，井研县门坎镇卫生院所有收入和支出均纳入单位预算管理。收入包括：一般公共预算拨款收入、事业收入；支出包括：卫生健康支出、住房保障支出、社会保障和就业支出。井研县门坎镇卫生院2024年收支预算总数比2023年增加25.29万元，主要原因是主要用于保障单位正常运转、完成日常工作任务以及承担医疗事业发展相关工作。</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井研县门坎镇卫生院2024年收入预算642.16万元，上年结转0万元；一般公共预算拨款收入200.79万元，占31.27%；事业收入441.38万元，占68.73%。</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井研县门坎镇卫生院2024年支出预算642.16万元，其中：基本支出264.99万元，占41.27%项目支出377.17万元，占58.73%。</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井研县门坎镇卫生院2024年财政拨款收支预算总数200.79万元，比2023年财政拨款收支预算总数增加9.92万元。主要原因是因为单位职工岗位晋升、正常调整薪级等因素影响工资福利支出以及基本公共卫生补助增加。</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收入包括： 一般公共预算拨款收入200.79万元；支出包括： 卫生健康支出152.97万元、 住房保障支出11.62万元、 社会保障和就业支出36.2万元。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井研县门坎镇卫生院2024年一般公共预算当年拨款200.79万元，比2023年预算数增加9.92万元。主要原因是主要用于保障单位正常运转、完成日常工作任务以及承担医疗事业发展相关工作。</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 卫生健康支出152.97万元，占76.18%、 住房保障支出11.62万元，占5.79%、 社会保障和就业支出36.2万元，占18.03%。</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1.社会保障和就业支出（类）行政事业单位养老支出（款）机关事业单位基本养老保险缴费支出（项）2024年预算数为12.8万元，主要用于：机关事业单位实施养老保险制度由单位缴纳的基本养老保险费支出。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2.社会保障和就业支出（类）行政事业单位养老支出（款）机关事业单位职业年金缴费支出（项）2024年预算数为6.4万元，主要用于：机关事业单位实施养老保险制度由单位实际缴纳的职业年金支出。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3.社会保障和就业支出（类）就业补助（款）其他就业补助支出（项）2024年预算数为17.0万元，主要用于：除上述项目以外按规定确定的其他用于促进就业的补助支</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4.卫生健康支出（类）基层医疗卫生机构（款）乡镇卫生院（项）2024年预算数为144.42万元，主要用于：用于乡镇卫生院的支出。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5.卫生健康支出（类）基层医疗卫生机构（款）其他基层医疗卫生机构支出（项）2024年预算数为1.25万元，主要用于：除上述项目以外的其他用于基层医疗卫生机构的支出。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6.卫生健康支出（类）行政事业单位医疗（款）事业单位医疗（项）2024年预算数为5.98万元，主要用于：财政部门安排的事业单位基本医疗保险缴费经费，未参加医疗保险的事业单位的公费医疗经费，按国家规定享受离休人员待遇的医疗经费。</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val="en-US" w:eastAsia="zh-CN"/>
        </w:rPr>
        <w:t xml:space="preserve"> </w:t>
      </w:r>
      <w:r>
        <w:rPr>
          <w:rFonts w:hint="eastAsia" w:ascii="仿宋_GB2312" w:hAnsi="Times New Roman" w:eastAsia="仿宋_GB2312"/>
          <w:sz w:val="32"/>
          <w:szCs w:val="32"/>
          <w:lang w:eastAsia="zh-CN"/>
        </w:rPr>
        <w:t>7.卫生健康支出（类）行政事业单位医疗（款）其他行政事业单位医疗支出（项）2024年预算数为1.32万元，主要用于：除上述项目以外的其他用于行政事业单位医疗方面的支出。</w:t>
      </w:r>
    </w:p>
    <w:p>
      <w:pPr>
        <w:suppressAutoHyphens/>
        <w:spacing w:line="600" w:lineRule="exact"/>
        <w:ind w:firstLine="640" w:firstLineChars="200"/>
        <w:rPr>
          <w:rFonts w:ascii="仿宋" w:hAnsi="仿宋" w:eastAsia="仿宋" w:cs="仿宋"/>
          <w:sz w:val="32"/>
          <w:szCs w:val="32"/>
        </w:rPr>
      </w:pPr>
      <w:r>
        <w:rPr>
          <w:rFonts w:hint="eastAsia" w:ascii="仿宋_GB2312" w:hAnsi="Times New Roman" w:eastAsia="仿宋_GB2312"/>
          <w:sz w:val="32"/>
          <w:szCs w:val="32"/>
          <w:lang w:eastAsia="zh-CN"/>
        </w:rPr>
        <w:t>8.住房保障支出（类）住房改革支出（款）住房公积金（项）2024年预算数为11.62万元，主要用于：行政事业单位按人力资源和社会保障部、财政部规定的基本工资和津贴补贴以及规定比例为职工缴纳的住房公积金。</w:t>
      </w:r>
      <w:r>
        <w:rPr>
          <w:rFonts w:hint="eastAsia" w:ascii="仿宋_GB2312" w:hAnsi="Times New Roman" w:eastAsia="仿宋_GB2312"/>
          <w:sz w:val="32"/>
          <w:szCs w:val="32"/>
          <w:lang w:eastAsia="zh-CN"/>
        </w:rPr>
        <w:cr/>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井研县门坎镇卫生院2024年一般公共预算基本支出129.87万元，其中：</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人员经费 128.91万元，主要包括：基本工资、津贴补贴、伙食补助费、绩效工资、机关事业单位基本养老保险缴费、职业年金缴费、职工基本医疗保险缴费、其他社会保障缴费、住房公积金。</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公用经费 0.96万元，主要包括：工会经费。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井研县门坎镇卫生院2024年没有使用财政拨款安排“三公”经费预算。</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 因公出国（境）经费较上年预算0万元，与上年持平</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2.公务接待费较2023年预算数持平。</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2024年公务接待费计划用于公务接待。</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3.公务用车购置及运行维护费较2023年预算数持平。</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单位现有公务用车</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辆，其中：轿车</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辆、旅行车（含商务车）0辆、越野车0辆、大型客、货车0辆。</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2024年安排公务用车购置费0万元，拟购置公务用车0辆，其中：轿车0辆、旅行车（含商务车）0辆、越野车0辆、大型客、货车0辆。</w:t>
      </w:r>
    </w:p>
    <w:p>
      <w:pPr>
        <w:suppressAutoHyphens/>
        <w:spacing w:line="600" w:lineRule="exact"/>
        <w:ind w:firstLine="640" w:firstLineChars="200"/>
        <w:rPr>
          <w:rFonts w:ascii="Times New Roman" w:hAnsi="Times New Roman" w:eastAsia="仿宋_GB2312"/>
          <w:sz w:val="32"/>
          <w:szCs w:val="32"/>
        </w:rPr>
      </w:pPr>
      <w:r>
        <w:rPr>
          <w:rFonts w:hint="eastAsia" w:ascii="仿宋_GB2312" w:hAnsi="Times New Roman" w:eastAsia="仿宋_GB2312"/>
          <w:sz w:val="32"/>
          <w:szCs w:val="32"/>
          <w:lang w:eastAsia="zh-CN"/>
        </w:rPr>
        <w:t>2024年安排公务用车运行维护费0万元，用于0辆公务用车燃油、维修、过路过桥费、保险等方面支出。</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井研县门坎镇卫生院为事业单位，按规定未使用机关运行的相关科目。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2024年无政府采购项目，未安排政府采购预算。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2024年井研县门坎镇卫生院安排政府购买服务预算0万元，较上年持平。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截至2023年底，井研县门坎镇卫生院所属各预算单位共有车辆</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辆，其中省部级领导干部用车0辆、定向保障用车</w:t>
      </w:r>
      <w:r>
        <w:rPr>
          <w:rFonts w:hint="eastAsia" w:ascii="仿宋_GB2312" w:hAnsi="Times New Roman" w:eastAsia="仿宋_GB2312"/>
          <w:sz w:val="32"/>
          <w:szCs w:val="32"/>
          <w:lang w:val="en-US" w:eastAsia="zh-CN"/>
        </w:rPr>
        <w:t>1</w:t>
      </w:r>
      <w:r>
        <w:rPr>
          <w:rFonts w:hint="eastAsia" w:ascii="仿宋_GB2312" w:hAnsi="Times New Roman" w:eastAsia="仿宋_GB2312"/>
          <w:sz w:val="32"/>
          <w:szCs w:val="32"/>
          <w:lang w:eastAsia="zh-CN"/>
        </w:rPr>
        <w:t>辆、执法执勤用车0辆。单位价值200万元以上大型设备0台（套）。</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2024年单位预算未安排购置车辆及单位价值200万</w:t>
      </w:r>
      <w:bookmarkStart w:id="0" w:name="_GoBack"/>
      <w:bookmarkEnd w:id="0"/>
      <w:r>
        <w:rPr>
          <w:rFonts w:hint="eastAsia" w:ascii="仿宋_GB2312" w:hAnsi="Times New Roman" w:eastAsia="仿宋_GB2312"/>
          <w:sz w:val="32"/>
          <w:szCs w:val="32"/>
          <w:lang w:eastAsia="zh-CN"/>
        </w:rPr>
        <w:t>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2024年井研县门坎镇卫生院开展绩效目标管理的项目</w:t>
      </w:r>
      <w:r>
        <w:rPr>
          <w:rFonts w:hint="eastAsia" w:ascii="仿宋_GB2312" w:hAnsi="Times New Roman" w:eastAsia="仿宋_GB2312"/>
          <w:sz w:val="32"/>
          <w:szCs w:val="32"/>
          <w:lang w:val="en-US" w:eastAsia="zh-CN"/>
        </w:rPr>
        <w:t>17</w:t>
      </w:r>
      <w:r>
        <w:rPr>
          <w:rFonts w:hint="eastAsia" w:ascii="仿宋_GB2312" w:hAnsi="Times New Roman" w:eastAsia="仿宋_GB2312"/>
          <w:sz w:val="32"/>
          <w:szCs w:val="32"/>
          <w:lang w:eastAsia="zh-CN"/>
        </w:rPr>
        <w:t>个，涉及预算</w:t>
      </w:r>
      <w:r>
        <w:rPr>
          <w:rFonts w:hint="eastAsia" w:ascii="仿宋_GB2312" w:hAnsi="Times New Roman" w:eastAsia="仿宋_GB2312"/>
          <w:sz w:val="32"/>
          <w:szCs w:val="32"/>
          <w:lang w:val="en-US" w:eastAsia="zh-CN"/>
        </w:rPr>
        <w:t>405.20</w:t>
      </w:r>
      <w:r>
        <w:rPr>
          <w:rFonts w:hint="eastAsia" w:ascii="仿宋_GB2312" w:hAnsi="Times New Roman" w:eastAsia="仿宋_GB2312"/>
          <w:sz w:val="32"/>
          <w:szCs w:val="32"/>
          <w:lang w:eastAsia="zh-CN"/>
        </w:rPr>
        <w:t>万元。其中：人员类项目0个，涉及预算0万元；运转类项目</w:t>
      </w: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lang w:eastAsia="zh-CN"/>
        </w:rPr>
        <w:t>个，涉及预算</w:t>
      </w:r>
      <w:r>
        <w:rPr>
          <w:rFonts w:hint="eastAsia" w:ascii="仿宋_GB2312" w:hAnsi="Times New Roman" w:eastAsia="仿宋_GB2312"/>
          <w:sz w:val="32"/>
          <w:szCs w:val="32"/>
          <w:lang w:val="en-US" w:eastAsia="zh-CN"/>
        </w:rPr>
        <w:t>28.03</w:t>
      </w:r>
      <w:r>
        <w:rPr>
          <w:rFonts w:hint="eastAsia" w:ascii="仿宋_GB2312" w:hAnsi="Times New Roman" w:eastAsia="仿宋_GB2312"/>
          <w:sz w:val="32"/>
          <w:szCs w:val="32"/>
          <w:lang w:eastAsia="zh-CN"/>
        </w:rPr>
        <w:t>万元；特定目标类项目</w:t>
      </w:r>
      <w:r>
        <w:rPr>
          <w:rFonts w:hint="eastAsia" w:ascii="仿宋_GB2312" w:hAnsi="Times New Roman" w:eastAsia="仿宋_GB2312"/>
          <w:sz w:val="32"/>
          <w:szCs w:val="32"/>
          <w:lang w:val="en-US" w:eastAsia="zh-CN"/>
        </w:rPr>
        <w:t>15</w:t>
      </w:r>
      <w:r>
        <w:rPr>
          <w:rFonts w:hint="eastAsia" w:ascii="仿宋_GB2312" w:hAnsi="Times New Roman" w:eastAsia="仿宋_GB2312"/>
          <w:sz w:val="32"/>
          <w:szCs w:val="32"/>
          <w:lang w:eastAsia="zh-CN"/>
        </w:rPr>
        <w:t>个，涉及预算</w:t>
      </w:r>
      <w:r>
        <w:rPr>
          <w:rFonts w:hint="eastAsia" w:ascii="仿宋_GB2312" w:hAnsi="Times New Roman" w:eastAsia="仿宋_GB2312"/>
          <w:sz w:val="32"/>
          <w:szCs w:val="32"/>
          <w:lang w:val="en-US" w:eastAsia="zh-CN"/>
        </w:rPr>
        <w:t>377.17</w:t>
      </w:r>
      <w:r>
        <w:rPr>
          <w:rFonts w:hint="eastAsia" w:ascii="仿宋_GB2312" w:hAnsi="Times New Roman" w:eastAsia="仿宋_GB2312"/>
          <w:sz w:val="32"/>
          <w:szCs w:val="32"/>
          <w:lang w:eastAsia="zh-CN"/>
        </w:rPr>
        <w:t>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 xml:space="preserve">1.一般公共预算拨款收入：指省级财政当年拨付的资金。 </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2.社会保障和就业支出（类）行政事业单位养老支出（款）机关事业单位基本养老保险缴费支出（项）：反映机关事业单位实施养老保险制度由单位缴纳的基本养老保险费支出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3.社会保障和就业支出（类）行政事业单位养老支出（款）机关事业单位职业年金缴费支出（项）：反映机关事业单位实施养老保险制度由单位实际缴纳的职业年金支出。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4.社会保障和就业支出（类）就业补助（款）其他就业补助支出（项）：反映除上述项目以外按规定确定的其他用于促进就业的补助支出。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5.卫生健康支出（类）基层医疗卫生机构（款）乡镇卫生院（项）：反映用于乡镇卫生院的支出。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6.卫生健康支出（类）基层医疗卫生机构（款）其他基层医疗卫生机构支出（项）：反映除上述项目以外的其他用于基层医疗卫生机构的支出。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7.卫生健康支出（类）行政事业单位医疗（款）事业单位医疗（项）：反映财政部门安排的事业单位基本医疗保险缴费经费，未参加医疗保险的事业单位的公费医疗经费，按国家规定享受离休人员待遇的医疗经费。</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8.卫生健康支出（类）行政事业单位医疗（款）其他行政事业单位医疗支出（项）：反映除上述项目以外的其他用于行政事业单位医疗方面的支出。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9.住房保障支出（类）住房改革支出（款）住房公积金（项）：反映行政事业单位按人力资源和社会保障部、财政部规定的基本工资和津贴补贴以及规定比例为职工缴纳的住房公积金。</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10.基本支出：指为保证机构正常运转，完成日常工作任务而发生的人员支出和公用支出。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11.项目支出：指在基本支出之外为完成特定行政任务和事业发展目标所发生的支出。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uppressAutoHyphens/>
        <w:spacing w:line="60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Times New Roman" w:eastAsia="仿宋_GB2312"/>
          <w:sz w:val="32"/>
          <w:szCs w:val="32"/>
          <w:lang w:eastAsia="zh-CN"/>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kYzRmZjc2OWNkODU0OTQ1NTVlMTk5ZTdiMjgyNWU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1D66E0"/>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0123"/>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481111"/>
    <w:rsid w:val="3799225C"/>
    <w:rsid w:val="379E73FF"/>
    <w:rsid w:val="37A9129E"/>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866C82"/>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A356C8"/>
    <w:rsid w:val="4BBF5B71"/>
    <w:rsid w:val="4D477799"/>
    <w:rsid w:val="4D6455F8"/>
    <w:rsid w:val="4E3715BC"/>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5610712"/>
    <w:rsid w:val="65AD4A5B"/>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jc w:val="left"/>
    </w:pPr>
    <w:rPr>
      <w:kern w:val="0"/>
      <w:sz w:val="24"/>
    </w:rPr>
  </w:style>
  <w:style w:type="character" w:customStyle="1" w:styleId="8">
    <w:name w:val="页眉 字符"/>
    <w:basedOn w:val="7"/>
    <w:link w:val="4"/>
    <w:autoRedefine/>
    <w:qFormat/>
    <w:uiPriority w:val="0"/>
    <w:rPr>
      <w:rFonts w:ascii="Calibri" w:hAnsi="Calibri"/>
      <w:kern w:val="2"/>
      <w:sz w:val="18"/>
      <w:szCs w:val="18"/>
    </w:rPr>
  </w:style>
  <w:style w:type="paragraph" w:customStyle="1" w:styleId="9">
    <w:name w:val="〖A08〗公文标题"/>
    <w:basedOn w:val="1"/>
    <w:next w:val="1"/>
    <w:autoRedefine/>
    <w:qFormat/>
    <w:uiPriority w:val="0"/>
    <w:pPr>
      <w:topLinePunct/>
      <w:spacing w:line="600" w:lineRule="exact"/>
      <w:jc w:val="center"/>
    </w:pPr>
    <w:rPr>
      <w:rFonts w:ascii="方正小标宋简体" w:hAnsi="Calibri" w:eastAsia="方正小标宋简体"/>
      <w:sz w:val="44"/>
      <w:szCs w:val="22"/>
    </w:rPr>
  </w:style>
  <w:style w:type="paragraph" w:customStyle="1" w:styleId="10">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5</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玉</cp:lastModifiedBy>
  <dcterms:modified xsi:type="dcterms:W3CDTF">2024-02-02T01:45:03Z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90C743278B2449B68D9060BE06880FDD</vt:lpwstr>
  </property>
</Properties>
</file>