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pPr>
      <w:r>
        <w:rPr>
          <w:rFonts w:hint="eastAsia" w:ascii="方正小标宋_GBK" w:hAnsi="方正小标宋_GBK" w:eastAsia="方正小标宋_GBK" w:cs="方正小标宋_GBK"/>
          <w:color w:val="000000"/>
          <w:kern w:val="0"/>
          <w:sz w:val="43"/>
          <w:szCs w:val="43"/>
          <w:lang w:bidi="ar"/>
        </w:rPr>
        <w:t>井研县研经镇中心卫生院</w:t>
      </w:r>
      <w:r>
        <w:rPr>
          <w:rFonts w:ascii="方正小标宋_GBK" w:hAnsi="方正小标宋_GBK" w:eastAsia="方正小标宋_GBK" w:cs="方正小标宋_GBK"/>
          <w:color w:val="000000"/>
          <w:sz w:val="43"/>
          <w:u w:color="auto"/>
        </w:rPr>
        <w:t>单位2024</w:t>
      </w:r>
      <w:r>
        <w:rPr>
          <w:rFonts w:ascii="方正小标宋_GBK" w:hAnsi="方正小标宋_GBK" w:eastAsia="方正小标宋_GBK" w:cs="方正小标宋_GBK"/>
          <w:color w:val="000000"/>
          <w:kern w:val="0"/>
          <w:sz w:val="43"/>
          <w:szCs w:val="43"/>
          <w:lang w:bidi="ar"/>
        </w:rPr>
        <w:t>年部门预算编制说明</w:t>
      </w:r>
    </w:p>
    <w:p>
      <w:pPr>
        <w:pStyle w:val="5"/>
        <w:widowControl/>
        <w:spacing w:before="0" w:beforeAutospacing="0" w:after="0" w:afterAutospacing="0" w:line="600" w:lineRule="exact"/>
        <w:ind w:firstLine="640" w:firstLineChars="200"/>
        <w:outlineLvl w:val="1"/>
        <w:rPr>
          <w:rFonts w:ascii="Times New Roman" w:hAnsi="Times New Roman" w:eastAsia="黑体"/>
          <w:sz w:val="32"/>
          <w:szCs w:val="32"/>
        </w:rPr>
      </w:pPr>
      <w:r>
        <w:rPr>
          <w:rFonts w:hint="eastAsia" w:ascii="Times New Roman" w:hAnsi="Times New Roman" w:eastAsia="黑体"/>
          <w:sz w:val="32"/>
          <w:szCs w:val="32"/>
        </w:rPr>
        <w:t>一、基本职能及主要工作</w:t>
      </w:r>
    </w:p>
    <w:p>
      <w:pPr>
        <w:spacing w:line="580" w:lineRule="exact"/>
        <w:ind w:firstLine="643" w:firstLineChars="200"/>
        <w:jc w:val="left"/>
        <w:outlineLvl w:val="2"/>
        <w:rPr>
          <w:rFonts w:ascii="Times New Roman" w:hAnsi="Times New Roman" w:eastAsia="楷体_GB2312"/>
          <w:b/>
          <w:sz w:val="32"/>
          <w:szCs w:val="32"/>
        </w:rPr>
      </w:pPr>
      <w:r>
        <w:rPr>
          <w:rFonts w:ascii="Times New Roman" w:hAnsi="Times New Roman" w:eastAsia="楷体_GB2312"/>
          <w:b/>
          <w:sz w:val="32"/>
          <w:szCs w:val="32"/>
        </w:rPr>
        <w:t>(</w:t>
      </w:r>
      <w:r>
        <w:rPr>
          <w:rFonts w:hint="eastAsia" w:ascii="Times New Roman" w:hAnsi="Times New Roman" w:eastAsia="楷体_GB2312"/>
          <w:b/>
          <w:sz w:val="32"/>
          <w:szCs w:val="32"/>
        </w:rPr>
        <w:t>一</w:t>
      </w:r>
      <w:r>
        <w:rPr>
          <w:rFonts w:ascii="Times New Roman" w:hAnsi="Times New Roman" w:eastAsia="楷体_GB2312"/>
          <w:b/>
          <w:sz w:val="32"/>
          <w:szCs w:val="32"/>
        </w:rPr>
        <w:t>)</w:t>
      </w:r>
      <w:r>
        <w:rPr>
          <w:rFonts w:hint="eastAsia" w:ascii="Times New Roman" w:hAnsi="Times New Roman" w:eastAsia="楷体_GB2312"/>
          <w:b/>
          <w:sz w:val="32"/>
          <w:szCs w:val="32"/>
        </w:rPr>
        <w:t>井研县研经镇中心卫生院单位</w:t>
      </w:r>
      <w:r>
        <w:rPr>
          <w:rFonts w:ascii="Times New Roman" w:hAnsi="Times New Roman" w:eastAsia="楷体_GB2312"/>
          <w:b/>
          <w:sz w:val="32"/>
          <w:szCs w:val="32"/>
        </w:rPr>
        <w:t>职能简介。</w:t>
      </w:r>
    </w:p>
    <w:p>
      <w:pPr>
        <w:spacing w:line="580" w:lineRule="exact"/>
        <w:ind w:firstLine="640" w:firstLineChars="200"/>
        <w:jc w:val="left"/>
        <w:outlineLvl w:val="2"/>
        <w:rPr>
          <w:rFonts w:hint="eastAsia" w:ascii="仿宋" w:hAnsi="仿宋" w:eastAsia="仿宋" w:cs="仿宋"/>
          <w:bCs/>
          <w:sz w:val="32"/>
          <w:szCs w:val="32"/>
        </w:rPr>
      </w:pPr>
      <w:r>
        <w:rPr>
          <w:rFonts w:hint="eastAsia" w:ascii="仿宋" w:hAnsi="仿宋" w:eastAsia="仿宋" w:cs="仿宋"/>
          <w:bCs/>
          <w:sz w:val="32"/>
          <w:szCs w:val="32"/>
        </w:rPr>
        <w:t>以公共卫生服务为主，综合提供预防、保健和基本医疗等服务。</w:t>
      </w:r>
    </w:p>
    <w:p>
      <w:pPr>
        <w:numPr>
          <w:ilvl w:val="0"/>
          <w:numId w:val="1"/>
        </w:numPr>
        <w:spacing w:line="580" w:lineRule="exact"/>
        <w:ind w:firstLine="643" w:firstLineChars="200"/>
        <w:jc w:val="left"/>
        <w:outlineLvl w:val="2"/>
        <w:rPr>
          <w:rFonts w:ascii="Times New Roman" w:hAnsi="Times New Roman" w:eastAsia="楷体_GB2312"/>
          <w:b/>
          <w:sz w:val="32"/>
          <w:szCs w:val="32"/>
        </w:rPr>
      </w:pPr>
      <w:r>
        <w:rPr>
          <w:rFonts w:hint="eastAsia" w:ascii="Times New Roman" w:hAnsi="Times New Roman" w:eastAsia="楷体_GB2312"/>
          <w:b/>
          <w:sz w:val="32"/>
          <w:szCs w:val="32"/>
        </w:rPr>
        <w:t>井研县研经镇中心卫生院单位</w:t>
      </w:r>
      <w:r>
        <w:rPr>
          <w:rFonts w:ascii="Times New Roman" w:hAnsi="Times New Roman" w:eastAsia="楷体_GB2312"/>
          <w:b/>
          <w:sz w:val="32"/>
          <w:szCs w:val="32"/>
        </w:rPr>
        <w:t>重点工作。</w:t>
      </w:r>
    </w:p>
    <w:p>
      <w:pPr>
        <w:spacing w:line="580" w:lineRule="exact"/>
        <w:ind w:firstLine="640" w:firstLineChars="200"/>
        <w:jc w:val="left"/>
        <w:outlineLvl w:val="2"/>
        <w:rPr>
          <w:rFonts w:hint="eastAsia" w:ascii="仿宋" w:hAnsi="仿宋" w:eastAsia="仿宋" w:cs="仿宋"/>
          <w:b/>
          <w:sz w:val="32"/>
          <w:szCs w:val="32"/>
        </w:rPr>
      </w:pPr>
      <w:r>
        <w:rPr>
          <w:rFonts w:hint="eastAsia" w:ascii="仿宋" w:hAnsi="仿宋" w:eastAsia="仿宋" w:cs="仿宋"/>
          <w:bCs/>
          <w:sz w:val="32"/>
          <w:szCs w:val="32"/>
        </w:rPr>
        <w:t>做到公卫人员包村包户，把家庭医生签约工作做细做实；规范重点人群管理工作，定期对慢病人员进行筛查，对高血压、糖尿病及重性精神病等慢病人员规范管理；加强老年人及儿童健康管理工作，定期入户为老年人和儿童进行健康体检；积极开展预防接种工作，及时通知适龄儿童接种国家免疫规划疫苗，保护个体和人群不受病原因子的感染和发病，起到消除或消灭所针对的传染病的目的。全力做好疫情防控保障，做好辖区内消杀防疫工作。认真完成局机关安排的各项临时工作任务。</w:t>
      </w:r>
    </w:p>
    <w:p>
      <w:pPr>
        <w:pStyle w:val="5"/>
        <w:widowControl/>
        <w:spacing w:before="0" w:beforeAutospacing="0" w:after="0" w:afterAutospacing="0" w:line="600" w:lineRule="exact"/>
        <w:ind w:firstLine="640" w:firstLineChars="200"/>
        <w:outlineLvl w:val="1"/>
        <w:rPr>
          <w:rFonts w:ascii="Times New Roman" w:hAnsi="Times New Roman" w:eastAsia="黑体"/>
          <w:sz w:val="32"/>
          <w:szCs w:val="32"/>
        </w:rPr>
      </w:pPr>
      <w:r>
        <w:rPr>
          <w:rFonts w:hint="eastAsia" w:ascii="Times New Roman" w:hAnsi="Times New Roman" w:eastAsia="黑体"/>
          <w:sz w:val="32"/>
          <w:szCs w:val="32"/>
        </w:rPr>
        <w:t>二、部门概况</w:t>
      </w:r>
    </w:p>
    <w:p>
      <w:pPr>
        <w:spacing w:line="580" w:lineRule="exact"/>
        <w:ind w:firstLine="640" w:firstLineChars="200"/>
        <w:jc w:val="left"/>
        <w:outlineLvl w:val="2"/>
        <w:rPr>
          <w:rFonts w:hint="eastAsia" w:ascii="仿宋" w:hAnsi="仿宋" w:eastAsia="仿宋" w:cs="仿宋"/>
          <w:sz w:val="32"/>
          <w:szCs w:val="32"/>
        </w:rPr>
      </w:pPr>
      <w:r>
        <w:rPr>
          <w:rFonts w:hint="eastAsia" w:ascii="仿宋" w:hAnsi="仿宋" w:eastAsia="仿宋" w:cs="仿宋"/>
          <w:bCs/>
          <w:sz w:val="32"/>
          <w:szCs w:val="32"/>
        </w:rPr>
        <w:t>我卫生院为一级甲等，财政全额补助事业单位</w:t>
      </w:r>
    </w:p>
    <w:p>
      <w:pPr>
        <w:pStyle w:val="5"/>
        <w:widowControl/>
        <w:spacing w:before="0" w:beforeAutospacing="0" w:after="0" w:afterAutospacing="0" w:line="600" w:lineRule="exact"/>
        <w:ind w:firstLine="640" w:firstLineChars="200"/>
        <w:outlineLvl w:val="1"/>
        <w:rPr>
          <w:rFonts w:ascii="Times New Roman" w:hAnsi="Times New Roman" w:eastAsia="黑体"/>
          <w:sz w:val="32"/>
          <w:szCs w:val="32"/>
        </w:rPr>
      </w:pPr>
      <w:r>
        <w:rPr>
          <w:rFonts w:hint="eastAsia" w:ascii="Times New Roman" w:hAnsi="Times New Roman" w:eastAsia="黑体"/>
          <w:sz w:val="32"/>
          <w:szCs w:val="32"/>
        </w:rPr>
        <w:t>三、收支预算总体情况</w:t>
      </w:r>
    </w:p>
    <w:p>
      <w:pPr>
        <w:spacing w:line="580" w:lineRule="exact"/>
        <w:ind w:firstLine="640" w:firstLineChars="200"/>
        <w:jc w:val="left"/>
        <w:rPr>
          <w:rFonts w:ascii="Times New Roman" w:hAnsi="Times New Roman" w:eastAsia="仿宋_GB2312"/>
          <w:sz w:val="32"/>
          <w:szCs w:val="32"/>
        </w:rPr>
      </w:pPr>
      <w:r>
        <w:rPr>
          <w:rFonts w:hint="eastAsia" w:ascii="仿宋" w:hAnsi="仿宋" w:eastAsia="仿宋" w:cs="仿宋"/>
          <w:sz w:val="32"/>
          <w:szCs w:val="32"/>
        </w:rPr>
        <w:t>按照综合预算的原则，</w:t>
      </w:r>
      <w:r>
        <w:rPr>
          <w:rFonts w:ascii="仿宋" w:hAnsi="仿宋" w:eastAsia="仿宋" w:cs="仿宋"/>
          <w:sz w:val="32"/>
          <w:u w:color="auto"/>
        </w:rPr>
        <w:t>井研县研经镇中心卫生院所有收入和支出均纳入单位预算管理。收入包括：一般公共预算拨款收入、事业收入；支出包括：卫生健康支出、住房保障支出、社会保障和就业支出。井研县研经镇中心卫生院2024年收支预算总数比2023年增加85.05万元，主要原因是事业收入增加。</w:t>
      </w:r>
    </w:p>
    <w:p>
      <w:pPr>
        <w:spacing w:line="580" w:lineRule="exact"/>
        <w:ind w:firstLine="643" w:firstLineChars="200"/>
        <w:jc w:val="left"/>
        <w:outlineLvl w:val="2"/>
        <w:rPr>
          <w:rFonts w:ascii="Times New Roman" w:hAnsi="Times New Roman" w:eastAsia="楷体_GB2312"/>
          <w:b/>
          <w:sz w:val="32"/>
          <w:szCs w:val="32"/>
        </w:rPr>
      </w:pPr>
      <w:r>
        <w:rPr>
          <w:rFonts w:hint="eastAsia" w:ascii="Times New Roman" w:hAnsi="Times New Roman" w:eastAsia="楷体_GB2312"/>
          <w:b/>
          <w:sz w:val="32"/>
          <w:szCs w:val="32"/>
        </w:rPr>
        <w:t>（一）收入预算情况</w:t>
      </w:r>
    </w:p>
    <w:p>
      <w:pPr>
        <w:spacing w:line="58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井研县研经镇中心卫生院</w:t>
      </w:r>
      <w:r>
        <w:rPr>
          <w:rFonts w:hint="eastAsia" w:ascii="仿宋" w:hAnsi="仿宋" w:eastAsia="仿宋" w:cs="仿宋"/>
          <w:sz w:val="32"/>
          <w:u w:color="auto"/>
        </w:rPr>
        <w:t>2024</w:t>
      </w:r>
      <w:r>
        <w:rPr>
          <w:rFonts w:hint="eastAsia" w:ascii="仿宋" w:hAnsi="仿宋" w:eastAsia="仿宋" w:cs="仿宋"/>
          <w:sz w:val="32"/>
          <w:szCs w:val="32"/>
        </w:rPr>
        <w:t>年收入预算925.44万元，上年结转0万元；一般公共预算拨款收入375.44万元，占40.57%；事业收入550.0万元，占59.43%。</w:t>
      </w:r>
    </w:p>
    <w:p>
      <w:pPr>
        <w:spacing w:line="580" w:lineRule="exact"/>
        <w:ind w:firstLine="643" w:firstLineChars="200"/>
        <w:jc w:val="left"/>
        <w:outlineLvl w:val="2"/>
        <w:rPr>
          <w:rFonts w:ascii="Times New Roman" w:hAnsi="Times New Roman" w:eastAsia="楷体_GB2312"/>
          <w:b/>
          <w:sz w:val="32"/>
          <w:szCs w:val="32"/>
        </w:rPr>
      </w:pPr>
      <w:r>
        <w:rPr>
          <w:rFonts w:hint="eastAsia" w:ascii="Times New Roman" w:hAnsi="Times New Roman" w:eastAsia="楷体_GB2312"/>
          <w:b/>
          <w:sz w:val="32"/>
          <w:szCs w:val="32"/>
        </w:rPr>
        <w:t>（二）支出预算情况</w:t>
      </w:r>
    </w:p>
    <w:p>
      <w:pPr>
        <w:spacing w:line="58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井研县研经镇中心卫生院</w:t>
      </w:r>
      <w:r>
        <w:rPr>
          <w:rFonts w:hint="eastAsia" w:ascii="仿宋" w:hAnsi="仿宋" w:eastAsia="仿宋" w:cs="仿宋"/>
          <w:sz w:val="32"/>
          <w:u w:color="auto"/>
        </w:rPr>
        <w:t>2024</w:t>
      </w:r>
      <w:r>
        <w:rPr>
          <w:rFonts w:hint="eastAsia" w:ascii="仿宋" w:hAnsi="仿宋" w:eastAsia="仿宋" w:cs="仿宋"/>
          <w:sz w:val="32"/>
          <w:szCs w:val="32"/>
        </w:rPr>
        <w:t>年支出预算925.44万元，其中：基本支出488.16万元，占52.75%项目支出437.28万元，占47.25%。</w:t>
      </w:r>
    </w:p>
    <w:p>
      <w:pPr>
        <w:spacing w:line="580" w:lineRule="exact"/>
        <w:ind w:firstLine="640" w:firstLineChars="200"/>
        <w:jc w:val="left"/>
        <w:outlineLvl w:val="1"/>
        <w:rPr>
          <w:rFonts w:ascii="Times New Roman" w:hAnsi="Times New Roman" w:eastAsia="黑体"/>
          <w:sz w:val="32"/>
          <w:szCs w:val="32"/>
        </w:rPr>
      </w:pPr>
      <w:r>
        <w:rPr>
          <w:rFonts w:hint="eastAsia" w:ascii="Times New Roman" w:hAnsi="Times New Roman" w:eastAsia="黑体"/>
          <w:sz w:val="32"/>
          <w:szCs w:val="32"/>
        </w:rPr>
        <w:t>四、财政拨款收支预算情况说明</w:t>
      </w:r>
    </w:p>
    <w:p>
      <w:pPr>
        <w:spacing w:line="58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井研县研经镇中心卫生院</w:t>
      </w:r>
      <w:r>
        <w:rPr>
          <w:rFonts w:hint="eastAsia" w:ascii="仿宋" w:hAnsi="仿宋" w:eastAsia="仿宋" w:cs="仿宋"/>
          <w:sz w:val="32"/>
          <w:u w:color="auto"/>
        </w:rPr>
        <w:t>2024</w:t>
      </w:r>
      <w:r>
        <w:rPr>
          <w:rFonts w:hint="eastAsia" w:ascii="仿宋" w:hAnsi="仿宋" w:eastAsia="仿宋" w:cs="仿宋"/>
          <w:sz w:val="32"/>
          <w:szCs w:val="32"/>
        </w:rPr>
        <w:t>年财政拨款收支预算总数375.44万元，比2023年财政拨款收支预算总数减少1.15万元。</w:t>
      </w:r>
      <w:r>
        <w:rPr>
          <w:rFonts w:hint="eastAsia" w:ascii="仿宋" w:hAnsi="仿宋" w:eastAsia="仿宋" w:cs="仿宋"/>
          <w:sz w:val="32"/>
          <w:u w:color="auto"/>
        </w:rPr>
        <w:t>主要原因是公用经费变动</w:t>
      </w:r>
      <w:r>
        <w:rPr>
          <w:rFonts w:hint="eastAsia" w:ascii="仿宋" w:hAnsi="仿宋" w:eastAsia="仿宋" w:cs="仿宋"/>
          <w:sz w:val="32"/>
          <w:szCs w:val="32"/>
        </w:rPr>
        <w:t>。</w:t>
      </w:r>
    </w:p>
    <w:p>
      <w:pPr>
        <w:spacing w:line="58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收入包括： 一般公共预算拨款收入375.44万元；支出包括： 卫生健康支出283.69万元、 住房保障支出24.71万元、 社会保障和就业支出67.04万元。</w:t>
      </w:r>
    </w:p>
    <w:p>
      <w:pPr>
        <w:spacing w:line="580" w:lineRule="exact"/>
        <w:ind w:firstLine="640" w:firstLineChars="200"/>
        <w:jc w:val="left"/>
        <w:outlineLvl w:val="1"/>
        <w:rPr>
          <w:rFonts w:ascii="Times New Roman" w:hAnsi="Times New Roman" w:eastAsia="黑体"/>
          <w:sz w:val="32"/>
          <w:szCs w:val="32"/>
        </w:rPr>
      </w:pPr>
      <w:r>
        <w:rPr>
          <w:rFonts w:hint="eastAsia" w:ascii="Times New Roman" w:hAnsi="Times New Roman" w:eastAsia="黑体"/>
          <w:sz w:val="32"/>
          <w:szCs w:val="32"/>
        </w:rPr>
        <w:t>五、一般公共预算当年拨款情况说明</w:t>
      </w:r>
    </w:p>
    <w:p>
      <w:pPr>
        <w:spacing w:line="580" w:lineRule="exact"/>
        <w:ind w:firstLine="643" w:firstLineChars="200"/>
        <w:jc w:val="left"/>
        <w:outlineLvl w:val="2"/>
        <w:rPr>
          <w:rFonts w:ascii="Times New Roman" w:hAnsi="Times New Roman" w:eastAsia="楷体_GB2312"/>
          <w:b/>
          <w:sz w:val="32"/>
          <w:szCs w:val="32"/>
        </w:rPr>
      </w:pPr>
      <w:r>
        <w:rPr>
          <w:rFonts w:hint="eastAsia" w:ascii="Times New Roman" w:hAnsi="Times New Roman" w:eastAsia="楷体_GB2312"/>
          <w:b/>
          <w:sz w:val="32"/>
          <w:szCs w:val="32"/>
        </w:rPr>
        <w:t>（一）一般公共预算当年拨款规模变化情况</w:t>
      </w:r>
    </w:p>
    <w:p>
      <w:pPr>
        <w:spacing w:line="58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井研县研经镇中心卫生院</w:t>
      </w:r>
      <w:r>
        <w:rPr>
          <w:rFonts w:hint="eastAsia" w:ascii="仿宋" w:hAnsi="仿宋" w:eastAsia="仿宋" w:cs="仿宋"/>
          <w:sz w:val="32"/>
          <w:u w:color="auto"/>
        </w:rPr>
        <w:t>2024年一般公共预算当年拨款375.44万元，比2023年预算数减少1.15万元。主要原因是公用经费变动。</w:t>
      </w:r>
    </w:p>
    <w:p>
      <w:pPr>
        <w:spacing w:line="580" w:lineRule="exact"/>
        <w:ind w:firstLine="643" w:firstLineChars="200"/>
        <w:jc w:val="left"/>
        <w:outlineLvl w:val="2"/>
        <w:rPr>
          <w:rFonts w:ascii="Times New Roman" w:hAnsi="Times New Roman" w:eastAsia="楷体_GB2312"/>
          <w:b/>
          <w:sz w:val="32"/>
          <w:szCs w:val="32"/>
        </w:rPr>
      </w:pPr>
      <w:r>
        <w:rPr>
          <w:rFonts w:hint="eastAsia" w:ascii="Times New Roman" w:hAnsi="Times New Roman" w:eastAsia="楷体_GB2312"/>
          <w:b/>
          <w:sz w:val="32"/>
          <w:szCs w:val="32"/>
        </w:rPr>
        <w:t>（二）一般公共预算当年拨款结构情况</w:t>
      </w:r>
    </w:p>
    <w:p>
      <w:pPr>
        <w:spacing w:line="58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 卫生健康支出283.69万元，占75.56%、 住房保障支出24.71万元，占6.58%、 社会保障和就业支出67.04万元，占17.86%。</w:t>
      </w:r>
    </w:p>
    <w:p>
      <w:pPr>
        <w:spacing w:line="580" w:lineRule="exact"/>
        <w:ind w:firstLine="643" w:firstLineChars="200"/>
        <w:jc w:val="left"/>
        <w:outlineLvl w:val="2"/>
        <w:rPr>
          <w:rFonts w:ascii="Times New Roman" w:hAnsi="Times New Roman" w:eastAsia="楷体_GB2312"/>
          <w:b/>
          <w:sz w:val="32"/>
          <w:szCs w:val="32"/>
        </w:rPr>
      </w:pPr>
      <w:r>
        <w:rPr>
          <w:rFonts w:hint="eastAsia" w:ascii="Times New Roman" w:hAnsi="Times New Roman" w:eastAsia="楷体_GB2312"/>
          <w:b/>
          <w:sz w:val="32"/>
          <w:szCs w:val="32"/>
        </w:rPr>
        <w:t>（三）一般公共预算当年拨款具体使用情况</w:t>
      </w:r>
    </w:p>
    <w:p>
      <w:pPr>
        <w:spacing w:line="580" w:lineRule="exact"/>
        <w:ind w:firstLine="640" w:firstLineChars="200"/>
        <w:jc w:val="left"/>
        <w:rPr>
          <w:rFonts w:ascii="仿宋" w:hAnsi="仿宋" w:eastAsia="仿宋" w:cs="仿宋"/>
          <w:sz w:val="32"/>
          <w:szCs w:val="32"/>
        </w:rPr>
      </w:pPr>
      <w:r>
        <w:rPr>
          <w:rFonts w:hint="eastAsia" w:ascii="仿宋" w:hAnsi="仿宋" w:eastAsia="仿宋" w:cs="仿宋"/>
          <w:sz w:val="32"/>
          <w:szCs w:val="32"/>
        </w:rPr>
        <w:t>1.社会保障和就业支出（类）行政事业单位养老支出（款）机关事业单位基本养老保险缴费支出（项）2024年预算数为27.57万元，主要用于：机关事业单位实施养老保险制度由单位缴纳的基本养老保险费支出。</w:t>
      </w:r>
      <w:r>
        <w:rPr>
          <w:rFonts w:hint="eastAsia" w:ascii="仿宋" w:hAnsi="仿宋" w:eastAsia="仿宋" w:cs="仿宋"/>
          <w:sz w:val="32"/>
          <w:szCs w:val="32"/>
        </w:rPr>
        <w:cr/>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2.社会保障和就业支出（类）行政事业单位养老支出（款）机关事业单位职业年金缴费支出（项）2024年预算数为13.78万元，主要用于：机关事业单位实施养老保险制度由单位实际缴纳的职业年金支出。</w:t>
      </w:r>
      <w:r>
        <w:rPr>
          <w:rFonts w:hint="eastAsia" w:ascii="仿宋" w:hAnsi="仿宋" w:eastAsia="仿宋" w:cs="仿宋"/>
          <w:sz w:val="32"/>
          <w:szCs w:val="32"/>
        </w:rPr>
        <w:cr/>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3.社会保障和就业支出（类）就业补助（款）其他就业补助支出（项）2024年预算数为25.69万元，主要用于：除上述项目以外按规定确定的其他用于促进就业的补助支出。</w:t>
      </w:r>
      <w:r>
        <w:rPr>
          <w:rFonts w:hint="eastAsia" w:ascii="仿宋" w:hAnsi="仿宋" w:eastAsia="仿宋" w:cs="仿宋"/>
          <w:sz w:val="32"/>
          <w:szCs w:val="32"/>
        </w:rPr>
        <w:cr/>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4.卫生健康支出（类）基层医疗卫生机构（款）乡镇卫生院（项）2024年预算数为258.2万元，主要用于：用于乡镇卫生院的支出。</w:t>
      </w:r>
      <w:r>
        <w:rPr>
          <w:rFonts w:hint="eastAsia" w:ascii="仿宋" w:hAnsi="仿宋" w:eastAsia="仿宋" w:cs="仿宋"/>
          <w:sz w:val="32"/>
          <w:szCs w:val="32"/>
        </w:rPr>
        <w:cr/>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5.卫生健康支出（类）基层医疗卫生机构（款）其他基层医疗卫生机构支出（项）2024年预算数为10.67万元，主要用于：除上述项目以外的其他用于基层医疗卫生机构的支出。</w:t>
      </w:r>
      <w:r>
        <w:rPr>
          <w:rFonts w:hint="eastAsia" w:ascii="仿宋" w:hAnsi="仿宋" w:eastAsia="仿宋" w:cs="仿宋"/>
          <w:sz w:val="32"/>
          <w:szCs w:val="32"/>
        </w:rPr>
        <w:cr/>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6.卫生健康支出（类）行政事业单位医疗（款）事业单位医疗（项）2024年预算数为12.11万元，主要用于：财政部门安排的事业单位基本医疗保险缴费经费，未参加医疗保险的事业单位的公费医疗经费，按国家规定享受离休人员待遇的医疗经费。</w:t>
      </w:r>
      <w:r>
        <w:rPr>
          <w:rFonts w:hint="eastAsia" w:ascii="仿宋" w:hAnsi="仿宋" w:eastAsia="仿宋" w:cs="仿宋"/>
          <w:sz w:val="32"/>
          <w:szCs w:val="32"/>
        </w:rPr>
        <w:cr/>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7.卫生健康支出（类）行政事业单位医疗（款）其他行政事业单位医疗支出（项）2024年预算数为2.7万元，主要用于：除上述项目以外的其他用于行政事业单位医疗方面的支出。</w:t>
      </w:r>
      <w:r>
        <w:rPr>
          <w:rFonts w:hint="eastAsia" w:ascii="仿宋" w:hAnsi="仿宋" w:eastAsia="仿宋" w:cs="仿宋"/>
          <w:sz w:val="32"/>
          <w:szCs w:val="32"/>
        </w:rPr>
        <w:cr/>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8.住房保障支出（类）住房改革支出（款）住房公积金（项）2024年预算数为24.71万元，主要用于：行政事业单位按人力资源和社会保障部、财政部规定的基本工资和津贴补贴以及规定比例为职工缴纳的住房公积金。</w:t>
      </w:r>
    </w:p>
    <w:p>
      <w:pPr>
        <w:spacing w:line="580" w:lineRule="exact"/>
        <w:ind w:firstLine="640" w:firstLineChars="200"/>
        <w:jc w:val="left"/>
        <w:outlineLvl w:val="1"/>
        <w:rPr>
          <w:rFonts w:ascii="Times New Roman" w:hAnsi="Times New Roman" w:eastAsia="黑体"/>
          <w:sz w:val="32"/>
          <w:szCs w:val="32"/>
        </w:rPr>
      </w:pPr>
      <w:r>
        <w:rPr>
          <w:rFonts w:hint="eastAsia" w:ascii="Times New Roman" w:hAnsi="Times New Roman" w:eastAsia="黑体"/>
          <w:sz w:val="32"/>
          <w:szCs w:val="32"/>
        </w:rPr>
        <w:t>六、一般公共预算基本支出情况说明</w:t>
      </w:r>
    </w:p>
    <w:p>
      <w:pPr>
        <w:spacing w:line="580" w:lineRule="exact"/>
        <w:ind w:firstLine="640" w:firstLineChars="200"/>
        <w:jc w:val="left"/>
        <w:rPr>
          <w:rFonts w:ascii="仿宋" w:hAnsi="仿宋" w:eastAsia="仿宋" w:cs="仿宋"/>
          <w:sz w:val="32"/>
          <w:szCs w:val="32"/>
        </w:rPr>
      </w:pPr>
      <w:r>
        <w:rPr>
          <w:rFonts w:hint="eastAsia" w:ascii="仿宋" w:hAnsi="仿宋" w:eastAsia="仿宋" w:cs="仿宋"/>
          <w:sz w:val="32"/>
          <w:szCs w:val="32"/>
        </w:rPr>
        <w:t>井研县研经镇中心卫生院</w:t>
      </w:r>
      <w:r>
        <w:rPr>
          <w:rFonts w:ascii="仿宋" w:hAnsi="仿宋" w:eastAsia="仿宋" w:cs="仿宋"/>
          <w:sz w:val="32"/>
          <w:u w:color="auto"/>
        </w:rPr>
        <w:t>2024年一般公共预算基本支出278.79万元，其中：</w:t>
      </w:r>
    </w:p>
    <w:p>
      <w:pPr>
        <w:spacing w:line="580" w:lineRule="exact"/>
        <w:ind w:firstLine="640" w:firstLineChars="200"/>
        <w:jc w:val="left"/>
        <w:rPr>
          <w:rFonts w:ascii="仿宋" w:hAnsi="仿宋" w:eastAsia="仿宋" w:cs="仿宋"/>
          <w:sz w:val="32"/>
          <w:szCs w:val="32"/>
        </w:rPr>
      </w:pPr>
      <w:r>
        <w:rPr>
          <w:rFonts w:hint="eastAsia" w:ascii="仿宋" w:hAnsi="仿宋" w:eastAsia="仿宋" w:cs="仿宋"/>
          <w:sz w:val="32"/>
          <w:szCs w:val="32"/>
        </w:rPr>
        <w:t xml:space="preserve">人员经费 </w:t>
      </w:r>
      <w:r>
        <w:rPr>
          <w:rFonts w:ascii="仿宋" w:hAnsi="仿宋" w:eastAsia="仿宋" w:cs="仿宋"/>
          <w:sz w:val="32"/>
          <w:u w:color="auto"/>
        </w:rPr>
        <w:t>276.72万元，主要包括：基本工资、津贴补贴、伙食补助费、绩效工资、机关事业单位基本养老保险缴费、职业年金缴费、职工基本医疗保险缴费、其他社会保障缴费、住房公积金、生活补助、奖励金。</w:t>
      </w:r>
    </w:p>
    <w:p>
      <w:pPr>
        <w:spacing w:line="580" w:lineRule="exact"/>
        <w:ind w:firstLine="640" w:firstLineChars="200"/>
        <w:jc w:val="left"/>
        <w:rPr>
          <w:rFonts w:ascii="仿宋" w:hAnsi="仿宋" w:eastAsia="仿宋" w:cs="仿宋"/>
          <w:sz w:val="32"/>
          <w:szCs w:val="32"/>
        </w:rPr>
      </w:pPr>
      <w:r>
        <w:rPr>
          <w:rFonts w:hint="eastAsia" w:ascii="仿宋" w:hAnsi="仿宋" w:eastAsia="仿宋" w:cs="仿宋"/>
          <w:sz w:val="32"/>
          <w:szCs w:val="32"/>
        </w:rPr>
        <w:t xml:space="preserve">公用经费 </w:t>
      </w:r>
      <w:r>
        <w:rPr>
          <w:rFonts w:ascii="仿宋" w:hAnsi="仿宋" w:eastAsia="仿宋" w:cs="仿宋"/>
          <w:sz w:val="32"/>
          <w:u w:color="auto"/>
        </w:rPr>
        <w:t>2.07万元，主要包括：工会经费。</w:t>
      </w:r>
    </w:p>
    <w:p>
      <w:pPr>
        <w:spacing w:line="580" w:lineRule="exact"/>
        <w:ind w:firstLine="640" w:firstLineChars="200"/>
        <w:jc w:val="left"/>
        <w:outlineLvl w:val="1"/>
        <w:rPr>
          <w:rFonts w:ascii="Times New Roman" w:hAnsi="Times New Roman" w:eastAsia="黑体"/>
          <w:sz w:val="32"/>
          <w:szCs w:val="32"/>
        </w:rPr>
      </w:pPr>
      <w:r>
        <w:rPr>
          <w:rFonts w:hint="eastAsia" w:ascii="Times New Roman" w:hAnsi="Times New Roman" w:eastAsia="黑体"/>
          <w:sz w:val="32"/>
          <w:szCs w:val="32"/>
        </w:rPr>
        <w:t>七、政府性基金预算支出规模及变化情况说明</w:t>
      </w:r>
    </w:p>
    <w:p>
      <w:pPr>
        <w:spacing w:line="578"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井研县研经镇中心卫生院2024年没有使用政府性基金预算拨款安排的支出。</w:t>
      </w:r>
    </w:p>
    <w:p>
      <w:pPr>
        <w:spacing w:line="580" w:lineRule="exact"/>
        <w:ind w:firstLine="640" w:firstLineChars="200"/>
        <w:jc w:val="left"/>
        <w:outlineLvl w:val="1"/>
        <w:rPr>
          <w:rFonts w:ascii="Times New Roman" w:hAnsi="Times New Roman" w:eastAsia="黑体"/>
          <w:sz w:val="32"/>
          <w:szCs w:val="32"/>
        </w:rPr>
      </w:pPr>
      <w:r>
        <w:rPr>
          <w:rFonts w:hint="eastAsia" w:ascii="Times New Roman" w:hAnsi="Times New Roman" w:eastAsia="黑体"/>
          <w:sz w:val="32"/>
          <w:szCs w:val="32"/>
        </w:rPr>
        <w:t>八、国有资本经营预算情况说明</w:t>
      </w:r>
    </w:p>
    <w:p>
      <w:pPr>
        <w:spacing w:line="578"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井研县研经镇中心卫生院2024年没有使用国有资本经营预算拨款安排的支出。</w:t>
      </w:r>
    </w:p>
    <w:p>
      <w:pPr>
        <w:spacing w:line="580" w:lineRule="exact"/>
        <w:ind w:firstLine="640" w:firstLineChars="200"/>
        <w:jc w:val="left"/>
        <w:outlineLvl w:val="1"/>
        <w:rPr>
          <w:rFonts w:ascii="Times New Roman" w:hAnsi="Times New Roman" w:eastAsia="仿宋_GB2312"/>
          <w:sz w:val="32"/>
          <w:szCs w:val="32"/>
        </w:rPr>
      </w:pPr>
      <w:r>
        <w:rPr>
          <w:rFonts w:hint="eastAsia" w:ascii="Times New Roman" w:hAnsi="Times New Roman" w:eastAsia="黑体"/>
          <w:sz w:val="32"/>
          <w:szCs w:val="32"/>
        </w:rPr>
        <w:t>九、“三公”经费财政拨款预算安排情况说明</w:t>
      </w:r>
    </w:p>
    <w:p>
      <w:pPr>
        <w:spacing w:line="578"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井研县研经镇中心卫生院2024年没有使用财政拨款安排“三公”经费预算。</w:t>
      </w:r>
    </w:p>
    <w:p>
      <w:pPr>
        <w:spacing w:line="578"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1. 因公出国（境）经费较上年预算0万元，与上年持平</w:t>
      </w:r>
    </w:p>
    <w:p>
      <w:pPr>
        <w:spacing w:line="580" w:lineRule="exact"/>
        <w:ind w:firstLine="640"/>
        <w:jc w:val="left"/>
        <w:rPr>
          <w:rFonts w:hint="eastAsia" w:ascii="仿宋" w:hAnsi="仿宋" w:eastAsia="仿宋" w:cs="仿宋"/>
          <w:b/>
          <w:sz w:val="32"/>
          <w:szCs w:val="32"/>
        </w:rPr>
      </w:pPr>
      <w:r>
        <w:rPr>
          <w:rFonts w:hint="eastAsia" w:ascii="仿宋" w:hAnsi="仿宋" w:eastAsia="仿宋" w:cs="仿宋"/>
          <w:sz w:val="32"/>
          <w:szCs w:val="32"/>
        </w:rPr>
        <w:t>2.公务接待费较2023年预算数持平。</w:t>
      </w:r>
    </w:p>
    <w:p>
      <w:pPr>
        <w:tabs>
          <w:tab w:val="right" w:pos="7666"/>
        </w:tabs>
        <w:spacing w:line="580" w:lineRule="exact"/>
        <w:ind w:firstLine="640"/>
        <w:jc w:val="left"/>
        <w:rPr>
          <w:rFonts w:hint="eastAsia" w:ascii="仿宋" w:hAnsi="仿宋" w:eastAsia="仿宋" w:cs="仿宋"/>
          <w:sz w:val="32"/>
          <w:szCs w:val="32"/>
        </w:rPr>
      </w:pPr>
      <w:r>
        <w:rPr>
          <w:rFonts w:hint="eastAsia" w:ascii="仿宋" w:hAnsi="仿宋" w:eastAsia="仿宋" w:cs="仿宋"/>
          <w:sz w:val="32"/>
          <w:szCs w:val="32"/>
        </w:rPr>
        <w:t>2024</w:t>
      </w:r>
      <w:r>
        <w:rPr>
          <w:rFonts w:hint="eastAsia" w:ascii="仿宋" w:hAnsi="仿宋" w:eastAsia="仿宋" w:cs="仿宋"/>
          <w:sz w:val="32"/>
          <w:szCs w:val="32"/>
          <w:u w:color="auto"/>
        </w:rPr>
        <w:t>年公务接待费计划用于公务接待费无变动。</w:t>
      </w:r>
    </w:p>
    <w:p>
      <w:pPr>
        <w:spacing w:line="580" w:lineRule="exact"/>
        <w:ind w:firstLine="640"/>
        <w:jc w:val="left"/>
        <w:rPr>
          <w:rFonts w:hint="eastAsia" w:ascii="仿宋" w:hAnsi="仿宋" w:eastAsia="仿宋" w:cs="仿宋"/>
          <w:b/>
          <w:sz w:val="32"/>
          <w:szCs w:val="32"/>
        </w:rPr>
      </w:pPr>
      <w:r>
        <w:rPr>
          <w:rFonts w:hint="eastAsia" w:ascii="仿宋" w:hAnsi="仿宋" w:eastAsia="仿宋" w:cs="仿宋"/>
          <w:bCs/>
          <w:sz w:val="32"/>
          <w:szCs w:val="32"/>
        </w:rPr>
        <w:t>3.</w:t>
      </w:r>
      <w:r>
        <w:rPr>
          <w:rFonts w:hint="eastAsia" w:ascii="仿宋" w:hAnsi="仿宋" w:eastAsia="仿宋" w:cs="仿宋"/>
          <w:sz w:val="32"/>
          <w:szCs w:val="32"/>
        </w:rPr>
        <w:t>公务用车购置及运行维护费较2023年预算数持平。</w:t>
      </w:r>
    </w:p>
    <w:p>
      <w:pPr>
        <w:spacing w:line="580" w:lineRule="exact"/>
        <w:ind w:firstLine="640"/>
        <w:jc w:val="left"/>
        <w:rPr>
          <w:rFonts w:hint="eastAsia" w:ascii="仿宋" w:hAnsi="仿宋" w:eastAsia="仿宋" w:cs="仿宋"/>
          <w:sz w:val="32"/>
          <w:szCs w:val="32"/>
        </w:rPr>
      </w:pPr>
      <w:r>
        <w:rPr>
          <w:rFonts w:hint="eastAsia" w:ascii="仿宋" w:hAnsi="仿宋" w:eastAsia="仿宋" w:cs="仿宋"/>
          <w:sz w:val="32"/>
          <w:szCs w:val="32"/>
        </w:rPr>
        <w:t>单位现有公务用车</w:t>
      </w:r>
      <w:r>
        <w:rPr>
          <w:rFonts w:hint="eastAsia" w:ascii="仿宋" w:hAnsi="仿宋" w:eastAsia="仿宋" w:cs="仿宋"/>
          <w:sz w:val="32"/>
          <w:szCs w:val="32"/>
          <w:u w:color="auto"/>
        </w:rPr>
        <w:t>0辆，其中：轿车0辆、旅行车（含商务车）0辆、越野车0辆、大型客、货车0辆</w:t>
      </w:r>
      <w:r>
        <w:rPr>
          <w:rFonts w:hint="eastAsia" w:ascii="仿宋" w:hAnsi="仿宋" w:eastAsia="仿宋" w:cs="仿宋"/>
          <w:sz w:val="32"/>
          <w:szCs w:val="32"/>
          <w:u w:color="auto"/>
          <w:lang w:eastAsia="zh-CN"/>
        </w:rPr>
        <w:t>、</w:t>
      </w:r>
      <w:r>
        <w:rPr>
          <w:rFonts w:hint="eastAsia" w:ascii="仿宋" w:hAnsi="仿宋" w:eastAsia="仿宋" w:cs="仿宋"/>
          <w:sz w:val="32"/>
          <w:szCs w:val="32"/>
          <w:u w:color="auto"/>
          <w:lang w:val="en-US" w:eastAsia="zh-CN"/>
        </w:rPr>
        <w:t>其他车辆1辆</w:t>
      </w:r>
      <w:r>
        <w:rPr>
          <w:rFonts w:hint="eastAsia" w:ascii="仿宋" w:hAnsi="仿宋" w:eastAsia="仿宋" w:cs="仿宋"/>
          <w:sz w:val="32"/>
          <w:szCs w:val="32"/>
          <w:u w:color="auto"/>
        </w:rPr>
        <w:t>。</w:t>
      </w:r>
    </w:p>
    <w:p>
      <w:pPr>
        <w:spacing w:line="580" w:lineRule="exact"/>
        <w:ind w:firstLine="640"/>
        <w:jc w:val="left"/>
        <w:rPr>
          <w:rFonts w:hint="eastAsia" w:ascii="仿宋" w:hAnsi="仿宋" w:eastAsia="仿宋" w:cs="仿宋"/>
          <w:sz w:val="32"/>
          <w:szCs w:val="32"/>
        </w:rPr>
      </w:pPr>
      <w:r>
        <w:rPr>
          <w:rFonts w:hint="eastAsia" w:ascii="仿宋" w:hAnsi="仿宋" w:eastAsia="仿宋" w:cs="仿宋"/>
          <w:sz w:val="32"/>
          <w:szCs w:val="32"/>
        </w:rPr>
        <w:t>2024年安排公务用车购置费0万元，拟购置公务用车0辆，其中：轿车0辆、旅行车（含商务车）0辆、越野车0辆、大型客、货车0辆。</w:t>
      </w:r>
    </w:p>
    <w:p>
      <w:pPr>
        <w:spacing w:line="580" w:lineRule="exact"/>
        <w:ind w:firstLine="640"/>
        <w:jc w:val="left"/>
        <w:rPr>
          <w:rFonts w:hint="eastAsia" w:ascii="仿宋" w:hAnsi="仿宋" w:eastAsia="仿宋" w:cs="仿宋"/>
          <w:sz w:val="32"/>
          <w:szCs w:val="32"/>
        </w:rPr>
      </w:pPr>
      <w:r>
        <w:rPr>
          <w:rFonts w:hint="eastAsia" w:ascii="仿宋" w:hAnsi="仿宋" w:eastAsia="仿宋" w:cs="仿宋"/>
          <w:sz w:val="32"/>
          <w:szCs w:val="32"/>
        </w:rPr>
        <w:t>2024年安排公务用车运行维护费0万元，用于0辆公务用车燃油、维修、过路过桥费、保险等方面支出。</w:t>
      </w:r>
    </w:p>
    <w:p>
      <w:pPr>
        <w:spacing w:line="580" w:lineRule="exact"/>
        <w:ind w:firstLine="640" w:firstLineChars="200"/>
        <w:jc w:val="left"/>
        <w:outlineLvl w:val="1"/>
        <w:rPr>
          <w:rFonts w:ascii="Times New Roman" w:hAnsi="Times New Roman" w:eastAsia="黑体"/>
          <w:sz w:val="32"/>
          <w:szCs w:val="32"/>
        </w:rPr>
      </w:pPr>
      <w:r>
        <w:rPr>
          <w:rFonts w:hint="eastAsia" w:ascii="Times New Roman" w:hAnsi="Times New Roman" w:eastAsia="黑体"/>
          <w:sz w:val="32"/>
          <w:szCs w:val="32"/>
        </w:rPr>
        <w:t>十、其他重要事项的情况说明</w:t>
      </w:r>
    </w:p>
    <w:p>
      <w:pPr>
        <w:spacing w:line="580" w:lineRule="exact"/>
        <w:ind w:firstLine="643" w:firstLineChars="200"/>
        <w:jc w:val="left"/>
        <w:outlineLvl w:val="2"/>
        <w:rPr>
          <w:rFonts w:ascii="Times New Roman" w:hAnsi="Times New Roman" w:eastAsia="楷体_GB2312"/>
          <w:b/>
          <w:sz w:val="32"/>
          <w:szCs w:val="32"/>
        </w:rPr>
      </w:pPr>
      <w:r>
        <w:rPr>
          <w:rFonts w:hint="eastAsia" w:ascii="Times New Roman" w:hAnsi="Times New Roman" w:eastAsia="楷体_GB2312"/>
          <w:b/>
          <w:sz w:val="32"/>
          <w:szCs w:val="32"/>
        </w:rPr>
        <w:t>（一）机关运行经费情况</w:t>
      </w:r>
    </w:p>
    <w:p>
      <w:pPr>
        <w:spacing w:line="578"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井研县研经镇中心卫生院为事业单位，按规定未使用机关运行的相关科目。</w:t>
      </w:r>
    </w:p>
    <w:p>
      <w:pPr>
        <w:spacing w:line="580" w:lineRule="exact"/>
        <w:ind w:firstLine="643" w:firstLineChars="200"/>
        <w:jc w:val="left"/>
        <w:outlineLvl w:val="2"/>
        <w:rPr>
          <w:rFonts w:ascii="Times New Roman" w:hAnsi="Times New Roman" w:eastAsia="楷体_GB2312"/>
          <w:b/>
          <w:sz w:val="32"/>
          <w:szCs w:val="32"/>
        </w:rPr>
      </w:pPr>
      <w:r>
        <w:rPr>
          <w:rFonts w:hint="eastAsia" w:ascii="Times New Roman" w:hAnsi="Times New Roman" w:eastAsia="楷体_GB2312"/>
          <w:b/>
          <w:sz w:val="32"/>
          <w:szCs w:val="32"/>
        </w:rPr>
        <w:t>（二）政府采购情况</w:t>
      </w:r>
    </w:p>
    <w:p>
      <w:pPr>
        <w:spacing w:line="578"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2024年无政府采购项目，未安排政府采购预算。</w:t>
      </w:r>
    </w:p>
    <w:p>
      <w:pPr>
        <w:spacing w:line="580" w:lineRule="exact"/>
        <w:ind w:firstLine="643" w:firstLineChars="200"/>
        <w:jc w:val="left"/>
        <w:outlineLvl w:val="2"/>
        <w:rPr>
          <w:rFonts w:ascii="Times New Roman" w:hAnsi="Times New Roman" w:eastAsia="楷体_GB2312"/>
          <w:b/>
          <w:sz w:val="32"/>
          <w:szCs w:val="32"/>
        </w:rPr>
      </w:pPr>
      <w:r>
        <w:rPr>
          <w:rFonts w:hint="eastAsia" w:ascii="Times New Roman" w:hAnsi="Times New Roman" w:eastAsia="楷体_GB2312"/>
          <w:b/>
          <w:sz w:val="32"/>
          <w:szCs w:val="32"/>
        </w:rPr>
        <w:t>（三）政府购买服务情况。</w:t>
      </w:r>
    </w:p>
    <w:p>
      <w:pPr>
        <w:spacing w:line="580" w:lineRule="exact"/>
        <w:ind w:firstLine="640" w:firstLineChars="200"/>
        <w:jc w:val="left"/>
        <w:outlineLvl w:val="2"/>
        <w:rPr>
          <w:rFonts w:hint="eastAsia" w:ascii="仿宋" w:hAnsi="仿宋" w:eastAsia="仿宋" w:cs="仿宋"/>
          <w:b/>
          <w:sz w:val="32"/>
          <w:szCs w:val="32"/>
        </w:rPr>
      </w:pPr>
      <w:r>
        <w:rPr>
          <w:rFonts w:hint="eastAsia" w:ascii="仿宋" w:hAnsi="仿宋" w:eastAsia="仿宋" w:cs="仿宋"/>
          <w:sz w:val="32"/>
          <w:szCs w:val="32"/>
        </w:rPr>
        <w:t>2024年井研县研经镇中心卫生院安排政府购买服务预算0万元，较上年持平。</w:t>
      </w:r>
    </w:p>
    <w:p>
      <w:pPr>
        <w:spacing w:line="580" w:lineRule="exact"/>
        <w:ind w:firstLine="643" w:firstLineChars="200"/>
        <w:jc w:val="left"/>
        <w:outlineLvl w:val="2"/>
        <w:rPr>
          <w:rFonts w:ascii="Times New Roman" w:hAnsi="Times New Roman" w:eastAsia="楷体_GB2312"/>
          <w:b/>
          <w:sz w:val="32"/>
          <w:szCs w:val="32"/>
        </w:rPr>
      </w:pPr>
      <w:r>
        <w:rPr>
          <w:rFonts w:hint="eastAsia" w:ascii="Times New Roman" w:hAnsi="Times New Roman" w:eastAsia="楷体_GB2312"/>
          <w:b/>
          <w:sz w:val="32"/>
          <w:szCs w:val="32"/>
        </w:rPr>
        <w:t>（四）国有资产占有使用情况</w:t>
      </w:r>
    </w:p>
    <w:p>
      <w:pPr>
        <w:spacing w:line="578"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截至2023年底，井研县研经镇中心卫生院所属各预算单位共有车辆0辆，其中省部级领导干部用车0辆、定向保障用车0辆、执法执勤用车0辆。单位价值200万元以上大型设备0台（套）。</w:t>
      </w:r>
    </w:p>
    <w:p>
      <w:pPr>
        <w:spacing w:line="578"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2024年单位预算未安排购置车辆及单位价值200万元以上大型设备。</w:t>
      </w:r>
    </w:p>
    <w:p>
      <w:pPr>
        <w:spacing w:line="580" w:lineRule="exact"/>
        <w:ind w:firstLine="643" w:firstLineChars="200"/>
        <w:jc w:val="left"/>
        <w:outlineLvl w:val="2"/>
        <w:rPr>
          <w:rFonts w:ascii="Times New Roman" w:hAnsi="Times New Roman" w:eastAsia="楷体_GB2312"/>
          <w:b/>
          <w:sz w:val="32"/>
          <w:szCs w:val="32"/>
        </w:rPr>
      </w:pPr>
      <w:r>
        <w:rPr>
          <w:rFonts w:hint="eastAsia" w:ascii="Times New Roman" w:hAnsi="Times New Roman" w:eastAsia="楷体_GB2312"/>
          <w:b/>
          <w:sz w:val="32"/>
          <w:szCs w:val="32"/>
        </w:rPr>
        <w:t>（五）绩效目标设置情况</w:t>
      </w:r>
    </w:p>
    <w:p>
      <w:pPr>
        <w:spacing w:line="578" w:lineRule="exact"/>
        <w:ind w:firstLine="640" w:firstLineChars="200"/>
        <w:jc w:val="left"/>
        <w:rPr>
          <w:rFonts w:ascii="仿宋" w:hAnsi="仿宋" w:eastAsia="仿宋" w:cs="仿宋"/>
          <w:sz w:val="32"/>
          <w:szCs w:val="32"/>
        </w:rPr>
      </w:pPr>
      <w:r>
        <w:rPr>
          <w:rFonts w:hint="eastAsia" w:ascii="仿宋" w:hAnsi="仿宋" w:eastAsia="仿宋" w:cs="仿宋"/>
          <w:sz w:val="32"/>
          <w:szCs w:val="32"/>
        </w:rPr>
        <w:t>2024</w:t>
      </w:r>
      <w:r>
        <w:rPr>
          <w:rFonts w:ascii="仿宋" w:hAnsi="仿宋" w:eastAsia="仿宋" w:cs="仿宋"/>
          <w:sz w:val="32"/>
          <w:u w:color="auto"/>
        </w:rPr>
        <w:t>年井研县研经镇中心卫生院开展绩效目标管理的项目</w:t>
      </w:r>
      <w:r>
        <w:rPr>
          <w:rFonts w:hint="eastAsia" w:ascii="仿宋" w:hAnsi="仿宋" w:eastAsia="仿宋" w:cs="仿宋"/>
          <w:sz w:val="32"/>
          <w:u w:color="auto"/>
          <w:lang w:val="en-US" w:eastAsia="zh-CN"/>
        </w:rPr>
        <w:t>26</w:t>
      </w:r>
      <w:r>
        <w:rPr>
          <w:rFonts w:ascii="仿宋" w:hAnsi="仿宋" w:eastAsia="仿宋" w:cs="仿宋"/>
          <w:sz w:val="32"/>
          <w:u w:color="auto"/>
        </w:rPr>
        <w:t>个，涉及预算</w:t>
      </w:r>
      <w:r>
        <w:rPr>
          <w:rFonts w:hint="eastAsia" w:ascii="仿宋" w:hAnsi="仿宋" w:eastAsia="仿宋" w:cs="仿宋"/>
          <w:sz w:val="32"/>
          <w:u w:color="auto"/>
          <w:lang w:val="en-US" w:eastAsia="zh-CN"/>
        </w:rPr>
        <w:t>925.44</w:t>
      </w:r>
      <w:r>
        <w:rPr>
          <w:rFonts w:ascii="仿宋" w:hAnsi="仿宋" w:eastAsia="仿宋" w:cs="仿宋"/>
          <w:sz w:val="32"/>
          <w:u w:color="auto"/>
        </w:rPr>
        <w:t>万元。其中：人员类项目</w:t>
      </w:r>
      <w:r>
        <w:rPr>
          <w:rFonts w:hint="eastAsia" w:ascii="仿宋" w:hAnsi="仿宋" w:eastAsia="仿宋" w:cs="仿宋"/>
          <w:sz w:val="32"/>
          <w:u w:color="auto"/>
          <w:lang w:val="en-US" w:eastAsia="zh-CN"/>
        </w:rPr>
        <w:t>12</w:t>
      </w:r>
      <w:r>
        <w:rPr>
          <w:rFonts w:ascii="仿宋" w:hAnsi="仿宋" w:eastAsia="仿宋" w:cs="仿宋"/>
          <w:sz w:val="32"/>
          <w:u w:color="auto"/>
        </w:rPr>
        <w:t>个，涉及预算</w:t>
      </w:r>
      <w:r>
        <w:rPr>
          <w:rFonts w:hint="eastAsia" w:ascii="仿宋" w:hAnsi="仿宋" w:eastAsia="仿宋" w:cs="仿宋"/>
          <w:sz w:val="32"/>
          <w:u w:color="auto"/>
          <w:lang w:val="en-US" w:eastAsia="zh-CN"/>
        </w:rPr>
        <w:t>441.4</w:t>
      </w:r>
      <w:r>
        <w:rPr>
          <w:rFonts w:ascii="仿宋" w:hAnsi="仿宋" w:eastAsia="仿宋" w:cs="仿宋"/>
          <w:sz w:val="32"/>
          <w:u w:color="auto"/>
        </w:rPr>
        <w:t>万元；运转类项目</w:t>
      </w:r>
      <w:r>
        <w:rPr>
          <w:rFonts w:hint="eastAsia" w:ascii="仿宋" w:hAnsi="仿宋" w:eastAsia="仿宋" w:cs="仿宋"/>
          <w:sz w:val="32"/>
          <w:u w:color="auto"/>
          <w:lang w:val="en-US" w:eastAsia="zh-CN"/>
        </w:rPr>
        <w:t>2</w:t>
      </w:r>
      <w:r>
        <w:rPr>
          <w:rFonts w:ascii="仿宋" w:hAnsi="仿宋" w:eastAsia="仿宋" w:cs="仿宋"/>
          <w:sz w:val="32"/>
          <w:u w:color="auto"/>
        </w:rPr>
        <w:t>个，涉及预算</w:t>
      </w:r>
      <w:r>
        <w:rPr>
          <w:rFonts w:hint="eastAsia" w:ascii="仿宋" w:hAnsi="仿宋" w:eastAsia="仿宋" w:cs="仿宋"/>
          <w:sz w:val="32"/>
          <w:u w:color="auto"/>
          <w:lang w:val="en-US" w:eastAsia="zh-CN"/>
        </w:rPr>
        <w:t>46.75</w:t>
      </w:r>
      <w:r>
        <w:rPr>
          <w:rFonts w:ascii="仿宋" w:hAnsi="仿宋" w:eastAsia="仿宋" w:cs="仿宋"/>
          <w:sz w:val="32"/>
          <w:u w:color="auto"/>
        </w:rPr>
        <w:t>万元；特定目标类项目</w:t>
      </w:r>
      <w:r>
        <w:rPr>
          <w:rFonts w:hint="eastAsia" w:ascii="仿宋" w:hAnsi="仿宋" w:eastAsia="仿宋" w:cs="仿宋"/>
          <w:sz w:val="32"/>
          <w:u w:color="auto"/>
          <w:lang w:val="en-US" w:eastAsia="zh-CN"/>
        </w:rPr>
        <w:t>12</w:t>
      </w:r>
      <w:r>
        <w:rPr>
          <w:rFonts w:ascii="仿宋" w:hAnsi="仿宋" w:eastAsia="仿宋" w:cs="仿宋"/>
          <w:sz w:val="32"/>
          <w:u w:color="auto"/>
        </w:rPr>
        <w:t>个，涉及预算</w:t>
      </w:r>
      <w:r>
        <w:rPr>
          <w:rFonts w:hint="eastAsia" w:ascii="仿宋" w:hAnsi="仿宋" w:eastAsia="仿宋" w:cs="仿宋"/>
          <w:sz w:val="32"/>
          <w:u w:color="auto"/>
          <w:lang w:val="en-US" w:eastAsia="zh-CN"/>
        </w:rPr>
        <w:t>437.28</w:t>
      </w:r>
      <w:r>
        <w:rPr>
          <w:rFonts w:ascii="仿宋" w:hAnsi="仿宋" w:eastAsia="仿宋" w:cs="仿宋"/>
          <w:sz w:val="32"/>
          <w:u w:color="auto"/>
        </w:rPr>
        <w:t>万元。</w:t>
      </w:r>
    </w:p>
    <w:p>
      <w:pPr>
        <w:spacing w:line="580" w:lineRule="exact"/>
        <w:ind w:firstLine="640" w:firstLineChars="200"/>
        <w:jc w:val="left"/>
        <w:outlineLvl w:val="1"/>
        <w:rPr>
          <w:rFonts w:ascii="Times New Roman" w:hAnsi="Times New Roman" w:eastAsia="黑体"/>
          <w:sz w:val="32"/>
          <w:szCs w:val="32"/>
        </w:rPr>
      </w:pPr>
      <w:r>
        <w:rPr>
          <w:rFonts w:hint="eastAsia" w:ascii="Times New Roman" w:hAnsi="Times New Roman" w:eastAsia="黑体"/>
          <w:sz w:val="32"/>
          <w:szCs w:val="32"/>
        </w:rPr>
        <w:t>十一、名词解释</w:t>
      </w:r>
    </w:p>
    <w:p>
      <w:pPr>
        <w:pStyle w:val="5"/>
        <w:widowControl/>
        <w:spacing w:before="0" w:beforeAutospacing="0" w:after="0" w:afterAutospacing="0"/>
        <w:ind w:firstLine="640" w:firstLineChars="200"/>
        <w:rPr>
          <w:rFonts w:hint="eastAsia" w:ascii="仿宋" w:hAnsi="仿宋" w:eastAsia="仿宋" w:cs="仿宋"/>
          <w:sz w:val="32"/>
          <w:szCs w:val="32"/>
        </w:rPr>
      </w:pPr>
      <w:r>
        <w:rPr>
          <w:rFonts w:hint="eastAsia" w:ascii="仿宋" w:hAnsi="仿宋" w:eastAsia="仿宋" w:cs="仿宋"/>
          <w:sz w:val="32"/>
          <w:szCs w:val="32"/>
        </w:rPr>
        <w:t xml:space="preserve">1.一般公共预算拨款收入：指省级财政当年拨付的资金。 </w:t>
      </w:r>
    </w:p>
    <w:p>
      <w:pPr>
        <w:pStyle w:val="5"/>
        <w:widowControl/>
        <w:spacing w:before="0" w:beforeAutospacing="0" w:after="0" w:afterAutospacing="0"/>
        <w:ind w:firstLine="640" w:firstLineChars="200"/>
        <w:rPr>
          <w:rFonts w:hint="eastAsia" w:ascii="仿宋" w:hAnsi="仿宋" w:eastAsia="仿宋" w:cs="仿宋"/>
          <w:sz w:val="32"/>
          <w:szCs w:val="32"/>
        </w:rPr>
      </w:pPr>
      <w:r>
        <w:rPr>
          <w:rFonts w:hint="eastAsia" w:ascii="仿宋" w:hAnsi="仿宋" w:eastAsia="仿宋" w:cs="仿宋"/>
          <w:sz w:val="32"/>
          <w:szCs w:val="32"/>
        </w:rPr>
        <w:t>2.社会保障和就业支出（类）行政事业单位养老支出（款）机关事业单位基本养老保险缴费支出（项）：反映机关事业单位实施养老保险制度由单位缴纳的基本养老保险费支出。</w:t>
      </w:r>
      <w:r>
        <w:rPr>
          <w:rFonts w:hint="eastAsia" w:ascii="仿宋" w:hAnsi="仿宋" w:eastAsia="仿宋" w:cs="仿宋"/>
          <w:sz w:val="32"/>
          <w:szCs w:val="32"/>
        </w:rPr>
        <w:cr/>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3.社会保障和就业支出（类）行政事业单位养老支出（款）机关事业单位职业年金缴费支出（项）：反映机关事业单位实施养老保险制度由单位实际缴纳的职业年金支出。</w:t>
      </w:r>
      <w:r>
        <w:rPr>
          <w:rFonts w:hint="eastAsia" w:ascii="仿宋" w:hAnsi="仿宋" w:eastAsia="仿宋" w:cs="仿宋"/>
          <w:sz w:val="32"/>
          <w:szCs w:val="32"/>
        </w:rPr>
        <w:cr/>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4.社会保障和就业支出（类）就业补助（款）其他就业补助支出（项）：反映除上述项目以外按规定确定的其他用于促进就业的补助支出。</w:t>
      </w:r>
      <w:r>
        <w:rPr>
          <w:rFonts w:hint="eastAsia" w:ascii="仿宋" w:hAnsi="仿宋" w:eastAsia="仿宋" w:cs="仿宋"/>
          <w:sz w:val="32"/>
          <w:szCs w:val="32"/>
        </w:rPr>
        <w:cr/>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5.卫生健康支出（类）基层医疗卫生机构（款）乡镇卫生院（项）：反映用于乡镇卫生院的支出。</w:t>
      </w:r>
      <w:r>
        <w:rPr>
          <w:rFonts w:hint="eastAsia" w:ascii="仿宋" w:hAnsi="仿宋" w:eastAsia="仿宋" w:cs="仿宋"/>
          <w:sz w:val="32"/>
          <w:szCs w:val="32"/>
        </w:rPr>
        <w:cr/>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6.卫生健康支出（类）基层医疗卫生机构（款）其他基层医疗卫生机构支出（项）：反映除上述项目以外的其他用于基层医疗卫生机构的支出。</w:t>
      </w:r>
      <w:r>
        <w:rPr>
          <w:rFonts w:hint="eastAsia" w:ascii="仿宋" w:hAnsi="仿宋" w:eastAsia="仿宋" w:cs="仿宋"/>
          <w:sz w:val="32"/>
          <w:szCs w:val="32"/>
        </w:rPr>
        <w:cr/>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7.卫生健康支出（类）行政事业单位医疗（款）事业单位医疗（项）：反映财政部门安排的事业单位基本医疗保险缴费经费，未参加医疗保险的事业单位的公费医疗经费，按国家规定享受离休人员待遇的医疗经费。</w:t>
      </w:r>
      <w:r>
        <w:rPr>
          <w:rFonts w:hint="eastAsia" w:ascii="仿宋" w:hAnsi="仿宋" w:eastAsia="仿宋" w:cs="仿宋"/>
          <w:sz w:val="32"/>
          <w:szCs w:val="32"/>
        </w:rPr>
        <w:cr/>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8.卫生健康支出（类）行政事业单位医疗（款）其他行政事业单位医疗支出（项）：反映除上述项目以外的其他用于行政事业单位医疗方面的支出。</w:t>
      </w:r>
      <w:r>
        <w:rPr>
          <w:rFonts w:hint="eastAsia" w:ascii="仿宋" w:hAnsi="仿宋" w:eastAsia="仿宋" w:cs="仿宋"/>
          <w:sz w:val="32"/>
          <w:szCs w:val="32"/>
        </w:rPr>
        <w:cr/>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9.住房保障支出（类）住房改革支出（款）住房公积金（项）：反映行政事业单位按人力资源和社会保障部、财政部规定的基本工资和津贴补贴以及规定比例为职工缴纳的住房公积金。</w:t>
      </w:r>
    </w:p>
    <w:p>
      <w:pPr>
        <w:pStyle w:val="5"/>
        <w:widowControl/>
        <w:spacing w:before="0" w:beforeAutospacing="0" w:after="0" w:afterAutospacing="0"/>
        <w:ind w:firstLine="640" w:firstLineChars="200"/>
        <w:rPr>
          <w:rFonts w:hint="eastAsia" w:ascii="仿宋" w:hAnsi="仿宋" w:eastAsia="仿宋" w:cs="仿宋"/>
          <w:sz w:val="32"/>
          <w:szCs w:val="32"/>
        </w:rPr>
      </w:pPr>
      <w:r>
        <w:rPr>
          <w:rFonts w:hint="eastAsia" w:ascii="仿宋" w:hAnsi="仿宋" w:eastAsia="仿宋" w:cs="仿宋"/>
          <w:sz w:val="32"/>
          <w:szCs w:val="32"/>
        </w:rPr>
        <w:t>10.基本支出：指为保证机构正常运转，完成日常工作任务而发生的人员支出和公用支出。</w:t>
      </w:r>
      <w:r>
        <w:rPr>
          <w:rFonts w:hint="eastAsia" w:ascii="仿宋" w:hAnsi="仿宋" w:eastAsia="仿宋" w:cs="仿宋"/>
          <w:sz w:val="32"/>
          <w:szCs w:val="32"/>
        </w:rPr>
        <w:cr/>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11.项目支出：指在基本支出之外为完成特定行政任务和事业发展目标所发生的支出。</w:t>
      </w:r>
      <w:r>
        <w:rPr>
          <w:rFonts w:hint="eastAsia" w:ascii="仿宋" w:hAnsi="仿宋" w:eastAsia="仿宋" w:cs="仿宋"/>
          <w:sz w:val="32"/>
          <w:szCs w:val="32"/>
        </w:rPr>
        <w:cr/>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12.“三公”经费：纳入财政厅预决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r>
        <w:rPr>
          <w:rFonts w:hint="eastAsia" w:ascii="仿宋" w:hAnsi="仿宋" w:eastAsia="仿宋" w:cs="仿宋"/>
          <w:sz w:val="32"/>
          <w:szCs w:val="32"/>
        </w:rPr>
        <w:cr/>
      </w:r>
      <w:r>
        <w:rPr>
          <w:rFonts w:hint="eastAsia" w:ascii="仿宋" w:hAnsi="仿宋" w:eastAsia="仿宋" w:cs="仿宋"/>
          <w:sz w:val="32"/>
          <w:szCs w:val="32"/>
          <w:lang w:val="en-US" w:eastAsia="zh-CN"/>
        </w:rPr>
        <w:t xml:space="preserve">    </w:t>
      </w:r>
      <w:bookmarkStart w:id="0" w:name="_GoBack"/>
      <w:bookmarkEnd w:id="0"/>
      <w:r>
        <w:rPr>
          <w:rFonts w:hint="eastAsia" w:ascii="仿宋" w:hAnsi="仿宋" w:eastAsia="仿宋" w:cs="仿宋"/>
          <w:sz w:val="32"/>
          <w:szCs w:val="32"/>
        </w:rPr>
        <w:t>13.机关运行经费：为保障行政单位（包含参照公务员法管理的事业单位）运行用于购买货物和服务的各项资金。包括办公及印刷费、邮电费、差旅费、会议费一般设备购置费等费用开支。</w:t>
      </w:r>
      <w:r>
        <w:rPr>
          <w:rFonts w:hint="eastAsia" w:ascii="仿宋" w:hAnsi="仿宋" w:eastAsia="仿宋" w:cs="仿宋"/>
          <w:sz w:val="32"/>
          <w:szCs w:val="32"/>
        </w:rPr>
        <w:cr/>
      </w:r>
    </w:p>
    <w:p>
      <w:pPr>
        <w:jc w:val="left"/>
        <w:rPr>
          <w:rFonts w:hint="eastAsia" w:ascii="仿宋" w:hAnsi="仿宋" w:eastAsia="仿宋" w:cs="仿宋"/>
          <w:sz w:val="32"/>
          <w:szCs w:val="32"/>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_GBK">
    <w:altName w:val="微软雅黑"/>
    <w:panose1 w:val="00000000000000000000"/>
    <w:charset w:val="00"/>
    <w:family w:val="auto"/>
    <w:pitch w:val="default"/>
    <w:sig w:usb0="00000000" w:usb1="00000000" w:usb2="00000000" w:usb3="00000000" w:csb0="00000000" w:csb1="00000000"/>
  </w:font>
  <w:font w:name="楷体_GB2312">
    <w:altName w:val="楷体"/>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3"/>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- 5 -</w:t>
                          </w:r>
                          <w:r>
                            <w:rPr>
                              <w:rFonts w:hint="eastAsia" w:ascii="宋体" w:hAnsi="宋体" w:cs="宋体"/>
                              <w:sz w:val="28"/>
                              <w:szCs w:val="28"/>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lxGWcABAACN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ZyDUgvDkmLFz6yagT1FwMp1QYzRuV1+DxvWQ9/EXbP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M6pebnPAAAABQEAAA8AAAAAAAAAAQAgAAAAIgAAAGRycy9kb3ducmV2LnhtbFBLAQIUABQA&#10;AAAIAIdO4kBaXEZZwAEAAI0DAAAOAAAAAAAAAAEAIAAAAB4BAABkcnMvZTJvRG9jLnhtbFBLBQYA&#10;AAAABgAGAFkBAABQBQAAAAA=&#10;">
              <v:fill on="f" focussize="0,0"/>
              <v:stroke on="f"/>
              <v:imagedata o:title=""/>
              <o:lock v:ext="edit" aspectratio="f"/>
              <v:textbox inset="0mm,0mm,0mm,0mm" style="mso-fit-shape-to-text:t;">
                <w:txbxContent>
                  <w:p>
                    <w:pPr>
                      <w:pStyle w:val="3"/>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- 5 -</w:t>
                    </w:r>
                    <w:r>
                      <w:rPr>
                        <w:rFonts w:hint="eastAsia" w:ascii="宋体" w:hAnsi="宋体" w:cs="宋体"/>
                        <w:sz w:val="28"/>
                        <w:szCs w:val="2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50596E4"/>
    <w:multiLevelType w:val="singleLevel"/>
    <w:tmpl w:val="450596E4"/>
    <w:lvl w:ilvl="0" w:tentative="0">
      <w:start w:val="2"/>
      <w:numFmt w:val="chineseCounting"/>
      <w:lvlText w:val="(%1)"/>
      <w:lvlJc w:val="left"/>
      <w:pPr>
        <w:tabs>
          <w:tab w:val="left" w:pos="312"/>
        </w:tabs>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Y2NTAyYWQzM2UzOWVmNzliODU5YjUzZWE1MmYzYWYifQ=="/>
  </w:docVars>
  <w:rsids>
    <w:rsidRoot w:val="575844F0"/>
    <w:rsid w:val="000F56AF"/>
    <w:rsid w:val="002571C7"/>
    <w:rsid w:val="002801C7"/>
    <w:rsid w:val="002B0F3C"/>
    <w:rsid w:val="002D582F"/>
    <w:rsid w:val="00401700"/>
    <w:rsid w:val="0043110D"/>
    <w:rsid w:val="00436E3F"/>
    <w:rsid w:val="004F75C2"/>
    <w:rsid w:val="005C6D07"/>
    <w:rsid w:val="005D3952"/>
    <w:rsid w:val="006A5B49"/>
    <w:rsid w:val="00753106"/>
    <w:rsid w:val="00764EDC"/>
    <w:rsid w:val="00782473"/>
    <w:rsid w:val="0079706E"/>
    <w:rsid w:val="007E3C34"/>
    <w:rsid w:val="008D7735"/>
    <w:rsid w:val="0092774E"/>
    <w:rsid w:val="00A40906"/>
    <w:rsid w:val="00AF17CA"/>
    <w:rsid w:val="00B234EC"/>
    <w:rsid w:val="00CF121D"/>
    <w:rsid w:val="00D03AFF"/>
    <w:rsid w:val="00E90C48"/>
    <w:rsid w:val="00EA26C5"/>
    <w:rsid w:val="00F20CDD"/>
    <w:rsid w:val="00F31DEC"/>
    <w:rsid w:val="00F66036"/>
    <w:rsid w:val="00FD5790"/>
    <w:rsid w:val="011E0F37"/>
    <w:rsid w:val="018F6151"/>
    <w:rsid w:val="025F2B31"/>
    <w:rsid w:val="02AA63F4"/>
    <w:rsid w:val="02F620C9"/>
    <w:rsid w:val="03043EF9"/>
    <w:rsid w:val="034827B4"/>
    <w:rsid w:val="043645C2"/>
    <w:rsid w:val="04D63DFA"/>
    <w:rsid w:val="04FC52D9"/>
    <w:rsid w:val="05125475"/>
    <w:rsid w:val="05B9052D"/>
    <w:rsid w:val="05C26836"/>
    <w:rsid w:val="06213135"/>
    <w:rsid w:val="075449B1"/>
    <w:rsid w:val="07866B9E"/>
    <w:rsid w:val="078E3C79"/>
    <w:rsid w:val="08275449"/>
    <w:rsid w:val="088C017B"/>
    <w:rsid w:val="08BD1201"/>
    <w:rsid w:val="09DD37D5"/>
    <w:rsid w:val="0A2B0EC0"/>
    <w:rsid w:val="0A370B6F"/>
    <w:rsid w:val="0A414E59"/>
    <w:rsid w:val="0A984F45"/>
    <w:rsid w:val="0AEC1DC7"/>
    <w:rsid w:val="0B325009"/>
    <w:rsid w:val="0BEF216F"/>
    <w:rsid w:val="0C1139E0"/>
    <w:rsid w:val="0C545FE7"/>
    <w:rsid w:val="0C95246B"/>
    <w:rsid w:val="0D295D36"/>
    <w:rsid w:val="0DA6100C"/>
    <w:rsid w:val="0DAE2941"/>
    <w:rsid w:val="0DAE5B59"/>
    <w:rsid w:val="0E5E6115"/>
    <w:rsid w:val="0E722914"/>
    <w:rsid w:val="0E8D7DFF"/>
    <w:rsid w:val="0EB14B08"/>
    <w:rsid w:val="0EB44926"/>
    <w:rsid w:val="0EE00EF5"/>
    <w:rsid w:val="0F033DE0"/>
    <w:rsid w:val="0F5B493B"/>
    <w:rsid w:val="0F9C6EF5"/>
    <w:rsid w:val="0FB32491"/>
    <w:rsid w:val="0FC92752"/>
    <w:rsid w:val="104D4694"/>
    <w:rsid w:val="10572219"/>
    <w:rsid w:val="10635C65"/>
    <w:rsid w:val="112F484C"/>
    <w:rsid w:val="118874D4"/>
    <w:rsid w:val="118F1F82"/>
    <w:rsid w:val="11E23462"/>
    <w:rsid w:val="121C1DAE"/>
    <w:rsid w:val="12280F14"/>
    <w:rsid w:val="129F61B1"/>
    <w:rsid w:val="12B74046"/>
    <w:rsid w:val="12FF7083"/>
    <w:rsid w:val="13287F73"/>
    <w:rsid w:val="136174EF"/>
    <w:rsid w:val="13A179F5"/>
    <w:rsid w:val="14043CC2"/>
    <w:rsid w:val="143A4F2F"/>
    <w:rsid w:val="14BF1A72"/>
    <w:rsid w:val="14D54669"/>
    <w:rsid w:val="15E00400"/>
    <w:rsid w:val="169447F0"/>
    <w:rsid w:val="169923E1"/>
    <w:rsid w:val="17451DFF"/>
    <w:rsid w:val="188624F1"/>
    <w:rsid w:val="18EF58AD"/>
    <w:rsid w:val="195C14A3"/>
    <w:rsid w:val="19665E75"/>
    <w:rsid w:val="19793B64"/>
    <w:rsid w:val="198975C1"/>
    <w:rsid w:val="1A8A0974"/>
    <w:rsid w:val="1ADB600A"/>
    <w:rsid w:val="1AE72EE7"/>
    <w:rsid w:val="1B9C22AA"/>
    <w:rsid w:val="1C001B5A"/>
    <w:rsid w:val="1C676AC0"/>
    <w:rsid w:val="1C8979CD"/>
    <w:rsid w:val="1D1309C5"/>
    <w:rsid w:val="1D4E37F9"/>
    <w:rsid w:val="1E484DA2"/>
    <w:rsid w:val="1F32416D"/>
    <w:rsid w:val="1F400809"/>
    <w:rsid w:val="1F990304"/>
    <w:rsid w:val="1FD07044"/>
    <w:rsid w:val="200F074F"/>
    <w:rsid w:val="205E0FD1"/>
    <w:rsid w:val="206A30F3"/>
    <w:rsid w:val="20E14771"/>
    <w:rsid w:val="20E325CD"/>
    <w:rsid w:val="215E491F"/>
    <w:rsid w:val="21785E72"/>
    <w:rsid w:val="223312B9"/>
    <w:rsid w:val="22511DC1"/>
    <w:rsid w:val="228C0978"/>
    <w:rsid w:val="23066A9B"/>
    <w:rsid w:val="237925CB"/>
    <w:rsid w:val="238A54C0"/>
    <w:rsid w:val="23DE7685"/>
    <w:rsid w:val="23FC256D"/>
    <w:rsid w:val="23FE4F26"/>
    <w:rsid w:val="24113B37"/>
    <w:rsid w:val="242A3E0B"/>
    <w:rsid w:val="24B357B1"/>
    <w:rsid w:val="2508404D"/>
    <w:rsid w:val="2514554D"/>
    <w:rsid w:val="253240EC"/>
    <w:rsid w:val="256736AA"/>
    <w:rsid w:val="25776E44"/>
    <w:rsid w:val="25A91AAB"/>
    <w:rsid w:val="25AC0D38"/>
    <w:rsid w:val="25CF77BC"/>
    <w:rsid w:val="26233A75"/>
    <w:rsid w:val="269C0E16"/>
    <w:rsid w:val="26E20150"/>
    <w:rsid w:val="28225455"/>
    <w:rsid w:val="286E0FD4"/>
    <w:rsid w:val="28C44B3D"/>
    <w:rsid w:val="28D004A8"/>
    <w:rsid w:val="29225C8F"/>
    <w:rsid w:val="292D2913"/>
    <w:rsid w:val="292F1B91"/>
    <w:rsid w:val="2A355B25"/>
    <w:rsid w:val="2ADC2F09"/>
    <w:rsid w:val="2B0639E9"/>
    <w:rsid w:val="2B591D85"/>
    <w:rsid w:val="2B6D0EA0"/>
    <w:rsid w:val="2BA666ED"/>
    <w:rsid w:val="2C015FA1"/>
    <w:rsid w:val="2C4C35F9"/>
    <w:rsid w:val="2CE82D06"/>
    <w:rsid w:val="2CE850D0"/>
    <w:rsid w:val="2D121841"/>
    <w:rsid w:val="2D626ABC"/>
    <w:rsid w:val="2D7E5A3A"/>
    <w:rsid w:val="2DB253D5"/>
    <w:rsid w:val="2DE37BA3"/>
    <w:rsid w:val="2DF301D1"/>
    <w:rsid w:val="2E410E41"/>
    <w:rsid w:val="2F5B380A"/>
    <w:rsid w:val="2F5D19C6"/>
    <w:rsid w:val="2FDC17BA"/>
    <w:rsid w:val="2FEA1E20"/>
    <w:rsid w:val="30FE4C1A"/>
    <w:rsid w:val="31C81974"/>
    <w:rsid w:val="31C9463A"/>
    <w:rsid w:val="31D87EB9"/>
    <w:rsid w:val="31E71DFA"/>
    <w:rsid w:val="32607DFF"/>
    <w:rsid w:val="33F6376D"/>
    <w:rsid w:val="344C1C18"/>
    <w:rsid w:val="346E542F"/>
    <w:rsid w:val="348204D4"/>
    <w:rsid w:val="34921118"/>
    <w:rsid w:val="34E22C0C"/>
    <w:rsid w:val="358931C8"/>
    <w:rsid w:val="35E81EFF"/>
    <w:rsid w:val="35F03248"/>
    <w:rsid w:val="3618452C"/>
    <w:rsid w:val="362A47F6"/>
    <w:rsid w:val="36701078"/>
    <w:rsid w:val="367D3C26"/>
    <w:rsid w:val="36D21200"/>
    <w:rsid w:val="3799225C"/>
    <w:rsid w:val="379E73FF"/>
    <w:rsid w:val="37EE75A4"/>
    <w:rsid w:val="3851430F"/>
    <w:rsid w:val="38BE762D"/>
    <w:rsid w:val="38CC1B12"/>
    <w:rsid w:val="38E33F54"/>
    <w:rsid w:val="39B247EB"/>
    <w:rsid w:val="39C50EAB"/>
    <w:rsid w:val="39FA0695"/>
    <w:rsid w:val="3A142E50"/>
    <w:rsid w:val="3A3A601E"/>
    <w:rsid w:val="3A622985"/>
    <w:rsid w:val="3A992100"/>
    <w:rsid w:val="3AB900AC"/>
    <w:rsid w:val="3AD204DC"/>
    <w:rsid w:val="3B7D732B"/>
    <w:rsid w:val="3BB9695E"/>
    <w:rsid w:val="3BBB1358"/>
    <w:rsid w:val="3BC80616"/>
    <w:rsid w:val="3CC21C50"/>
    <w:rsid w:val="3CEB3ACE"/>
    <w:rsid w:val="3D396F49"/>
    <w:rsid w:val="3DAB5EF3"/>
    <w:rsid w:val="3E0A7F35"/>
    <w:rsid w:val="3E3D0EE5"/>
    <w:rsid w:val="3E5C591E"/>
    <w:rsid w:val="3E7C76D5"/>
    <w:rsid w:val="3F4B70E6"/>
    <w:rsid w:val="402E20EA"/>
    <w:rsid w:val="40360D66"/>
    <w:rsid w:val="404847A8"/>
    <w:rsid w:val="40F85D24"/>
    <w:rsid w:val="41002113"/>
    <w:rsid w:val="417358BA"/>
    <w:rsid w:val="417E7039"/>
    <w:rsid w:val="41856F3A"/>
    <w:rsid w:val="41A336F5"/>
    <w:rsid w:val="41CE4038"/>
    <w:rsid w:val="41E53E7C"/>
    <w:rsid w:val="42697F33"/>
    <w:rsid w:val="42F94AE0"/>
    <w:rsid w:val="42FC2819"/>
    <w:rsid w:val="43C94609"/>
    <w:rsid w:val="44701EE3"/>
    <w:rsid w:val="447B54A6"/>
    <w:rsid w:val="44C935E1"/>
    <w:rsid w:val="45700DD8"/>
    <w:rsid w:val="466A3D31"/>
    <w:rsid w:val="468076BF"/>
    <w:rsid w:val="469C7200"/>
    <w:rsid w:val="46DA091D"/>
    <w:rsid w:val="479F062A"/>
    <w:rsid w:val="47A8558B"/>
    <w:rsid w:val="488A1960"/>
    <w:rsid w:val="488E172A"/>
    <w:rsid w:val="48EA3B26"/>
    <w:rsid w:val="496F21D8"/>
    <w:rsid w:val="49923B77"/>
    <w:rsid w:val="4A174159"/>
    <w:rsid w:val="4ABE7A9C"/>
    <w:rsid w:val="4BBF5B71"/>
    <w:rsid w:val="4D477799"/>
    <w:rsid w:val="4D6455F8"/>
    <w:rsid w:val="4E784F4E"/>
    <w:rsid w:val="4E8A5B90"/>
    <w:rsid w:val="4EE869F3"/>
    <w:rsid w:val="4F006B29"/>
    <w:rsid w:val="4F5F6F42"/>
    <w:rsid w:val="5029634D"/>
    <w:rsid w:val="503D0CD7"/>
    <w:rsid w:val="507A38E4"/>
    <w:rsid w:val="515C63F7"/>
    <w:rsid w:val="51621046"/>
    <w:rsid w:val="5187285A"/>
    <w:rsid w:val="518A72F6"/>
    <w:rsid w:val="519216B7"/>
    <w:rsid w:val="51D30C43"/>
    <w:rsid w:val="524474CD"/>
    <w:rsid w:val="52BB4C7B"/>
    <w:rsid w:val="52F8052A"/>
    <w:rsid w:val="530E439E"/>
    <w:rsid w:val="5317764D"/>
    <w:rsid w:val="53594EE9"/>
    <w:rsid w:val="539253D8"/>
    <w:rsid w:val="53C97C7B"/>
    <w:rsid w:val="54384218"/>
    <w:rsid w:val="546E0E19"/>
    <w:rsid w:val="54E02E76"/>
    <w:rsid w:val="55310F00"/>
    <w:rsid w:val="557871D2"/>
    <w:rsid w:val="55841B9E"/>
    <w:rsid w:val="559F553A"/>
    <w:rsid w:val="55A9703D"/>
    <w:rsid w:val="56274477"/>
    <w:rsid w:val="5689702C"/>
    <w:rsid w:val="574451E3"/>
    <w:rsid w:val="575844F0"/>
    <w:rsid w:val="57E977B0"/>
    <w:rsid w:val="57ED201E"/>
    <w:rsid w:val="57F42B0E"/>
    <w:rsid w:val="58472D43"/>
    <w:rsid w:val="5863513E"/>
    <w:rsid w:val="58D25844"/>
    <w:rsid w:val="58EF1411"/>
    <w:rsid w:val="58EF4BBE"/>
    <w:rsid w:val="594436A7"/>
    <w:rsid w:val="595074AE"/>
    <w:rsid w:val="597B3B32"/>
    <w:rsid w:val="59F6760E"/>
    <w:rsid w:val="5A4A2633"/>
    <w:rsid w:val="5B08601D"/>
    <w:rsid w:val="5B217190"/>
    <w:rsid w:val="5B2E7013"/>
    <w:rsid w:val="5B766F46"/>
    <w:rsid w:val="5BB7496B"/>
    <w:rsid w:val="5CA8447B"/>
    <w:rsid w:val="5D213B63"/>
    <w:rsid w:val="5DD62B9F"/>
    <w:rsid w:val="5E0B017F"/>
    <w:rsid w:val="5E1758B9"/>
    <w:rsid w:val="5E1F431D"/>
    <w:rsid w:val="5EB217FD"/>
    <w:rsid w:val="5EB85D88"/>
    <w:rsid w:val="5F5C38AD"/>
    <w:rsid w:val="5F6064D4"/>
    <w:rsid w:val="606320F1"/>
    <w:rsid w:val="60A94AA3"/>
    <w:rsid w:val="60D15BBA"/>
    <w:rsid w:val="60D4713E"/>
    <w:rsid w:val="6117044B"/>
    <w:rsid w:val="61A7112A"/>
    <w:rsid w:val="61BD486A"/>
    <w:rsid w:val="61DB6731"/>
    <w:rsid w:val="6263198D"/>
    <w:rsid w:val="62A0552A"/>
    <w:rsid w:val="630006BE"/>
    <w:rsid w:val="630E7EAE"/>
    <w:rsid w:val="6313764B"/>
    <w:rsid w:val="63161C90"/>
    <w:rsid w:val="6367280D"/>
    <w:rsid w:val="641C5084"/>
    <w:rsid w:val="64771E53"/>
    <w:rsid w:val="64CD4737"/>
    <w:rsid w:val="64D1385B"/>
    <w:rsid w:val="64DD1C81"/>
    <w:rsid w:val="650C6EA7"/>
    <w:rsid w:val="66075A53"/>
    <w:rsid w:val="666A4FCB"/>
    <w:rsid w:val="66D14F9A"/>
    <w:rsid w:val="66F729EF"/>
    <w:rsid w:val="68D03361"/>
    <w:rsid w:val="690A194F"/>
    <w:rsid w:val="69492530"/>
    <w:rsid w:val="699675A8"/>
    <w:rsid w:val="69B8303B"/>
    <w:rsid w:val="69E53C69"/>
    <w:rsid w:val="6A145D73"/>
    <w:rsid w:val="6A6E5F0E"/>
    <w:rsid w:val="6AE228CC"/>
    <w:rsid w:val="6B1860D6"/>
    <w:rsid w:val="6BBD539F"/>
    <w:rsid w:val="6BC86B43"/>
    <w:rsid w:val="6BD32E45"/>
    <w:rsid w:val="6C2A775D"/>
    <w:rsid w:val="6C9963D7"/>
    <w:rsid w:val="6CC91C6E"/>
    <w:rsid w:val="6D5D1401"/>
    <w:rsid w:val="6D887C10"/>
    <w:rsid w:val="6DC26AF9"/>
    <w:rsid w:val="6ED22F0F"/>
    <w:rsid w:val="6F021B09"/>
    <w:rsid w:val="6FC844B9"/>
    <w:rsid w:val="6FD238B4"/>
    <w:rsid w:val="700A5D51"/>
    <w:rsid w:val="70F6046F"/>
    <w:rsid w:val="714B6FA9"/>
    <w:rsid w:val="71944EA7"/>
    <w:rsid w:val="71D71D1B"/>
    <w:rsid w:val="721171F3"/>
    <w:rsid w:val="723D2D95"/>
    <w:rsid w:val="728E0759"/>
    <w:rsid w:val="729953A7"/>
    <w:rsid w:val="729A1F96"/>
    <w:rsid w:val="72B03B7B"/>
    <w:rsid w:val="74BD01BD"/>
    <w:rsid w:val="7537110F"/>
    <w:rsid w:val="75DA4139"/>
    <w:rsid w:val="75F14C5D"/>
    <w:rsid w:val="77211164"/>
    <w:rsid w:val="77613287"/>
    <w:rsid w:val="77B21D62"/>
    <w:rsid w:val="77DE0B76"/>
    <w:rsid w:val="783D0D9D"/>
    <w:rsid w:val="78982C37"/>
    <w:rsid w:val="789D7D64"/>
    <w:rsid w:val="78E81443"/>
    <w:rsid w:val="78F51DD9"/>
    <w:rsid w:val="79660872"/>
    <w:rsid w:val="799F24B9"/>
    <w:rsid w:val="7A4461CE"/>
    <w:rsid w:val="7A57026F"/>
    <w:rsid w:val="7AF54E28"/>
    <w:rsid w:val="7B52696E"/>
    <w:rsid w:val="7CD275EF"/>
    <w:rsid w:val="7CEF6249"/>
    <w:rsid w:val="7CF4381E"/>
    <w:rsid w:val="7CF63C25"/>
    <w:rsid w:val="7D454310"/>
    <w:rsid w:val="7DC756D2"/>
    <w:rsid w:val="7E543940"/>
    <w:rsid w:val="7EE41AB2"/>
    <w:rsid w:val="7FB623D9"/>
    <w:rsid w:val="7FD86C34"/>
    <w:rsid w:val="7FE573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unhideWhenUsed/>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2">
    <w:name w:val="annotation text"/>
    <w:basedOn w:val="1"/>
    <w:autoRedefine/>
    <w:qFormat/>
    <w:uiPriority w:val="0"/>
    <w:pPr>
      <w:jc w:val="left"/>
    </w:p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link w:val="8"/>
    <w:autoRedefine/>
    <w:qFormat/>
    <w:uiPriority w:val="0"/>
    <w:pPr>
      <w:tabs>
        <w:tab w:val="center" w:pos="4153"/>
        <w:tab w:val="right" w:pos="8306"/>
      </w:tabs>
      <w:snapToGrid w:val="0"/>
      <w:jc w:val="center"/>
    </w:pPr>
    <w:rPr>
      <w:sz w:val="18"/>
      <w:szCs w:val="18"/>
    </w:rPr>
  </w:style>
  <w:style w:type="paragraph" w:styleId="5">
    <w:name w:val="Normal (Web)"/>
    <w:basedOn w:val="1"/>
    <w:qFormat/>
    <w:uiPriority w:val="0"/>
    <w:pPr>
      <w:spacing w:before="100" w:beforeAutospacing="1" w:after="100" w:afterAutospacing="1"/>
      <w:jc w:val="left"/>
    </w:pPr>
    <w:rPr>
      <w:kern w:val="0"/>
      <w:sz w:val="24"/>
    </w:rPr>
  </w:style>
  <w:style w:type="character" w:customStyle="1" w:styleId="8">
    <w:name w:val="页眉 字符"/>
    <w:basedOn w:val="7"/>
    <w:link w:val="4"/>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268</Words>
  <Characters>1528</Characters>
  <Lines>12</Lines>
  <Paragraphs>3</Paragraphs>
  <TotalTime>227</TotalTime>
  <ScaleCrop>false</ScaleCrop>
  <LinksUpToDate>false</LinksUpToDate>
  <CharactersWithSpaces>1793</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2023-02-17T01:20:00Z</dcterms:created>
  <dc:creator>丹尼</dc:creator>
  <cp:lastModifiedBy>黎洛指艺</cp:lastModifiedBy>
  <dcterms:modified xsi:type="dcterms:W3CDTF">2024-02-01T08:17:39Z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811ED509B7114063A3782AD5E087DCFE_13</vt:lpwstr>
  </property>
</Properties>
</file>