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pPr>
      <w:r>
        <w:rPr>
          <w:rFonts w:hint="eastAsia" w:ascii="方正小标宋_GBK" w:hAnsi="方正小标宋_GBK" w:eastAsia="方正小标宋_GBK" w:cs="方正小标宋_GBK"/>
          <w:color w:val="000000"/>
          <w:kern w:val="0"/>
          <w:sz w:val="43"/>
          <w:szCs w:val="43"/>
          <w:lang w:bidi="ar"/>
        </w:rPr>
        <w:t>井研县王村镇卫生院</w:t>
      </w:r>
      <w:r>
        <w:rPr>
          <w:rFonts w:ascii="方正小标宋_GBK" w:hAnsi="方正小标宋_GBK" w:eastAsia="方正小标宋_GBK" w:cs="方正小标宋_GBK"/>
          <w:color w:val="000000"/>
          <w:sz w:val="43"/>
          <w:u w:color="auto"/>
        </w:rPr>
        <w:t>单位2024</w:t>
      </w:r>
      <w:r>
        <w:rPr>
          <w:rFonts w:ascii="方正小标宋_GBK" w:hAnsi="方正小标宋_GBK" w:eastAsia="方正小标宋_GBK" w:cs="方正小标宋_GBK"/>
          <w:color w:val="000000"/>
          <w:kern w:val="0"/>
          <w:sz w:val="43"/>
          <w:szCs w:val="43"/>
          <w:lang w:bidi="ar"/>
        </w:rPr>
        <w:t>年部门预算编制说明</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一、基本职能及主要工作</w:t>
      </w:r>
    </w:p>
    <w:p>
      <w:pPr>
        <w:spacing w:line="580" w:lineRule="exact"/>
        <w:ind w:firstLine="643" w:firstLineChars="200"/>
        <w:jc w:val="left"/>
        <w:outlineLvl w:val="2"/>
        <w:rPr>
          <w:rFonts w:ascii="Times New Roman" w:hAnsi="Times New Roman" w:eastAsia="楷体_GB2312"/>
          <w:b/>
          <w:sz w:val="32"/>
          <w:szCs w:val="32"/>
        </w:rPr>
      </w:pPr>
      <w:r>
        <w:rPr>
          <w:rFonts w:ascii="Times New Roman" w:hAnsi="Times New Roman" w:eastAsia="楷体_GB2312"/>
          <w:b/>
          <w:sz w:val="32"/>
          <w:szCs w:val="32"/>
        </w:rPr>
        <w:t>(</w:t>
      </w:r>
      <w:r>
        <w:rPr>
          <w:rFonts w:hint="eastAsia" w:ascii="Times New Roman" w:hAnsi="Times New Roman" w:eastAsia="楷体_GB2312"/>
          <w:b/>
          <w:sz w:val="32"/>
          <w:szCs w:val="32"/>
        </w:rPr>
        <w:t>一</w:t>
      </w:r>
      <w:r>
        <w:rPr>
          <w:rFonts w:ascii="Times New Roman" w:hAnsi="Times New Roman" w:eastAsia="楷体_GB2312"/>
          <w:b/>
          <w:sz w:val="32"/>
          <w:szCs w:val="32"/>
        </w:rPr>
        <w:t>)</w:t>
      </w:r>
      <w:r>
        <w:rPr>
          <w:rFonts w:hint="eastAsia" w:ascii="Times New Roman" w:hAnsi="Times New Roman" w:eastAsia="楷体_GB2312"/>
          <w:b/>
          <w:sz w:val="32"/>
          <w:szCs w:val="32"/>
        </w:rPr>
        <w:t>井研县王村镇卫生院单位</w:t>
      </w:r>
      <w:r>
        <w:rPr>
          <w:rFonts w:ascii="Times New Roman" w:hAnsi="Times New Roman" w:eastAsia="楷体_GB2312"/>
          <w:b/>
          <w:sz w:val="32"/>
          <w:szCs w:val="32"/>
        </w:rPr>
        <w:t>职能简介。</w:t>
      </w:r>
    </w:p>
    <w:p>
      <w:pPr>
        <w:spacing w:line="580" w:lineRule="exact"/>
        <w:ind w:firstLine="640" w:firstLineChars="200"/>
        <w:jc w:val="left"/>
        <w:rPr>
          <w:rFonts w:ascii="仿宋" w:hAnsi="仿宋" w:eastAsia="仿宋" w:cs="仿宋"/>
          <w:sz w:val="32"/>
          <w:u w:color="auto"/>
        </w:rPr>
      </w:pPr>
      <w:r>
        <w:rPr>
          <w:rFonts w:hint="eastAsia" w:ascii="仿宋" w:hAnsi="仿宋" w:eastAsia="仿宋" w:cs="仿宋"/>
          <w:sz w:val="32"/>
          <w:u w:color="auto"/>
        </w:rPr>
        <w:t>贯彻落实中央、省、市、县卫生健康部门卫生健康工作方针，提供基本医疗服务，开展农村常见病、多发病诊治；贯彻落实国家基本药物制度，实施基本药物零差率销售，药品实行网上统一采购、统一配送的基本药物采购机制；承担区域内基本公共服务，协助开展突发公共卫生事件应急调查和组织工作、承担对村卫生室和乡村医生的业务管理和指导。</w:t>
      </w:r>
    </w:p>
    <w:p>
      <w:pPr>
        <w:numPr>
          <w:ilvl w:val="0"/>
          <w:numId w:val="1"/>
        </w:num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井研县王村镇卫生院单位</w:t>
      </w:r>
      <w:r>
        <w:rPr>
          <w:rFonts w:ascii="Times New Roman" w:hAnsi="Times New Roman" w:eastAsia="楷体_GB2312"/>
          <w:b/>
          <w:sz w:val="32"/>
          <w:szCs w:val="32"/>
        </w:rPr>
        <w:t>重点工作。</w:t>
      </w:r>
    </w:p>
    <w:p>
      <w:pPr>
        <w:spacing w:line="580" w:lineRule="exact"/>
        <w:ind w:firstLine="640" w:firstLineChars="200"/>
        <w:jc w:val="left"/>
        <w:outlineLvl w:val="2"/>
        <w:rPr>
          <w:rFonts w:ascii="Times New Roman" w:hAnsi="Times New Roman" w:eastAsia="楷体_GB2312"/>
          <w:b/>
          <w:sz w:val="32"/>
          <w:szCs w:val="32"/>
        </w:rPr>
      </w:pPr>
      <w:r>
        <w:rPr>
          <w:rFonts w:hint="eastAsia" w:ascii="仿宋" w:hAnsi="仿宋" w:eastAsia="仿宋" w:cs="仿宋"/>
          <w:bCs/>
          <w:sz w:val="32"/>
          <w:szCs w:val="32"/>
        </w:rPr>
        <w:t>做到公卫人员包村包户，把家庭医生签约工作做细做实；规范重点人群管理工作，定期对慢病人员进行筛查，对高血压、糖尿病及重性精神病等慢病人员规范管理；加强老年人及儿童健康管理工作，定期入户为老年人和儿童进行健康体检；积极开展预防接种工作，及时通知适龄儿童接种国家免疫规划疫苗，保护个体和人群不受病原因子的感染和发病，起到消除或消灭所针对的传染病的目的。全力做好疫情防控保障，做好辖区内消杀防疫工作。认真完成局机关安排的各项临时工作任务。</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二、部门概况</w:t>
      </w:r>
    </w:p>
    <w:p>
      <w:pPr>
        <w:spacing w:line="580" w:lineRule="exact"/>
        <w:ind w:firstLine="640" w:firstLineChars="200"/>
        <w:jc w:val="left"/>
        <w:rPr>
          <w:rFonts w:hint="eastAsia" w:ascii="仿宋" w:hAnsi="仿宋" w:eastAsia="仿宋" w:cs="仿宋"/>
          <w:sz w:val="32"/>
          <w:u w:color="auto"/>
          <w:lang w:eastAsia="zh-CN"/>
        </w:rPr>
      </w:pPr>
      <w:bookmarkStart w:id="0" w:name="_GoBack"/>
      <w:bookmarkEnd w:id="0"/>
      <w:r>
        <w:rPr>
          <w:rFonts w:hint="eastAsia" w:ascii="仿宋" w:hAnsi="仿宋" w:eastAsia="仿宋" w:cs="仿宋"/>
          <w:sz w:val="32"/>
          <w:u w:color="auto"/>
          <w:lang w:eastAsia="zh-CN"/>
        </w:rPr>
        <w:t>王村镇卫生院</w:t>
      </w:r>
      <w:r>
        <w:rPr>
          <w:rFonts w:hint="eastAsia" w:ascii="仿宋" w:hAnsi="仿宋" w:eastAsia="仿宋" w:cs="仿宋"/>
          <w:sz w:val="32"/>
          <w:u w:color="auto"/>
        </w:rPr>
        <w:t>所属一级预算单位，财政全额补助事业单位</w:t>
      </w:r>
      <w:r>
        <w:rPr>
          <w:rFonts w:hint="eastAsia" w:ascii="仿宋" w:hAnsi="仿宋" w:eastAsia="仿宋" w:cs="仿宋"/>
          <w:sz w:val="32"/>
          <w:u w:color="auto"/>
          <w:lang w:eastAsia="zh-CN"/>
        </w:rPr>
        <w:t>。</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三、收支预算总体情况</w:t>
      </w:r>
    </w:p>
    <w:p>
      <w:pPr>
        <w:spacing w:line="580" w:lineRule="exact"/>
        <w:ind w:firstLine="640" w:firstLineChars="200"/>
        <w:jc w:val="left"/>
        <w:rPr>
          <w:rFonts w:ascii="Times New Roman" w:hAnsi="Times New Roman" w:eastAsia="仿宋_GB2312"/>
          <w:sz w:val="32"/>
          <w:szCs w:val="32"/>
        </w:rPr>
      </w:pPr>
      <w:r>
        <w:rPr>
          <w:rFonts w:hint="eastAsia" w:ascii="仿宋" w:hAnsi="仿宋" w:eastAsia="仿宋" w:cs="仿宋"/>
          <w:sz w:val="32"/>
          <w:szCs w:val="32"/>
        </w:rPr>
        <w:t>按照综合预算的原则，</w:t>
      </w:r>
      <w:r>
        <w:rPr>
          <w:rFonts w:ascii="仿宋" w:hAnsi="仿宋" w:eastAsia="仿宋" w:cs="仿宋"/>
          <w:sz w:val="32"/>
          <w:u w:color="auto"/>
        </w:rPr>
        <w:t>井研县王村镇卫生院所有收入和支出均纳入单位预算管理。收入包括：一般公共预算拨款收入、事业收入；支出包括：卫生健康支出、住房保障支出、社会保障和就业支出。井研县王村镇卫生院2024年收支预算总数比2023年增加501.33万元，主要原因是事业收入预算增加。</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（一）收入预算情况</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井研县王村镇卫生院</w:t>
      </w:r>
      <w:r>
        <w:rPr>
          <w:rFonts w:hint="eastAsia" w:ascii="仿宋" w:hAnsi="仿宋" w:eastAsia="仿宋" w:cs="仿宋"/>
          <w:sz w:val="32"/>
          <w:u w:color="auto"/>
        </w:rPr>
        <w:t>2024</w:t>
      </w:r>
      <w:r>
        <w:rPr>
          <w:rFonts w:hint="eastAsia" w:ascii="仿宋" w:hAnsi="仿宋" w:eastAsia="仿宋" w:cs="仿宋"/>
          <w:sz w:val="32"/>
          <w:szCs w:val="32"/>
        </w:rPr>
        <w:t>年收入预算1355.66万元，上年结转0万元；一般公共预算拨款收入343.59万元，占25.34%；事业收入1012.06万元，占74.65%。</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（二）支出预算情况</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井研县王村镇卫生院</w:t>
      </w:r>
      <w:r>
        <w:rPr>
          <w:rFonts w:hint="eastAsia" w:ascii="仿宋" w:hAnsi="仿宋" w:eastAsia="仿宋" w:cs="仿宋"/>
          <w:sz w:val="32"/>
          <w:u w:color="auto"/>
        </w:rPr>
        <w:t>2024</w:t>
      </w:r>
      <w:r>
        <w:rPr>
          <w:rFonts w:hint="eastAsia" w:ascii="仿宋" w:hAnsi="仿宋" w:eastAsia="仿宋" w:cs="仿宋"/>
          <w:sz w:val="32"/>
          <w:szCs w:val="32"/>
        </w:rPr>
        <w:t>年支出预算1355.66万元，其中：基本支出605.94万元，占44.70%项目支出749.71万元，占55.30%。</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四、财政拨款收支预算情况说明</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井研县王村镇卫生院</w:t>
      </w:r>
      <w:r>
        <w:rPr>
          <w:rFonts w:hint="eastAsia" w:ascii="仿宋" w:hAnsi="仿宋" w:eastAsia="仿宋" w:cs="仿宋"/>
          <w:sz w:val="32"/>
          <w:u w:color="auto"/>
        </w:rPr>
        <w:t>2024</w:t>
      </w:r>
      <w:r>
        <w:rPr>
          <w:rFonts w:hint="eastAsia" w:ascii="仿宋" w:hAnsi="仿宋" w:eastAsia="仿宋" w:cs="仿宋"/>
          <w:sz w:val="32"/>
          <w:szCs w:val="32"/>
        </w:rPr>
        <w:t>年财政拨款收支预算总数343.59万元，比2023年财政拨款收支预算总数增加4.26万元。</w:t>
      </w:r>
      <w:r>
        <w:rPr>
          <w:rFonts w:hint="eastAsia" w:ascii="仿宋" w:hAnsi="仿宋" w:eastAsia="仿宋" w:cs="仿宋"/>
          <w:sz w:val="32"/>
          <w:u w:color="auto"/>
        </w:rPr>
        <w:t>主要原因是人员经费增加</w:t>
      </w:r>
      <w:r>
        <w:rPr>
          <w:rFonts w:hint="eastAsia" w:ascii="仿宋" w:hAnsi="仿宋" w:eastAsia="仿宋" w:cs="仿宋"/>
          <w:sz w:val="32"/>
          <w:szCs w:val="32"/>
        </w:rPr>
        <w:t>。</w:t>
      </w:r>
    </w:p>
    <w:p>
      <w:pPr>
        <w:spacing w:line="580" w:lineRule="exact"/>
        <w:ind w:firstLine="640" w:firstLineChars="200"/>
        <w:jc w:val="left"/>
        <w:rPr>
          <w:rFonts w:ascii="Times New Roman" w:hAnsi="Times New Roman" w:eastAsia="仿宋_GB2312"/>
          <w:sz w:val="32"/>
          <w:szCs w:val="32"/>
        </w:rPr>
      </w:pPr>
      <w:r>
        <w:rPr>
          <w:rFonts w:hint="eastAsia" w:ascii="仿宋" w:hAnsi="仿宋" w:eastAsia="仿宋" w:cs="仿宋"/>
          <w:sz w:val="32"/>
          <w:szCs w:val="32"/>
        </w:rPr>
        <w:t>收入包括： 一般公共预算拨款收入343.59万元；支出包括： 卫生健康支出275.27万元、 住房保障支出19.35万元、 社会保障和就业支出48.98万元。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五、一般公共预算当年拨款情况说明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（一）一般公共预算当年拨款规模变化情况</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井研县王村镇卫生院</w:t>
      </w:r>
      <w:r>
        <w:rPr>
          <w:rFonts w:ascii="仿宋" w:hAnsi="仿宋" w:eastAsia="仿宋" w:cs="仿宋"/>
          <w:sz w:val="32"/>
          <w:u w:color="auto"/>
        </w:rPr>
        <w:t>2024年一般公共预算当年拨款343.59万元，比2023年预算数增加4.26万元。主要原因是人员经费增加。</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（二）一般公共预算当年拨款结构情况</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 卫生健康支出275.27万元，占80.12%、 住房保障支出19.35万元，占5.63%、 社会保障和就业支出48.98万元，占14.26%。</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val="en-US" w:eastAsia="zh-CN"/>
        </w:rPr>
        <w:t>1.社会保障和就业支出（类）行政事业单位养老支出（款）机关事业单位基本养老保险缴费支出（项）2024年预算数为21.32万元，主要用于：机关事业单位实施养老保险制度由单位缴纳的基本养老保险费支出。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2.社会保障和就业支出（类）行政事业单位养老支出（款）机关事业单位职业年金缴费支出（项）2024年预算数为10.66万元，主要用于：机关事业单位实施养老保险制度由单位实际缴纳的职业年金支出。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3.社会保障和就业支出（类）就业补助（款）其他就业补助支出（项）2024年预算数为17.0万元，主要用于：除上述项目以外按规定确定的其他用于促进就业的补助支出。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4.卫生健康支出（类）基层医疗卫生机构（款）乡镇卫生院（项）2024年预算数为249.94万元，主要用于：用于乡镇卫生院的支出。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5.卫生健康支出（类）基层医疗卫生机构（款）其他基层医疗卫生机构支出（项）2024年预算数为12.48万元，主要用于：除上述项目以外的其他用于基层医疗卫生机构的支出。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6.卫生健康支出（类）行政事业单位医疗（款）事业单位医疗（项）2024年预算数为9.91万元，主要用于：财政部门安排的事业单位基本医疗保险缴费经费，未参加医疗保险的事业单位的公费医疗经费，按国家规定享受离休人员待遇的医疗经费。</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7.卫生健康支出（类）行政事业单位医疗（款）其他行政事业单位医疗支出（项）2024年预算数为2.94万元，主要用于：除上述项目以外的其他用于行政事业单位医疗方面的支出。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8.住房保障支出（类）住房改革支出（款）住房公积金（项）2024年预算数为19.35万元，主要用于：行政事业单位按人力资源和社会保障部、财政部规定的基本工资和津贴补贴以及规定比例为职工缴纳的住房公积金。</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六、一般公共预算基本支出情况说明</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井研县王村镇卫生院</w:t>
      </w:r>
      <w:r>
        <w:rPr>
          <w:rFonts w:ascii="仿宋" w:hAnsi="仿宋" w:eastAsia="仿宋" w:cs="仿宋"/>
          <w:sz w:val="32"/>
          <w:u w:color="auto"/>
        </w:rPr>
        <w:t>2024年一般公共预算基本支出219.04万元，其中：</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人员经费 </w:t>
      </w:r>
      <w:r>
        <w:rPr>
          <w:rFonts w:ascii="仿宋" w:hAnsi="仿宋" w:eastAsia="仿宋" w:cs="仿宋"/>
          <w:sz w:val="32"/>
          <w:u w:color="auto"/>
        </w:rPr>
        <w:t>217.44万元，主要包括：基本工资、津贴补贴、伙食补助费、绩效工资、机关事业单位基本养老保险缴费、职业年金缴费、职工基本医疗保险缴费、其他社会保障缴费、住房公积金。</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公用经费 </w:t>
      </w:r>
      <w:r>
        <w:rPr>
          <w:rFonts w:ascii="仿宋" w:hAnsi="仿宋" w:eastAsia="仿宋" w:cs="仿宋"/>
          <w:sz w:val="32"/>
          <w:u w:color="auto"/>
        </w:rPr>
        <w:t>1.6万元，主要包括：工会经费。</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七、政府性基金预算支出规模及变化情况说明</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井研县王村镇卫生院2024年没有使用政府性基金预算拨款安排的支出。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八、国有资本经营预算情况说明</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井研县王村镇卫生院2024年没有使用国有资本经营预算拨款安排的支出。</w:t>
      </w:r>
    </w:p>
    <w:p>
      <w:pPr>
        <w:spacing w:line="580" w:lineRule="exact"/>
        <w:ind w:firstLine="640" w:firstLineChars="200"/>
        <w:jc w:val="left"/>
        <w:outlineLvl w:val="1"/>
        <w:rPr>
          <w:rFonts w:ascii="Times New Roman" w:hAnsi="Times New Roman" w:eastAsia="仿宋_GB2312"/>
          <w:sz w:val="32"/>
          <w:szCs w:val="32"/>
        </w:rPr>
      </w:pPr>
      <w:r>
        <w:rPr>
          <w:rFonts w:hint="eastAsia" w:ascii="Times New Roman" w:hAnsi="Times New Roman" w:eastAsia="黑体"/>
          <w:sz w:val="32"/>
          <w:szCs w:val="32"/>
        </w:rPr>
        <w:t>九、“三公”经费财政拨款预算安排情况说明</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井研县王村镇卫生院2024年没有使用财政拨款安排“三公”经费预算。</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 因公出国（境）经费较上年预算0万元，与上年持平</w:t>
      </w:r>
    </w:p>
    <w:p>
      <w:pPr>
        <w:spacing w:line="580" w:lineRule="exact"/>
        <w:ind w:firstLine="640"/>
        <w:jc w:val="left"/>
        <w:rPr>
          <w:rFonts w:hint="eastAsia" w:ascii="仿宋" w:hAnsi="仿宋" w:eastAsia="仿宋" w:cs="仿宋"/>
          <w:b/>
          <w:sz w:val="32"/>
          <w:szCs w:val="32"/>
        </w:rPr>
      </w:pPr>
      <w:r>
        <w:rPr>
          <w:rFonts w:hint="eastAsia" w:ascii="仿宋" w:hAnsi="仿宋" w:eastAsia="仿宋" w:cs="仿宋"/>
          <w:sz w:val="32"/>
          <w:szCs w:val="32"/>
        </w:rPr>
        <w:t>2.公务接待费较2023年预算数持平。</w:t>
      </w:r>
    </w:p>
    <w:p>
      <w:pPr>
        <w:tabs>
          <w:tab w:val="right" w:pos="7666"/>
        </w:tabs>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2024</w:t>
      </w:r>
      <w:r>
        <w:rPr>
          <w:rFonts w:hint="eastAsia" w:ascii="仿宋" w:hAnsi="仿宋" w:eastAsia="仿宋" w:cs="仿宋"/>
          <w:sz w:val="32"/>
          <w:szCs w:val="32"/>
          <w:u w:color="auto"/>
        </w:rPr>
        <w:t>年公务接待费计划用于公务接待费无变化。</w:t>
      </w:r>
    </w:p>
    <w:p>
      <w:pPr>
        <w:spacing w:line="580" w:lineRule="exact"/>
        <w:ind w:firstLine="640"/>
        <w:jc w:val="left"/>
        <w:rPr>
          <w:rFonts w:hint="eastAsia" w:ascii="仿宋" w:hAnsi="仿宋" w:eastAsia="仿宋" w:cs="仿宋"/>
          <w:b/>
          <w:sz w:val="32"/>
          <w:szCs w:val="32"/>
        </w:rPr>
      </w:pPr>
      <w:r>
        <w:rPr>
          <w:rFonts w:hint="eastAsia" w:ascii="仿宋" w:hAnsi="仿宋" w:eastAsia="仿宋" w:cs="仿宋"/>
          <w:bCs/>
          <w:sz w:val="32"/>
          <w:szCs w:val="32"/>
        </w:rPr>
        <w:t>3.</w:t>
      </w:r>
      <w:r>
        <w:rPr>
          <w:rFonts w:hint="eastAsia" w:ascii="仿宋" w:hAnsi="仿宋" w:eastAsia="仿宋" w:cs="仿宋"/>
          <w:sz w:val="32"/>
          <w:szCs w:val="32"/>
        </w:rPr>
        <w:t>公务用车购置及运行维护费较2023年预算数持平。</w:t>
      </w:r>
    </w:p>
    <w:p>
      <w:pPr>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单位现有公务用车</w:t>
      </w:r>
      <w:r>
        <w:rPr>
          <w:rFonts w:hint="eastAsia" w:ascii="仿宋" w:hAnsi="仿宋" w:eastAsia="仿宋" w:cs="仿宋"/>
          <w:sz w:val="32"/>
          <w:szCs w:val="32"/>
          <w:u w:color="auto"/>
        </w:rPr>
        <w:t>0辆，其中：轿车0辆、旅行车（含商务车）0辆、越野车0辆、大型客、货车0辆</w:t>
      </w:r>
      <w:r>
        <w:rPr>
          <w:rFonts w:hint="eastAsia" w:ascii="仿宋" w:hAnsi="仿宋" w:eastAsia="仿宋" w:cs="仿宋"/>
          <w:sz w:val="32"/>
          <w:szCs w:val="32"/>
          <w:u w:color="auto"/>
          <w:lang w:eastAsia="zh-CN"/>
        </w:rPr>
        <w:t>、</w:t>
      </w:r>
      <w:r>
        <w:rPr>
          <w:rFonts w:hint="eastAsia" w:ascii="仿宋" w:hAnsi="仿宋" w:eastAsia="仿宋" w:cs="仿宋"/>
          <w:sz w:val="32"/>
          <w:szCs w:val="32"/>
          <w:u w:color="auto"/>
          <w:lang w:val="en-US" w:eastAsia="zh-CN"/>
        </w:rPr>
        <w:t>其他车辆1辆</w:t>
      </w:r>
      <w:r>
        <w:rPr>
          <w:rFonts w:hint="eastAsia" w:ascii="仿宋" w:hAnsi="仿宋" w:eastAsia="仿宋" w:cs="仿宋"/>
          <w:sz w:val="32"/>
          <w:szCs w:val="32"/>
          <w:u w:color="auto"/>
        </w:rPr>
        <w:t>。</w:t>
      </w:r>
    </w:p>
    <w:p>
      <w:pPr>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2024年安排公务用车购置费0万元，拟购置公务用车0辆，其中：轿车0辆、旅行车（含商务车）0辆、越野车0辆、大型客、货车0辆。</w:t>
      </w:r>
    </w:p>
    <w:p>
      <w:pPr>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2024年安排公务用车运行维护费0万元，用于0辆公务用车燃油、维修、过路过桥费、保险等方面支出。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十、其他重要事项的情况说明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（一）机关运行经费情况</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井研县王村镇卫生院为事业单位，按规定未使用机关运行的相关科目。</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（二）政府采购情况</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2024年政府采购项目，安排政府采购预算</w:t>
      </w:r>
      <w:r>
        <w:rPr>
          <w:rFonts w:hint="eastAsia" w:ascii="仿宋_GB2312" w:hAnsi="仿宋_GB2312" w:eastAsia="仿宋_GB2312" w:cs="仿宋_GB2312"/>
          <w:sz w:val="32"/>
          <w:szCs w:val="32"/>
          <w:lang w:val="en-US" w:eastAsia="zh-CN"/>
        </w:rPr>
        <w:t>3万</w:t>
      </w:r>
      <w:r>
        <w:rPr>
          <w:rFonts w:hint="eastAsia" w:ascii="仿宋_GB2312" w:hAnsi="仿宋_GB2312" w:eastAsia="仿宋_GB2312" w:cs="仿宋_GB2312"/>
          <w:sz w:val="32"/>
          <w:szCs w:val="32"/>
        </w:rPr>
        <w:t>。</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（三）政府购买服务情况。</w:t>
      </w:r>
    </w:p>
    <w:p>
      <w:pPr>
        <w:spacing w:line="580" w:lineRule="exact"/>
        <w:ind w:firstLine="640" w:firstLineChars="200"/>
        <w:jc w:val="left"/>
        <w:outlineLvl w:val="2"/>
        <w:rPr>
          <w:rFonts w:hint="eastAsia" w:ascii="仿宋" w:hAnsi="仿宋" w:eastAsia="仿宋" w:cs="仿宋"/>
          <w:b/>
          <w:sz w:val="32"/>
          <w:szCs w:val="32"/>
        </w:rPr>
      </w:pPr>
      <w:r>
        <w:rPr>
          <w:rFonts w:hint="eastAsia" w:ascii="仿宋" w:hAnsi="仿宋" w:eastAsia="仿宋" w:cs="仿宋"/>
          <w:sz w:val="32"/>
          <w:szCs w:val="32"/>
        </w:rPr>
        <w:t>2024年井研县王村镇卫生院安排政府购买服务预算0万元，较上年持平。</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（四）国有资产占有使用情况</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截至2023年底，井研县王村镇卫生院所属各预算单位共有车辆0辆，其中省部级领导干部用车0辆、定向保障用车0辆、执法执勤用车0辆。单位价值200万元以上大型设备0台（套）。</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2024年单位预算未安排购置车辆及单位价值200万元以上大型设备。</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（五）绩效目标设置情况</w:t>
      </w:r>
    </w:p>
    <w:p>
      <w:pPr>
        <w:spacing w:line="578"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2024</w:t>
      </w:r>
      <w:r>
        <w:rPr>
          <w:rFonts w:ascii="仿宋" w:hAnsi="仿宋" w:eastAsia="仿宋" w:cs="仿宋"/>
          <w:sz w:val="32"/>
          <w:u w:color="auto"/>
        </w:rPr>
        <w:t>年井研县王村镇卫生院开展绩效目标管理的项目</w:t>
      </w:r>
      <w:r>
        <w:rPr>
          <w:rFonts w:hint="eastAsia" w:ascii="仿宋" w:hAnsi="仿宋" w:eastAsia="仿宋" w:cs="仿宋"/>
          <w:sz w:val="32"/>
          <w:u w:color="auto"/>
          <w:lang w:val="en-US" w:eastAsia="zh-CN"/>
        </w:rPr>
        <w:t>28</w:t>
      </w:r>
      <w:r>
        <w:rPr>
          <w:rFonts w:ascii="仿宋" w:hAnsi="仿宋" w:eastAsia="仿宋" w:cs="仿宋"/>
          <w:sz w:val="32"/>
          <w:u w:color="auto"/>
        </w:rPr>
        <w:t>个，涉及预算</w:t>
      </w:r>
      <w:r>
        <w:rPr>
          <w:rFonts w:hint="eastAsia" w:ascii="仿宋" w:hAnsi="仿宋" w:eastAsia="仿宋" w:cs="仿宋"/>
          <w:sz w:val="32"/>
          <w:u w:color="auto"/>
          <w:lang w:val="en-US" w:eastAsia="zh-CN"/>
        </w:rPr>
        <w:t>1355.66</w:t>
      </w:r>
      <w:r>
        <w:rPr>
          <w:rFonts w:ascii="仿宋" w:hAnsi="仿宋" w:eastAsia="仿宋" w:cs="仿宋"/>
          <w:sz w:val="32"/>
          <w:u w:color="auto"/>
        </w:rPr>
        <w:t>万元。其中：人员类项目</w:t>
      </w:r>
      <w:r>
        <w:rPr>
          <w:rFonts w:hint="eastAsia" w:ascii="仿宋" w:hAnsi="仿宋" w:eastAsia="仿宋" w:cs="仿宋"/>
          <w:sz w:val="32"/>
          <w:u w:color="auto"/>
          <w:lang w:val="en-US" w:eastAsia="zh-CN"/>
        </w:rPr>
        <w:t>11</w:t>
      </w:r>
      <w:r>
        <w:rPr>
          <w:rFonts w:ascii="仿宋" w:hAnsi="仿宋" w:eastAsia="仿宋" w:cs="仿宋"/>
          <w:sz w:val="32"/>
          <w:u w:color="auto"/>
        </w:rPr>
        <w:t>个，涉及预算</w:t>
      </w:r>
      <w:r>
        <w:rPr>
          <w:rFonts w:hint="eastAsia" w:ascii="仿宋" w:hAnsi="仿宋" w:eastAsia="仿宋" w:cs="仿宋"/>
          <w:sz w:val="32"/>
          <w:u w:color="auto"/>
          <w:lang w:val="en-US" w:eastAsia="zh-CN"/>
        </w:rPr>
        <w:t>533.18</w:t>
      </w:r>
      <w:r>
        <w:rPr>
          <w:rFonts w:ascii="仿宋" w:hAnsi="仿宋" w:eastAsia="仿宋" w:cs="仿宋"/>
          <w:sz w:val="32"/>
          <w:u w:color="auto"/>
        </w:rPr>
        <w:t>万元；运转类项目</w:t>
      </w:r>
      <w:r>
        <w:rPr>
          <w:rFonts w:hint="eastAsia" w:ascii="仿宋" w:hAnsi="仿宋" w:eastAsia="仿宋" w:cs="仿宋"/>
          <w:sz w:val="32"/>
          <w:u w:color="auto"/>
          <w:lang w:val="en-US" w:eastAsia="zh-CN"/>
        </w:rPr>
        <w:t>2</w:t>
      </w:r>
      <w:r>
        <w:rPr>
          <w:rFonts w:ascii="仿宋" w:hAnsi="仿宋" w:eastAsia="仿宋" w:cs="仿宋"/>
          <w:sz w:val="32"/>
          <w:u w:color="auto"/>
        </w:rPr>
        <w:t>个，涉及预算</w:t>
      </w:r>
      <w:r>
        <w:rPr>
          <w:rFonts w:hint="eastAsia" w:ascii="仿宋" w:hAnsi="仿宋" w:eastAsia="仿宋" w:cs="仿宋"/>
          <w:sz w:val="32"/>
          <w:u w:color="auto"/>
          <w:lang w:val="en-US" w:eastAsia="zh-CN"/>
        </w:rPr>
        <w:t>72.76</w:t>
      </w:r>
      <w:r>
        <w:rPr>
          <w:rFonts w:ascii="仿宋" w:hAnsi="仿宋" w:eastAsia="仿宋" w:cs="仿宋"/>
          <w:sz w:val="32"/>
          <w:u w:color="auto"/>
        </w:rPr>
        <w:t>万元；特定目标类项目</w:t>
      </w:r>
      <w:r>
        <w:rPr>
          <w:rFonts w:hint="eastAsia" w:ascii="仿宋" w:hAnsi="仿宋" w:eastAsia="仿宋" w:cs="仿宋"/>
          <w:sz w:val="32"/>
          <w:u w:color="auto"/>
          <w:lang w:val="en-US" w:eastAsia="zh-CN"/>
        </w:rPr>
        <w:t>15</w:t>
      </w:r>
      <w:r>
        <w:rPr>
          <w:rFonts w:ascii="仿宋" w:hAnsi="仿宋" w:eastAsia="仿宋" w:cs="仿宋"/>
          <w:sz w:val="32"/>
          <w:u w:color="auto"/>
        </w:rPr>
        <w:t>个，涉及预算</w:t>
      </w:r>
      <w:r>
        <w:rPr>
          <w:rFonts w:hint="eastAsia" w:ascii="仿宋" w:hAnsi="仿宋" w:eastAsia="仿宋" w:cs="仿宋"/>
          <w:sz w:val="32"/>
          <w:u w:color="auto"/>
          <w:lang w:val="en-US" w:eastAsia="zh-CN"/>
        </w:rPr>
        <w:t>749.71</w:t>
      </w:r>
      <w:r>
        <w:rPr>
          <w:rFonts w:ascii="仿宋" w:hAnsi="仿宋" w:eastAsia="仿宋" w:cs="仿宋"/>
          <w:sz w:val="32"/>
          <w:u w:color="auto"/>
        </w:rPr>
        <w:t>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十一、名词解释</w:t>
      </w:r>
    </w:p>
    <w:p>
      <w:pPr>
        <w:pStyle w:val="5"/>
        <w:widowControl/>
        <w:spacing w:before="0" w:beforeAutospacing="0" w:after="0" w:afterAutospacing="0"/>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 xml:space="preserve">一般公共预算拨款收入：指省级财政当年拨付的资金。 </w:t>
      </w:r>
    </w:p>
    <w:p>
      <w:pPr>
        <w:pStyle w:val="5"/>
        <w:widowControl/>
        <w:spacing w:before="0" w:beforeAutospacing="0" w:after="0" w:afterAutospacing="0"/>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2.社会保障和就业支出（类）行政事业单位养老支出（款）机关事业单位基本养老保险缴费支出（项）：反映机关事业单位实施养老保险制度由单位缴纳的基本养老保险费支出。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3.社会保障和就业支出（类）行政事业单位养老支出（款）机关事业单位职业年金缴费支出（项）：反映机关事业单位实施养老保险制度由单位实际缴纳的职业年金支出。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4.社会保障和就业支出（类）就业补助（款）其他就业补助支出（项）：反映除上述项目以外按规定确定的其他用于促进就业的补助支出。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5.卫生健康支出（类）基层医疗卫生机构（款）乡镇卫生院（项）：反映用于乡镇卫生院的支出。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6.卫生健康支出（类）基层医疗卫生机构（款）其他基层医疗卫生机构支出（项）：反映除上述项目以外的其他用于基层医疗卫生机构的支出。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7.卫生健康支出（类）行政事业单位医疗（款）事业单位医疗（项）：反映财政部门安排的事业单位基本医疗保险缴费经费，未参加医疗保险的事业单位的公费医疗经费，按国家规定享受离休人员待遇的医疗经费。</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8.卫生健康支出（类）行政事业单位医疗（款）其他行政事业单位医疗支出（项）：反映除上述项目以外的其他用于行政事业单位医疗方面的支出。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9.住房保障支出（类）住房改革支出（款）住房公积金（项）：反映行政事业单位按人力资源和社会保障部、财政部规定的基本工资和津贴补贴以及规定比例为职工缴纳的住房公积金。</w:t>
      </w:r>
    </w:p>
    <w:p>
      <w:pPr>
        <w:pStyle w:val="5"/>
        <w:widowControl/>
        <w:spacing w:before="0" w:beforeAutospacing="0" w:after="0" w:afterAutospacing="0"/>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10.基本支出：指为保证机构正常运转，完成日常工作任务而发生的人员支出和公用支出。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11.项目支出：指在基本支出之外为完成特定行政任务和事业发展目标所发生的支出。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13.机关运行经费：为保障行政单位（包含参照公务员法管理的事业单位）运行用于购买货物和服务的各项资金。包括办公及印刷费、邮电费、差旅费、会议费一般设备购置费等费用开支。</w:t>
      </w:r>
      <w:r>
        <w:rPr>
          <w:rFonts w:hint="eastAsia" w:ascii="仿宋_GB2312" w:hAnsi="仿宋_GB2312" w:eastAsia="仿宋_GB2312" w:cs="仿宋_GB2312"/>
          <w:sz w:val="32"/>
          <w:szCs w:val="32"/>
        </w:rPr>
        <w:cr/>
      </w:r>
    </w:p>
    <w:p>
      <w:pPr>
        <w:jc w:val="lef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596E4"/>
    <w:multiLevelType w:val="singleLevel"/>
    <w:tmpl w:val="450596E4"/>
    <w:lvl w:ilvl="0" w:tentative="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zNDBkOTE4NmNlNjJkZGMwNTdjYmNiYjZiYWM3ZjcifQ=="/>
  </w:docVars>
  <w:rsids>
    <w:rsidRoot w:val="575844F0"/>
    <w:rsid w:val="000F56AF"/>
    <w:rsid w:val="002571C7"/>
    <w:rsid w:val="002801C7"/>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5554BA"/>
    <w:rsid w:val="188624F1"/>
    <w:rsid w:val="18EF58AD"/>
    <w:rsid w:val="195C14A3"/>
    <w:rsid w:val="19665E75"/>
    <w:rsid w:val="19793B64"/>
    <w:rsid w:val="198975C1"/>
    <w:rsid w:val="1A8A0974"/>
    <w:rsid w:val="1ADB600A"/>
    <w:rsid w:val="1AE72EE7"/>
    <w:rsid w:val="1B9C22AA"/>
    <w:rsid w:val="1C001B5A"/>
    <w:rsid w:val="1C3E1334"/>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732CDF"/>
    <w:rsid w:val="49923B77"/>
    <w:rsid w:val="4A174159"/>
    <w:rsid w:val="4A851D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7E5DE9"/>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E7EAE"/>
    <w:rsid w:val="6313764B"/>
    <w:rsid w:val="63161C90"/>
    <w:rsid w:val="6367280D"/>
    <w:rsid w:val="641C5084"/>
    <w:rsid w:val="64771E53"/>
    <w:rsid w:val="64CD4737"/>
    <w:rsid w:val="64D1385B"/>
    <w:rsid w:val="64DD1C81"/>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4601E5"/>
    <w:rsid w:val="6FC844B9"/>
    <w:rsid w:val="6FD238B4"/>
    <w:rsid w:val="700A5D51"/>
    <w:rsid w:val="70E46D2D"/>
    <w:rsid w:val="70F6046F"/>
    <w:rsid w:val="714B6FA9"/>
    <w:rsid w:val="71944EA7"/>
    <w:rsid w:val="71D71D1B"/>
    <w:rsid w:val="721171F3"/>
    <w:rsid w:val="723D2D95"/>
    <w:rsid w:val="728E0759"/>
    <w:rsid w:val="729953A7"/>
    <w:rsid w:val="729A1F96"/>
    <w:rsid w:val="72B03B7B"/>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CD275EF"/>
    <w:rsid w:val="7CEF6249"/>
    <w:rsid w:val="7CF4381E"/>
    <w:rsid w:val="7CF63C25"/>
    <w:rsid w:val="7D454310"/>
    <w:rsid w:val="7DC756D2"/>
    <w:rsid w:val="7E543940"/>
    <w:rsid w:val="7EE41AB2"/>
    <w:rsid w:val="7F534403"/>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jc w:val="left"/>
    </w:pPr>
    <w:rPr>
      <w:kern w:val="0"/>
      <w:sz w:val="24"/>
    </w:rPr>
  </w:style>
  <w:style w:type="character" w:customStyle="1" w:styleId="8">
    <w:name w:val="页眉 字符"/>
    <w:basedOn w:val="7"/>
    <w:link w:val="4"/>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268</Words>
  <Characters>1528</Characters>
  <Lines>12</Lines>
  <Paragraphs>3</Paragraphs>
  <TotalTime>2</TotalTime>
  <ScaleCrop>false</ScaleCrop>
  <LinksUpToDate>false</LinksUpToDate>
  <CharactersWithSpaces>1793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高高</cp:lastModifiedBy>
  <dcterms:modified xsi:type="dcterms:W3CDTF">2024-02-02T02:58:19Z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6792FB0D259B459F8841731CA50DC44C_13</vt:lpwstr>
  </property>
</Properties>
</file>