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uppressAutoHyphens/>
        <w:rPr>
          <w:rFonts w:hint="eastAsia"/>
          <w:lang w:eastAsia="zh-CN"/>
        </w:rPr>
      </w:pPr>
      <w:r>
        <w:rPr>
          <w:rFonts w:hint="eastAsia"/>
          <w:lang w:val="en-US" w:eastAsia="zh-CN"/>
        </w:rPr>
        <w:t>关于</w:t>
      </w:r>
      <w:r>
        <w:rPr>
          <w:rFonts w:hint="eastAsia"/>
          <w:lang w:eastAsia="zh-CN"/>
        </w:rPr>
        <w:t>井研县周坡镇中心卫生院</w:t>
      </w:r>
    </w:p>
    <w:p>
      <w:pPr>
        <w:pStyle w:val="9"/>
        <w:suppressAutoHyphens/>
        <w:rPr>
          <w:rFonts w:hint="eastAsia"/>
        </w:rPr>
      </w:pPr>
      <w:r>
        <w:rPr>
          <w:rFonts w:hint="eastAsia"/>
        </w:rPr>
        <w:t>2024年部门预算编制</w:t>
      </w:r>
      <w:r>
        <w:rPr>
          <w:rFonts w:hint="eastAsia"/>
          <w:lang w:val="en-US" w:eastAsia="zh-CN"/>
        </w:rPr>
        <w:t>的</w:t>
      </w:r>
      <w:r>
        <w:rPr>
          <w:rFonts w:hint="eastAsia"/>
        </w:rPr>
        <w:t>说明</w:t>
      </w:r>
    </w:p>
    <w:p>
      <w:pPr>
        <w:suppressAutoHyphens/>
        <w:spacing w:line="600" w:lineRule="exact"/>
        <w:ind w:firstLine="640" w:firstLineChars="200"/>
        <w:rPr>
          <w:rFonts w:ascii="仿宋_GB2312" w:hAnsi="Times New Roman" w:eastAsia="仿宋_GB2312"/>
          <w:sz w:val="32"/>
          <w:szCs w:val="32"/>
        </w:rPr>
      </w:pPr>
    </w:p>
    <w:p>
      <w:pPr>
        <w:suppressAutoHyphens/>
        <w:spacing w:line="600" w:lineRule="exact"/>
        <w:ind w:firstLine="640" w:firstLineChars="200"/>
        <w:rPr>
          <w:rFonts w:hint="eastAsia" w:ascii="Times New Roman" w:hAnsi="Times New Roman" w:eastAsia="黑体"/>
          <w:sz w:val="32"/>
          <w:szCs w:val="32"/>
        </w:rPr>
      </w:pPr>
      <w:r>
        <w:rPr>
          <w:rFonts w:hint="eastAsia" w:ascii="仿宋_GB2312" w:hAnsi="Times New Roman" w:eastAsia="仿宋_GB2312"/>
          <w:sz w:val="32"/>
          <w:szCs w:val="32"/>
        </w:rPr>
        <w:t>按照预算管理有关规定，目前部门预算的编制实行综合预算制度，即全部收入和支出都反映在预算中。</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一、基本职能及主要工作</w:t>
      </w:r>
    </w:p>
    <w:p>
      <w:pPr>
        <w:spacing w:line="580" w:lineRule="exact"/>
        <w:ind w:firstLine="643" w:firstLineChars="200"/>
        <w:jc w:val="left"/>
        <w:outlineLvl w:val="2"/>
        <w:rPr>
          <w:rFonts w:ascii="Times New Roman" w:hAnsi="Times New Roman" w:eastAsia="仿宋_GB2312"/>
          <w:b/>
          <w:sz w:val="32"/>
          <w:szCs w:val="32"/>
        </w:rPr>
      </w:pPr>
      <w:r>
        <w:rPr>
          <w:rFonts w:ascii="Times New Roman" w:hAnsi="Times New Roman" w:eastAsia="仿宋_GB2312"/>
          <w:b/>
          <w:sz w:val="32"/>
          <w:szCs w:val="32"/>
        </w:rPr>
        <w:t>(</w:t>
      </w:r>
      <w:r>
        <w:rPr>
          <w:rFonts w:hint="eastAsia" w:ascii="Times New Roman" w:hAnsi="Times New Roman" w:eastAsia="仿宋_GB2312"/>
          <w:b/>
          <w:sz w:val="32"/>
          <w:szCs w:val="32"/>
        </w:rPr>
        <w:t>一</w:t>
      </w:r>
      <w:r>
        <w:rPr>
          <w:rFonts w:ascii="Times New Roman" w:hAnsi="Times New Roman" w:eastAsia="仿宋_GB2312"/>
          <w:b/>
          <w:sz w:val="32"/>
          <w:szCs w:val="32"/>
        </w:rPr>
        <w:t>)</w:t>
      </w:r>
      <w:r>
        <w:rPr>
          <w:rFonts w:hint="eastAsia" w:ascii="Times New Roman" w:hAnsi="Times New Roman" w:eastAsia="仿宋_GB2312"/>
          <w:b/>
          <w:sz w:val="32"/>
          <w:szCs w:val="32"/>
          <w:lang w:eastAsia="zh-CN"/>
        </w:rPr>
        <w:t>井研县周坡镇卫生院</w:t>
      </w:r>
      <w:r>
        <w:rPr>
          <w:rFonts w:hint="eastAsia" w:ascii="Times New Roman" w:hAnsi="Times New Roman" w:eastAsia="仿宋_GB2312"/>
          <w:b/>
          <w:sz w:val="32"/>
          <w:szCs w:val="32"/>
        </w:rPr>
        <w:t>单位</w:t>
      </w:r>
      <w:r>
        <w:rPr>
          <w:rFonts w:ascii="Times New Roman" w:hAnsi="Times New Roman" w:eastAsia="仿宋_GB2312"/>
          <w:b/>
          <w:sz w:val="32"/>
          <w:szCs w:val="32"/>
        </w:rPr>
        <w:t>职能简介。</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主要承担为人民身体健康提供医疗预防 保健服务、常见病多发病诊治和辖区内居民基本公共卫生服务，贯彻落实国家基本药物制度，实施基本药物零差率销售，承担对村卫生室和乡村医生的业务管理和指导，提供计划生育技术指导与服务等职责。</w:t>
      </w:r>
    </w:p>
    <w:p>
      <w:pPr>
        <w:numPr>
          <w:ilvl w:val="0"/>
          <w:numId w:val="1"/>
        </w:num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lang w:eastAsia="zh-CN"/>
        </w:rPr>
        <w:t>井研县周坡镇卫生院</w:t>
      </w:r>
      <w:r>
        <w:rPr>
          <w:rFonts w:hint="eastAsia" w:ascii="Times New Roman" w:hAnsi="Times New Roman" w:eastAsia="仿宋_GB2312"/>
          <w:b/>
          <w:sz w:val="32"/>
          <w:szCs w:val="32"/>
        </w:rPr>
        <w:t>单位</w:t>
      </w:r>
      <w:r>
        <w:rPr>
          <w:rFonts w:ascii="Times New Roman" w:hAnsi="Times New Roman" w:eastAsia="仿宋_GB2312"/>
          <w:b/>
          <w:sz w:val="32"/>
          <w:szCs w:val="32"/>
        </w:rPr>
        <w:t>重点工作。</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1.医疗业务：包括住院和门诊工作、医疗安全及疫情防控工作；</w:t>
      </w:r>
      <w:r>
        <w:rPr>
          <w:rFonts w:hint="eastAsia" w:ascii="仿宋_GB2312" w:hAnsi="Calibri" w:eastAsia="仿宋_GB2312" w:cs="Times New Roman"/>
          <w:kern w:val="2"/>
          <w:sz w:val="32"/>
          <w:szCs w:val="32"/>
          <w:lang w:val="en-US" w:eastAsia="zh-CN" w:bidi="ar-SA"/>
        </w:rPr>
        <w:cr/>
      </w:r>
      <w:r>
        <w:rPr>
          <w:rFonts w:hint="eastAsia" w:ascii="仿宋_GB2312" w:hAnsi="Calibri" w:eastAsia="仿宋_GB2312" w:cs="Times New Roman"/>
          <w:kern w:val="2"/>
          <w:sz w:val="32"/>
          <w:szCs w:val="32"/>
          <w:lang w:val="en-US" w:eastAsia="zh-CN" w:bidi="ar-SA"/>
        </w:rPr>
        <w:t xml:space="preserve">    2.基本公共卫生服务：包括健康教育、预防接种、老年人</w:t>
      </w:r>
      <w:r>
        <w:rPr>
          <w:rFonts w:hint="eastAsia" w:ascii="仿宋_GB2312" w:eastAsia="仿宋_GB2312" w:cs="Times New Roman"/>
          <w:kern w:val="2"/>
          <w:sz w:val="32"/>
          <w:szCs w:val="32"/>
          <w:lang w:val="en-US" w:eastAsia="zh-CN" w:bidi="ar-SA"/>
        </w:rPr>
        <w:t>管理等12项。</w:t>
      </w:r>
      <w:bookmarkStart w:id="1" w:name="_GoBack"/>
      <w:bookmarkEnd w:id="1"/>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3.辖区内脱贫户随访、慰问、促进</w:t>
      </w:r>
      <w:r>
        <w:rPr>
          <w:rFonts w:hint="eastAsia" w:ascii="仿宋_GB2312" w:eastAsia="仿宋_GB2312" w:cs="Times New Roman"/>
          <w:kern w:val="2"/>
          <w:sz w:val="32"/>
          <w:szCs w:val="32"/>
          <w:lang w:val="en-US" w:eastAsia="zh-CN" w:bidi="ar-SA"/>
        </w:rPr>
        <w:t>乡村振兴</w:t>
      </w:r>
      <w:r>
        <w:rPr>
          <w:rFonts w:hint="eastAsia" w:ascii="仿宋_GB2312" w:hAnsi="Calibri" w:eastAsia="仿宋_GB2312" w:cs="Times New Roman"/>
          <w:kern w:val="2"/>
          <w:sz w:val="32"/>
          <w:szCs w:val="32"/>
          <w:lang w:val="en-US" w:eastAsia="zh-CN" w:bidi="ar-SA"/>
        </w:rPr>
        <w:t>工作</w:t>
      </w:r>
      <w:r>
        <w:rPr>
          <w:rFonts w:hint="eastAsia" w:ascii="仿宋_GB2312" w:eastAsia="仿宋_GB2312" w:cs="Times New Roman"/>
          <w:kern w:val="2"/>
          <w:sz w:val="32"/>
          <w:szCs w:val="32"/>
          <w:lang w:val="en-US" w:eastAsia="zh-CN" w:bidi="ar-SA"/>
        </w:rPr>
        <w:t>开展。</w:t>
      </w:r>
      <w:r>
        <w:rPr>
          <w:rFonts w:hint="eastAsia" w:ascii="仿宋_GB2312" w:hAnsi="Calibri" w:eastAsia="仿宋_GB2312" w:cs="Times New Roman"/>
          <w:kern w:val="2"/>
          <w:sz w:val="32"/>
          <w:szCs w:val="32"/>
          <w:lang w:val="en-US" w:eastAsia="zh-CN" w:bidi="ar-SA"/>
        </w:rPr>
        <w:cr/>
      </w:r>
      <w:r>
        <w:rPr>
          <w:rFonts w:hint="eastAsia" w:ascii="仿宋" w:hAnsi="仿宋" w:eastAsia="仿宋" w:cs="仿宋"/>
          <w:sz w:val="32"/>
          <w:u w:color="auto"/>
          <w:lang w:val="en-US" w:eastAsia="zh-CN"/>
        </w:rPr>
        <w:t xml:space="preserve">   </w:t>
      </w:r>
      <w:r>
        <w:rPr>
          <w:rFonts w:hint="eastAsia" w:ascii="仿宋_GB2312" w:hAnsi="Calibri" w:eastAsia="仿宋_GB2312" w:cs="Times New Roman"/>
          <w:kern w:val="2"/>
          <w:sz w:val="32"/>
          <w:szCs w:val="32"/>
          <w:lang w:val="en-US" w:eastAsia="zh-CN" w:bidi="ar-SA"/>
        </w:rPr>
        <w:t xml:space="preserve"> </w:t>
      </w:r>
      <w:bookmarkStart w:id="0" w:name="OLE_LINK1"/>
      <w:r>
        <w:rPr>
          <w:rFonts w:hint="eastAsia" w:ascii="仿宋_GB2312" w:hAnsi="Calibri" w:eastAsia="仿宋_GB2312" w:cs="Times New Roman"/>
          <w:kern w:val="2"/>
          <w:sz w:val="32"/>
          <w:szCs w:val="32"/>
          <w:lang w:val="en-US" w:eastAsia="zh-CN" w:bidi="ar-SA"/>
        </w:rPr>
        <w:t>4.</w:t>
      </w:r>
      <w:bookmarkEnd w:id="0"/>
      <w:r>
        <w:rPr>
          <w:rFonts w:hint="eastAsia" w:ascii="仿宋_GB2312" w:hAnsi="Calibri" w:eastAsia="仿宋_GB2312" w:cs="Times New Roman"/>
          <w:kern w:val="2"/>
          <w:sz w:val="32"/>
          <w:szCs w:val="32"/>
          <w:lang w:val="en-US" w:eastAsia="zh-CN" w:bidi="ar-SA"/>
        </w:rPr>
        <w:t>设施设备采购工作：按照政府采购规定完成各项采购。</w:t>
      </w:r>
    </w:p>
    <w:p>
      <w:pPr>
        <w:spacing w:line="580" w:lineRule="exact"/>
        <w:ind w:firstLine="640" w:firstLineChars="200"/>
        <w:jc w:val="left"/>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kern w:val="2"/>
          <w:sz w:val="32"/>
          <w:szCs w:val="32"/>
          <w:lang w:val="en-US" w:eastAsia="zh-CN" w:bidi="ar-SA"/>
        </w:rPr>
        <w:t>5.</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巩固</w:t>
      </w:r>
      <w:r>
        <w:rPr>
          <w:rFonts w:hint="eastAsia" w:ascii="仿宋_GB2312" w:hAnsi="仿宋_GB2312" w:eastAsia="仿宋_GB2312" w:cs="仿宋_GB2312"/>
          <w:color w:val="000000" w:themeColor="text1"/>
          <w:kern w:val="2"/>
          <w:sz w:val="32"/>
          <w:szCs w:val="32"/>
          <w:lang w:val="en-US" w:eastAsia="zh-CN" w:bidi="ar"/>
          <w14:textFill>
            <w14:solidFill>
              <w14:schemeClr w14:val="tx1"/>
            </w14:solidFill>
          </w14:textFill>
        </w:rPr>
        <w:t>县域医疗卫生次中心建设，“优质服务基层行”工作，同时加强中医特色科室和呼吸内科创“四川省基层临床特色科室”。</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二、部门概况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井研县周坡镇卫生院属</w:t>
      </w:r>
      <w:r>
        <w:rPr>
          <w:rFonts w:hint="eastAsia" w:ascii="仿宋_GB2312" w:eastAsia="仿宋_GB2312" w:cs="Times New Roman"/>
          <w:kern w:val="2"/>
          <w:sz w:val="32"/>
          <w:szCs w:val="32"/>
          <w:lang w:val="en-US" w:eastAsia="zh-CN" w:bidi="ar-SA"/>
        </w:rPr>
        <w:t>一</w:t>
      </w:r>
      <w:r>
        <w:rPr>
          <w:rFonts w:hint="eastAsia" w:ascii="仿宋_GB2312" w:hAnsi="Calibri" w:eastAsia="仿宋_GB2312" w:cs="Times New Roman"/>
          <w:kern w:val="2"/>
          <w:sz w:val="32"/>
          <w:szCs w:val="32"/>
          <w:lang w:val="en-US" w:eastAsia="zh-CN" w:bidi="ar-SA"/>
        </w:rPr>
        <w:t>级预算单位，单位性质为财政补助事业单位。</w:t>
      </w:r>
    </w:p>
    <w:p>
      <w:pPr>
        <w:pStyle w:val="5"/>
        <w:widowControl/>
        <w:spacing w:before="0" w:beforeAutospacing="0" w:after="0" w:afterAutospacing="0" w:line="600" w:lineRule="exact"/>
        <w:ind w:firstLine="640" w:firstLineChars="200"/>
        <w:outlineLvl w:val="1"/>
        <w:rPr>
          <w:rFonts w:ascii="Times New Roman" w:hAnsi="Times New Roman" w:eastAsia="黑体"/>
          <w:sz w:val="32"/>
          <w:szCs w:val="32"/>
        </w:rPr>
      </w:pPr>
      <w:r>
        <w:rPr>
          <w:rFonts w:hint="eastAsia" w:ascii="Times New Roman" w:hAnsi="Times New Roman" w:eastAsia="黑体"/>
          <w:sz w:val="32"/>
          <w:szCs w:val="32"/>
        </w:rPr>
        <w:t>三、收支预算总体情况</w:t>
      </w:r>
    </w:p>
    <w:p>
      <w:pPr>
        <w:spacing w:line="580" w:lineRule="exact"/>
        <w:ind w:firstLine="640" w:firstLineChars="200"/>
        <w:jc w:val="left"/>
        <w:rPr>
          <w:rFonts w:ascii="Times New Roman" w:hAnsi="Times New Roman" w:eastAsia="仿宋_GB2312"/>
          <w:sz w:val="32"/>
          <w:szCs w:val="32"/>
        </w:rPr>
      </w:pPr>
      <w:r>
        <w:rPr>
          <w:rFonts w:hint="eastAsia" w:ascii="仿宋_GB2312" w:hAnsi="Calibri" w:eastAsia="仿宋_GB2312" w:cs="Times New Roman"/>
          <w:kern w:val="2"/>
          <w:sz w:val="32"/>
          <w:szCs w:val="32"/>
          <w:lang w:val="en-US" w:eastAsia="zh-CN" w:bidi="ar-SA"/>
        </w:rPr>
        <w:t>按照综合预算的原则，井研县周坡镇卫生院所有收入和支出均纳入单位预算管理。收入包括：一般公共预算拨款收入、事业收入；支出包括：卫生健康支出、住房保障支出、社会保障和就业支出。井研县周坡镇卫生院2024年收支预算总数比2023年减少112.33万元，主要原因是</w:t>
      </w:r>
      <w:r>
        <w:rPr>
          <w:rFonts w:hint="eastAsia" w:ascii="仿宋_GB2312" w:eastAsia="仿宋_GB2312" w:cs="Times New Roman"/>
          <w:kern w:val="2"/>
          <w:sz w:val="32"/>
          <w:szCs w:val="32"/>
          <w:lang w:val="en-US" w:eastAsia="zh-CN" w:bidi="ar-SA"/>
        </w:rPr>
        <w:t>专款基本公共卫生服务资金没有纳入预算，</w:t>
      </w:r>
      <w:r>
        <w:rPr>
          <w:rFonts w:hint="eastAsia" w:ascii="仿宋_GB2312" w:hAnsi="Calibri" w:eastAsia="仿宋_GB2312" w:cs="Times New Roman"/>
          <w:kern w:val="2"/>
          <w:sz w:val="32"/>
          <w:szCs w:val="32"/>
          <w:lang w:val="en-US" w:eastAsia="zh-CN" w:bidi="ar-SA"/>
        </w:rPr>
        <w:t>主要用于保障该部门机构正常运转、完成日常工作任务以及承担我院基本医疗和基本公共卫生服务事业发展相关工作。</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（一）收入预算情况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井研县周坡镇卫生院2024年收入预算1788.07万元，上年结转0万元；一般公共预算拨款收入553.5万元，占30.96%；事业收入1234.57万元，占69.04%。</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（二）支出预算情况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井研县周坡镇卫生院2024年支出预算1788.07万元，其中：基本支出971.61万元，占54.34%项目支出816.46万元，占45.66%。</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四、财政拨款收支预算情况说明</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Times New Roman" w:hAnsi="Times New Roman" w:eastAsia="仿宋_GB2312"/>
          <w:sz w:val="32"/>
          <w:szCs w:val="32"/>
          <w:lang w:eastAsia="zh-CN"/>
        </w:rPr>
        <w:t>井</w:t>
      </w:r>
      <w:r>
        <w:rPr>
          <w:rFonts w:hint="eastAsia" w:ascii="仿宋_GB2312" w:hAnsi="Calibri" w:eastAsia="仿宋_GB2312" w:cs="Times New Roman"/>
          <w:kern w:val="2"/>
          <w:sz w:val="32"/>
          <w:szCs w:val="32"/>
          <w:lang w:val="en-US" w:eastAsia="zh-CN" w:bidi="ar-SA"/>
        </w:rPr>
        <w:t>研县周坡镇卫生院2024年财政拨款收支预算总数553.5万元，比2023年财政拨款收支预算总数减少90.73万元。主要原因是主要用于保障该部门机构正常运转、完成日常工作任务以及承担我院基本医疗和基本公共卫生服务事业发展相关工作。</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收入包括： 一般公共预算拨款收入553.5万元；支出包括： 卫生健康支出439.53万元、 住房保障支出36.36万元、 社会保障和就业支出77.61万元。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五、一般公共预算当年拨款情况说明</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（一）一般公共预算当年拨款规模变化情况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井研县周坡镇卫生院2024年一般公共预算当年拨款553.5万元，比2023年预算数减少90.73万元。主要原因是因为设备设施维修、医疗设备购置、工资福利支出以及基本公共卫生补助增加。</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（二）一般公共预算当年拨款结构情况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 卫生健康支出439.53万元，占79.41%、 住房保障支出36.36万元，占6.57%、 社会保障和就业支出77.61万元，占14.02%。</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（三）一般公共预算当年拨款具体使用情况</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社会保障和就业支出（类）人力资源和社会保障管理事务（款）其他人力资源和社会保障管理事务支出（项）2024年预算数为8.5万元，主要用于：除上述项目以外其他用于人力资源和社会保障管理事务方面的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2.社会保障和就业支出（类）行政事业单位养老支出（款）机关事业单位基本养老保险缴费支出（项）2024年预算数为40.41万元，主要用于：机关事业单位实施养老保险制度由单位缴纳的基本养老保险费支出。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3.社会保障和就业支出（类）行政事业单位养老支出（款）机关事业单位职业年金缴费支出（项）2024年预算数为20.2万元，主要用于：机关事业单位实施养老保险制度由单位实际缴纳的职业年金支出。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4.社会保障和就业支出（类）就业补助（款）其他就业补助支出（项）2024年预算数为8.5万元，主要用于：除上述项目以外按规定确定的其他用于促进就业的补助支出。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5.卫生健康支出（类）基层医疗卫生机构（款）乡镇卫生院（项）2024年预算数为417.31万元，主要用于：用于乡镇卫生院的支出。</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卫生健康支出（类）行政事业单位医疗（款）事业单位医疗（项）2024年预算数为18.26万元，主要用于：财政部门安排的事业单位基本医疗保险缴费经费，未参加医疗保险的事业单位的公费医疗经费，按国家规定享受离休人员待遇的医疗经费。</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7.卫生健康支出（类）行政事业单位医疗（款）其他行政事业单位医疗支出（项）2024年预算数为3.96万元，主要用于：除上述项目以外的其他用于行政事业单位医疗方面的支出。</w:t>
      </w:r>
    </w:p>
    <w:p>
      <w:pPr>
        <w:spacing w:line="580" w:lineRule="exact"/>
        <w:ind w:firstLine="640" w:firstLineChars="200"/>
        <w:jc w:val="left"/>
        <w:rPr>
          <w:rFonts w:ascii="仿宋" w:hAnsi="仿宋" w:eastAsia="仿宋" w:cs="仿宋"/>
          <w:sz w:val="32"/>
          <w:szCs w:val="32"/>
        </w:rPr>
      </w:pPr>
      <w:r>
        <w:rPr>
          <w:rFonts w:hint="eastAsia" w:ascii="仿宋_GB2312" w:hAnsi="Calibri" w:eastAsia="仿宋_GB2312" w:cs="Times New Roman"/>
          <w:kern w:val="2"/>
          <w:sz w:val="32"/>
          <w:szCs w:val="32"/>
          <w:lang w:val="en-US" w:eastAsia="zh-CN" w:bidi="ar-SA"/>
        </w:rPr>
        <w:t>8.住房保障支出（类）住房改革支出（款）住房公积金（项）2024年预算数为36.36万元，主要用于：行政事业单位按人力资源和社会保障部、财政部规定的基本工资和津贴补贴以及规定比例为职工缴纳的住房公积金。</w:t>
      </w:r>
      <w:r>
        <w:rPr>
          <w:rFonts w:hint="eastAsia" w:ascii="仿宋_GB2312" w:hAnsi="Calibri" w:eastAsia="仿宋_GB2312" w:cs="Times New Roman"/>
          <w:kern w:val="2"/>
          <w:sz w:val="32"/>
          <w:szCs w:val="32"/>
          <w:lang w:val="en-US" w:eastAsia="zh-CN" w:bidi="ar-SA"/>
        </w:rPr>
        <w:cr/>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六、一般公共预算基本支出情况说明</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井研县周坡镇卫生院2024年一般公共预算基本支出419.14万元，其中：</w:t>
      </w:r>
    </w:p>
    <w:p>
      <w:pPr>
        <w:spacing w:line="580"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人员经费 416.11万元，主要包括：基本工资、津贴补贴、伙食补助费、绩效工资、机关事业单位基本养老保险缴费、职业年金缴费、职工基本医疗保险缴费、其他社会保障缴费、住房公积金、生活补助、奖励金。</w:t>
      </w:r>
    </w:p>
    <w:p>
      <w:pPr>
        <w:spacing w:line="580" w:lineRule="exact"/>
        <w:ind w:firstLine="640" w:firstLineChars="200"/>
        <w:jc w:val="left"/>
        <w:rPr>
          <w:rFonts w:ascii="仿宋" w:hAnsi="仿宋" w:eastAsia="仿宋" w:cs="仿宋"/>
          <w:sz w:val="32"/>
          <w:szCs w:val="32"/>
        </w:rPr>
      </w:pPr>
      <w:r>
        <w:rPr>
          <w:rFonts w:hint="eastAsia" w:ascii="仿宋_GB2312" w:hAnsi="Calibri" w:eastAsia="仿宋_GB2312" w:cs="Times New Roman"/>
          <w:kern w:val="2"/>
          <w:sz w:val="32"/>
          <w:szCs w:val="32"/>
          <w:lang w:val="en-US" w:eastAsia="zh-CN" w:bidi="ar-SA"/>
        </w:rPr>
        <w:t>公用经费 3.03万元，主要包括：工会经费。</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七、政府性基金预算支出规模及变化情况说明</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Calibri" w:eastAsia="仿宋_GB2312" w:cs="Times New Roman"/>
          <w:kern w:val="2"/>
          <w:sz w:val="32"/>
          <w:szCs w:val="32"/>
          <w:lang w:val="en-US" w:eastAsia="zh-CN" w:bidi="ar-SA"/>
        </w:rPr>
        <w:t>井研县周坡镇卫生院2024年没有使用政府性基金预算拨款安排的支出。</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八、国有资本经营预算情况说明</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井研县周坡镇卫生院2024年没有使用国有资本经营预算拨款安排的支出。</w:t>
      </w:r>
    </w:p>
    <w:p>
      <w:pPr>
        <w:spacing w:line="580" w:lineRule="exact"/>
        <w:ind w:firstLine="640" w:firstLineChars="200"/>
        <w:jc w:val="left"/>
        <w:outlineLvl w:val="1"/>
        <w:rPr>
          <w:rFonts w:ascii="Times New Roman" w:hAnsi="Times New Roman" w:eastAsia="仿宋_GB2312"/>
          <w:sz w:val="32"/>
          <w:szCs w:val="32"/>
        </w:rPr>
      </w:pPr>
      <w:r>
        <w:rPr>
          <w:rFonts w:hint="eastAsia" w:ascii="Times New Roman" w:hAnsi="Times New Roman" w:eastAsia="黑体"/>
          <w:sz w:val="32"/>
          <w:szCs w:val="32"/>
        </w:rPr>
        <w:t>九、“三公”经费财政拨款预算安排情况说明</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井研县周坡镇卫生院2024年没有使用财政拨款安排“三公”经费预算。</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 因公出国（境）经费较上年预算0万元，与上年持平</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2.公务接待费较2023年预算数持平。</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2024年公务接待费计划用于公务接待。</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3.公务用车购置及运行维护费较2023年预算数持平。</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单位现有公务用车2辆，其中：轿车2辆、旅行车（含商务车）0辆、越野车0辆、大型客、货车0辆。</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2024年安排公务用车购置费0万元，拟购置公务用车2辆，其中：轿车0辆、旅行车（含商务车）0辆、越野车0辆、大型客、货车0辆。</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2024年安排公务用车运行维护费0万元，用于0辆公务用车燃油、维修、过路过桥费、保险等方面支出。</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十、其他重要事项的情况说明</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（一）机关运行经费情况</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井研县周坡镇卫生院为事业单位，按规定未使用机关运行的相关科目。</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（二）政府采购情况</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2024年井研县周坡镇卫生院安排政府购买服务预算43万元，用于购买空调机和医疗车。</w:t>
      </w:r>
    </w:p>
    <w:p>
      <w:pPr>
        <w:numPr>
          <w:ilvl w:val="0"/>
          <w:numId w:val="2"/>
        </w:numPr>
        <w:spacing w:line="580" w:lineRule="exact"/>
        <w:ind w:firstLine="643" w:firstLineChars="200"/>
        <w:jc w:val="left"/>
        <w:outlineLvl w:val="2"/>
        <w:rPr>
          <w:rFonts w:hint="eastAsia" w:ascii="Times New Roman" w:hAnsi="Times New Roman" w:eastAsia="仿宋_GB2312"/>
          <w:b/>
          <w:sz w:val="32"/>
          <w:szCs w:val="32"/>
        </w:rPr>
      </w:pPr>
      <w:r>
        <w:rPr>
          <w:rFonts w:hint="eastAsia" w:ascii="Times New Roman" w:hAnsi="Times New Roman" w:eastAsia="仿宋_GB2312"/>
          <w:b/>
          <w:sz w:val="32"/>
          <w:szCs w:val="32"/>
        </w:rPr>
        <w:t>政府购买服务情况。</w:t>
      </w:r>
    </w:p>
    <w:p>
      <w:pPr>
        <w:spacing w:line="578" w:lineRule="exact"/>
        <w:ind w:firstLine="640" w:firstLineChars="200"/>
        <w:jc w:val="left"/>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2024年井研县周坡镇卫生院安排政府购买服务预算0万元，较上年持平。</w:t>
      </w: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（四）国有资产占有使用情况</w:t>
      </w:r>
    </w:p>
    <w:p>
      <w:pPr>
        <w:spacing w:line="578"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截至</w:t>
      </w:r>
      <w:r>
        <w:rPr>
          <w:rFonts w:hint="eastAsia" w:ascii="仿宋_GB2312" w:hAnsi="仿宋_GB2312" w:eastAsia="仿宋_GB2312" w:cs="仿宋_GB2312"/>
          <w:sz w:val="32"/>
          <w:szCs w:val="32"/>
        </w:rPr>
        <w:t>2023</w:t>
      </w:r>
      <w:r>
        <w:rPr>
          <w:rFonts w:ascii="仿宋_GB2312" w:hAnsi="仿宋_GB2312" w:eastAsia="仿宋_GB2312" w:cs="仿宋_GB2312"/>
          <w:sz w:val="32"/>
          <w:szCs w:val="32"/>
        </w:rPr>
        <w:t>年底，</w:t>
      </w:r>
      <w:r>
        <w:rPr>
          <w:rFonts w:hint="eastAsia" w:ascii="仿宋_GB2312" w:hAnsi="仿宋_GB2312" w:eastAsia="仿宋_GB2312" w:cs="仿宋_GB2312"/>
          <w:sz w:val="32"/>
          <w:szCs w:val="32"/>
          <w:lang w:eastAsia="zh-CN"/>
        </w:rPr>
        <w:t>井研县周坡镇卫生院</w:t>
      </w:r>
      <w:r>
        <w:rPr>
          <w:rFonts w:ascii="仿宋_GB2312" w:hAnsi="仿宋_GB2312" w:eastAsia="仿宋_GB2312" w:cs="仿宋_GB2312"/>
          <w:sz w:val="32"/>
          <w:szCs w:val="32"/>
        </w:rPr>
        <w:t>所属各预算单位共有车辆</w:t>
      </w:r>
      <w:r>
        <w:rPr>
          <w:rFonts w:hint="eastAsia" w:ascii="仿宋_GB2312" w:hAnsi="仿宋_GB2312" w:eastAsia="仿宋_GB2312" w:cs="仿宋_GB2312"/>
          <w:sz w:val="32"/>
          <w:szCs w:val="32"/>
        </w:rPr>
        <w:t>2</w:t>
      </w:r>
      <w:r>
        <w:rPr>
          <w:rFonts w:ascii="仿宋_GB2312" w:hAnsi="仿宋_GB2312" w:eastAsia="仿宋_GB2312" w:cs="仿宋_GB2312"/>
          <w:sz w:val="32"/>
          <w:szCs w:val="32"/>
        </w:rPr>
        <w:t>辆</w:t>
      </w:r>
      <w:r>
        <w:rPr>
          <w:rFonts w:hint="eastAsia" w:ascii="仿宋_GB2312" w:hAnsi="仿宋_GB2312" w:eastAsia="仿宋_GB2312" w:cs="仿宋_GB2312"/>
          <w:sz w:val="32"/>
          <w:szCs w:val="32"/>
        </w:rPr>
        <w:t>，其中省部级领导干部用车0辆、定向保障用车0辆、执法执勤用车0辆</w:t>
      </w:r>
      <w:r>
        <w:rPr>
          <w:rFonts w:ascii="仿宋_GB2312" w:hAnsi="仿宋_GB2312" w:eastAsia="仿宋_GB2312" w:cs="仿宋_GB2312"/>
          <w:sz w:val="32"/>
          <w:szCs w:val="32"/>
        </w:rPr>
        <w:t>。单位价值200万元以上大型设备</w:t>
      </w:r>
      <w:r>
        <w:rPr>
          <w:rFonts w:hint="eastAsia" w:ascii="仿宋_GB2312" w:hAnsi="仿宋_GB2312" w:eastAsia="仿宋_GB2312" w:cs="仿宋_GB2312"/>
          <w:sz w:val="32"/>
          <w:szCs w:val="32"/>
        </w:rPr>
        <w:t>0</w:t>
      </w:r>
      <w:r>
        <w:rPr>
          <w:rFonts w:ascii="仿宋_GB2312" w:hAnsi="仿宋_GB2312" w:eastAsia="仿宋_GB2312" w:cs="仿宋_GB2312"/>
          <w:sz w:val="32"/>
          <w:szCs w:val="32"/>
        </w:rPr>
        <w:t>台（套）。</w:t>
      </w:r>
    </w:p>
    <w:p>
      <w:pPr>
        <w:spacing w:line="578"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2024年单位预算未安排购置车辆及单位价值200万元以上大型设备。</w:t>
      </w:r>
    </w:p>
    <w:p>
      <w:pPr>
        <w:spacing w:line="578" w:lineRule="exact"/>
        <w:ind w:firstLine="640" w:firstLineChars="200"/>
        <w:jc w:val="left"/>
        <w:rPr>
          <w:rFonts w:ascii="仿宋_GB2312" w:hAnsi="仿宋_GB2312" w:eastAsia="仿宋_GB2312" w:cs="仿宋_GB2312"/>
          <w:sz w:val="32"/>
          <w:szCs w:val="32"/>
        </w:rPr>
      </w:pPr>
    </w:p>
    <w:p>
      <w:pPr>
        <w:spacing w:line="580" w:lineRule="exact"/>
        <w:ind w:firstLine="643" w:firstLineChars="200"/>
        <w:jc w:val="left"/>
        <w:outlineLvl w:val="2"/>
        <w:rPr>
          <w:rFonts w:ascii="Times New Roman" w:hAnsi="Times New Roman" w:eastAsia="仿宋_GB2312"/>
          <w:b/>
          <w:sz w:val="32"/>
          <w:szCs w:val="32"/>
        </w:rPr>
      </w:pPr>
      <w:r>
        <w:rPr>
          <w:rFonts w:hint="eastAsia" w:ascii="Times New Roman" w:hAnsi="Times New Roman" w:eastAsia="仿宋_GB2312"/>
          <w:b/>
          <w:sz w:val="32"/>
          <w:szCs w:val="32"/>
        </w:rPr>
        <w:t>（五）绩效目标设置情况</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hAnsi="仿宋_GB2312" w:eastAsia="仿宋_GB2312" w:cs="仿宋_GB2312"/>
          <w:sz w:val="32"/>
          <w:szCs w:val="32"/>
          <w:lang w:eastAsia="zh-CN"/>
        </w:rPr>
        <w:t>井研县周坡镇卫生院</w:t>
      </w:r>
      <w:r>
        <w:rPr>
          <w:rFonts w:hint="eastAsia" w:ascii="仿宋_GB2312" w:hAnsi="仿宋_GB2312" w:eastAsia="仿宋_GB2312" w:cs="仿宋_GB2312"/>
          <w:sz w:val="32"/>
          <w:szCs w:val="32"/>
        </w:rPr>
        <w:t>开展绩效目标管理的项目</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个，涉及预算927.29万元。其中：人员类项目0个，涉及预算0万元；运转类项目3个，涉及预算110.83万元；特定目标类项目17个，涉及预算816.46万元。</w:t>
      </w:r>
    </w:p>
    <w:p>
      <w:pPr>
        <w:spacing w:line="580" w:lineRule="exact"/>
        <w:ind w:firstLine="640" w:firstLineChars="200"/>
        <w:jc w:val="left"/>
        <w:outlineLvl w:val="1"/>
        <w:rPr>
          <w:rFonts w:ascii="Times New Roman" w:hAnsi="Times New Roman" w:eastAsia="黑体"/>
          <w:sz w:val="32"/>
          <w:szCs w:val="32"/>
        </w:rPr>
      </w:pPr>
      <w:r>
        <w:rPr>
          <w:rFonts w:hint="eastAsia" w:ascii="Times New Roman" w:hAnsi="Times New Roman" w:eastAsia="黑体"/>
          <w:sz w:val="32"/>
          <w:szCs w:val="32"/>
        </w:rPr>
        <w:t>十一、名词解释</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1.一般公共预算拨款收入：指省级财政当年拨付的资金。 </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2.社会保障和就业支出（类）人力资源和社会保障管理事务（款）其他人力资源和社会保障管理事务支出（项）：反映除上述项目以外其他用于人力资源和社会保障管理事务方面的支出。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3.社会保障和就业支出（类）行政事业单位养老支出（款）机关事业单位基本养老保险缴费支出（项）：反映机关事业单位实施养老保险制度由单位缴纳的基本养老保险费支出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4.社会保障和就业支出（类）行政事业单位养老支出（款）机关事业单位职业年金缴费支出（项）：反映机关事业单位实施养老保险制度由单位实际缴纳的职业年金支出。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5.社会保障和就业支出（类）就业补助（款）其他就业补助支出（项）：反映除上述项目以外按规定确定的其他用于促进就业的补助支出。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6.卫生健康支出（类）基层医疗卫生机构（款）乡镇卫生院（项）：反映用于乡镇卫生院的支出。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卫生健康支出（类）行政事业单位医疗（款）事业单位医疗（项）：反映财政部门安排的事业单位基本医疗保险缴费经费，未参加医疗保险的事业单位的公费医疗经费，按国家规定享受离休人员待遇的医疗经费。</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8.卫生健康支出（类）行政事业单位医疗（款）其他行政事业单位医疗支出（项）：反映除上述项目以外的其他用于行政事业单位医疗方面的支出。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9.住房保障支出（类）住房改革支出（款）住房公积金（项）：反映行政事业单位按人力资源和社会保障部、财政部规定的基本工资和津贴补贴以及规定比例为职工缴纳的住房公积金。</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10.基本支出：指为保证机构正常运转，完成日常工作任务而发生的人员支出和公用支出。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11.项目支出：指在基本支出之外为完成特定行政任务和事业发展目标所发生的支出。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三公”经费：纳入财政厅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78"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13.机关运行经费：为保障行政单位（包含参照公务员法管理的事业单位）运行用于购买货物和服务的各项资金。包括办公及印刷费、邮电费、差旅费、会议费一般设备购置费等费用开支。</w:t>
      </w:r>
      <w:r>
        <w:rPr>
          <w:rFonts w:hint="eastAsia" w:ascii="仿宋_GB2312" w:hAnsi="仿宋_GB2312" w:eastAsia="仿宋_GB2312" w:cs="仿宋_GB2312"/>
          <w:sz w:val="32"/>
          <w:szCs w:val="32"/>
        </w:rPr>
        <w:cr/>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9E650"/>
    <w:multiLevelType w:val="singleLevel"/>
    <w:tmpl w:val="1229E650"/>
    <w:lvl w:ilvl="0" w:tentative="0">
      <w:start w:val="3"/>
      <w:numFmt w:val="chineseCounting"/>
      <w:suff w:val="nothing"/>
      <w:lvlText w:val="（%1）"/>
      <w:lvlJc w:val="left"/>
      <w:rPr>
        <w:rFonts w:hint="eastAsia"/>
      </w:rPr>
    </w:lvl>
  </w:abstractNum>
  <w:abstractNum w:abstractNumId="1">
    <w:nsid w:val="450596E4"/>
    <w:multiLevelType w:val="singleLevel"/>
    <w:tmpl w:val="450596E4"/>
    <w:lvl w:ilvl="0" w:tentative="0">
      <w:start w:val="2"/>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lZGQwZDE5NjcwYTA2MGJiMWEyMGY5NTI4MGIxZjYifQ=="/>
  </w:docVars>
  <w:rsids>
    <w:rsidRoot w:val="575844F0"/>
    <w:rsid w:val="000F56AF"/>
    <w:rsid w:val="002571C7"/>
    <w:rsid w:val="002801C7"/>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E90C48"/>
    <w:rsid w:val="00EA26C5"/>
    <w:rsid w:val="00F20CDD"/>
    <w:rsid w:val="00F31DEC"/>
    <w:rsid w:val="00F66036"/>
    <w:rsid w:val="00FD5790"/>
    <w:rsid w:val="011E0F37"/>
    <w:rsid w:val="018F6151"/>
    <w:rsid w:val="025F2B31"/>
    <w:rsid w:val="02AA63F4"/>
    <w:rsid w:val="02F620C9"/>
    <w:rsid w:val="03043EF9"/>
    <w:rsid w:val="034827B4"/>
    <w:rsid w:val="043645C2"/>
    <w:rsid w:val="04A62A1C"/>
    <w:rsid w:val="04D63DFA"/>
    <w:rsid w:val="04FC52D9"/>
    <w:rsid w:val="05125475"/>
    <w:rsid w:val="05B9052D"/>
    <w:rsid w:val="05C26836"/>
    <w:rsid w:val="06213135"/>
    <w:rsid w:val="075449B1"/>
    <w:rsid w:val="07866B9E"/>
    <w:rsid w:val="078E3C79"/>
    <w:rsid w:val="07E21FBD"/>
    <w:rsid w:val="08275449"/>
    <w:rsid w:val="08BD1201"/>
    <w:rsid w:val="09DD37D5"/>
    <w:rsid w:val="0A2B0EC0"/>
    <w:rsid w:val="0A370B6F"/>
    <w:rsid w:val="0A414E59"/>
    <w:rsid w:val="0A984F45"/>
    <w:rsid w:val="0AEC1DC7"/>
    <w:rsid w:val="0B325009"/>
    <w:rsid w:val="0BEF216F"/>
    <w:rsid w:val="0C1139E0"/>
    <w:rsid w:val="0C545FE7"/>
    <w:rsid w:val="0C95246B"/>
    <w:rsid w:val="0D295D36"/>
    <w:rsid w:val="0DA6100C"/>
    <w:rsid w:val="0DAE2941"/>
    <w:rsid w:val="0DAE5B59"/>
    <w:rsid w:val="0E5E6115"/>
    <w:rsid w:val="0E722914"/>
    <w:rsid w:val="0E8D7DFF"/>
    <w:rsid w:val="0EB14B08"/>
    <w:rsid w:val="0EB44926"/>
    <w:rsid w:val="0EE00EF5"/>
    <w:rsid w:val="0F033DE0"/>
    <w:rsid w:val="0F182768"/>
    <w:rsid w:val="0F5B493B"/>
    <w:rsid w:val="0F6E05DA"/>
    <w:rsid w:val="0F9C6EF5"/>
    <w:rsid w:val="0FB32491"/>
    <w:rsid w:val="0FC92752"/>
    <w:rsid w:val="104D4694"/>
    <w:rsid w:val="10572219"/>
    <w:rsid w:val="10635C65"/>
    <w:rsid w:val="112F484C"/>
    <w:rsid w:val="118874D4"/>
    <w:rsid w:val="118F1F82"/>
    <w:rsid w:val="11E23462"/>
    <w:rsid w:val="121C1DAE"/>
    <w:rsid w:val="12280F14"/>
    <w:rsid w:val="12B74046"/>
    <w:rsid w:val="12FF7083"/>
    <w:rsid w:val="13287F73"/>
    <w:rsid w:val="136174EF"/>
    <w:rsid w:val="13A179F5"/>
    <w:rsid w:val="14043CC2"/>
    <w:rsid w:val="143A4F2F"/>
    <w:rsid w:val="14BF1A72"/>
    <w:rsid w:val="14D54669"/>
    <w:rsid w:val="15E00400"/>
    <w:rsid w:val="169447F0"/>
    <w:rsid w:val="169923E1"/>
    <w:rsid w:val="17451DFF"/>
    <w:rsid w:val="188624F1"/>
    <w:rsid w:val="18B03A11"/>
    <w:rsid w:val="18EF58AD"/>
    <w:rsid w:val="195C14A3"/>
    <w:rsid w:val="19665E75"/>
    <w:rsid w:val="19793B64"/>
    <w:rsid w:val="198975C1"/>
    <w:rsid w:val="1A8A0974"/>
    <w:rsid w:val="1ADB600A"/>
    <w:rsid w:val="1AE72EE7"/>
    <w:rsid w:val="1B9C22AA"/>
    <w:rsid w:val="1C001B5A"/>
    <w:rsid w:val="1C676AC0"/>
    <w:rsid w:val="1C8979CD"/>
    <w:rsid w:val="1D1309C5"/>
    <w:rsid w:val="1D4E37F9"/>
    <w:rsid w:val="1E484DA2"/>
    <w:rsid w:val="1F32416D"/>
    <w:rsid w:val="1F400809"/>
    <w:rsid w:val="1F990304"/>
    <w:rsid w:val="1FD07044"/>
    <w:rsid w:val="1FFE1506"/>
    <w:rsid w:val="200F074F"/>
    <w:rsid w:val="205E0FD1"/>
    <w:rsid w:val="206A30F3"/>
    <w:rsid w:val="20E14771"/>
    <w:rsid w:val="20E325CD"/>
    <w:rsid w:val="215E491F"/>
    <w:rsid w:val="21785E72"/>
    <w:rsid w:val="223312B9"/>
    <w:rsid w:val="22511DC1"/>
    <w:rsid w:val="23066A9B"/>
    <w:rsid w:val="237925CB"/>
    <w:rsid w:val="238A54C0"/>
    <w:rsid w:val="23DE7685"/>
    <w:rsid w:val="23FC256D"/>
    <w:rsid w:val="23FE4F26"/>
    <w:rsid w:val="24113B37"/>
    <w:rsid w:val="242A3E0B"/>
    <w:rsid w:val="24B357B1"/>
    <w:rsid w:val="2508404D"/>
    <w:rsid w:val="2514554D"/>
    <w:rsid w:val="251C51AD"/>
    <w:rsid w:val="253240EC"/>
    <w:rsid w:val="256736AA"/>
    <w:rsid w:val="25776E44"/>
    <w:rsid w:val="25A91AAB"/>
    <w:rsid w:val="25AC0D38"/>
    <w:rsid w:val="25CF77BC"/>
    <w:rsid w:val="26233A75"/>
    <w:rsid w:val="269B7AAF"/>
    <w:rsid w:val="269C0E16"/>
    <w:rsid w:val="26E20150"/>
    <w:rsid w:val="28225455"/>
    <w:rsid w:val="286E0FD4"/>
    <w:rsid w:val="28C44B3D"/>
    <w:rsid w:val="28D004A8"/>
    <w:rsid w:val="29225C8F"/>
    <w:rsid w:val="292D2913"/>
    <w:rsid w:val="292F1B91"/>
    <w:rsid w:val="2A355B25"/>
    <w:rsid w:val="2ADC2F09"/>
    <w:rsid w:val="2B0639E9"/>
    <w:rsid w:val="2B591D85"/>
    <w:rsid w:val="2B6D0EA0"/>
    <w:rsid w:val="2BA666ED"/>
    <w:rsid w:val="2C015FA1"/>
    <w:rsid w:val="2C4C35F9"/>
    <w:rsid w:val="2CE82D06"/>
    <w:rsid w:val="2CE850D0"/>
    <w:rsid w:val="2D121841"/>
    <w:rsid w:val="2D626ABC"/>
    <w:rsid w:val="2D7E5A3A"/>
    <w:rsid w:val="2DB253D5"/>
    <w:rsid w:val="2DE37BA3"/>
    <w:rsid w:val="2DF301D1"/>
    <w:rsid w:val="2E410E41"/>
    <w:rsid w:val="2F5B380A"/>
    <w:rsid w:val="2F5D19C6"/>
    <w:rsid w:val="2FDC17BA"/>
    <w:rsid w:val="2FEA1E20"/>
    <w:rsid w:val="30FE4C1A"/>
    <w:rsid w:val="31C81974"/>
    <w:rsid w:val="31C9463A"/>
    <w:rsid w:val="31D87EB9"/>
    <w:rsid w:val="31E71DFA"/>
    <w:rsid w:val="32607DFF"/>
    <w:rsid w:val="32F32A21"/>
    <w:rsid w:val="33F35A3B"/>
    <w:rsid w:val="33F6376D"/>
    <w:rsid w:val="344C1C18"/>
    <w:rsid w:val="346E542F"/>
    <w:rsid w:val="348204D4"/>
    <w:rsid w:val="34921118"/>
    <w:rsid w:val="34E22C0C"/>
    <w:rsid w:val="35787E25"/>
    <w:rsid w:val="35E81EFF"/>
    <w:rsid w:val="35F03248"/>
    <w:rsid w:val="3618452C"/>
    <w:rsid w:val="362A47F6"/>
    <w:rsid w:val="36701078"/>
    <w:rsid w:val="367D3C26"/>
    <w:rsid w:val="36D21200"/>
    <w:rsid w:val="3799225C"/>
    <w:rsid w:val="379E73FF"/>
    <w:rsid w:val="37EE75A4"/>
    <w:rsid w:val="3851430F"/>
    <w:rsid w:val="38BE762D"/>
    <w:rsid w:val="38CC1B12"/>
    <w:rsid w:val="38E33F54"/>
    <w:rsid w:val="39B247EB"/>
    <w:rsid w:val="39C50EAB"/>
    <w:rsid w:val="39FA0695"/>
    <w:rsid w:val="3A142E50"/>
    <w:rsid w:val="3A3A601E"/>
    <w:rsid w:val="3A622985"/>
    <w:rsid w:val="3A992100"/>
    <w:rsid w:val="3AB900AC"/>
    <w:rsid w:val="3AD204DC"/>
    <w:rsid w:val="3B7D732B"/>
    <w:rsid w:val="3BB9695E"/>
    <w:rsid w:val="3BBB1358"/>
    <w:rsid w:val="3BC80616"/>
    <w:rsid w:val="3CC21C50"/>
    <w:rsid w:val="3CEB3ACE"/>
    <w:rsid w:val="3D396F49"/>
    <w:rsid w:val="3DAB5EF3"/>
    <w:rsid w:val="3DBC05DF"/>
    <w:rsid w:val="3E0A7F35"/>
    <w:rsid w:val="3E3D0EE5"/>
    <w:rsid w:val="3E5C591E"/>
    <w:rsid w:val="3E7C76D5"/>
    <w:rsid w:val="3F4B70E6"/>
    <w:rsid w:val="402E20EA"/>
    <w:rsid w:val="40360D66"/>
    <w:rsid w:val="404847A8"/>
    <w:rsid w:val="40F85D24"/>
    <w:rsid w:val="41002113"/>
    <w:rsid w:val="417358BA"/>
    <w:rsid w:val="417E7039"/>
    <w:rsid w:val="41856F3A"/>
    <w:rsid w:val="41A336F5"/>
    <w:rsid w:val="41CE4038"/>
    <w:rsid w:val="42697F33"/>
    <w:rsid w:val="42F94AE0"/>
    <w:rsid w:val="42FC2819"/>
    <w:rsid w:val="4376672F"/>
    <w:rsid w:val="43C94609"/>
    <w:rsid w:val="44701EE3"/>
    <w:rsid w:val="447B54A6"/>
    <w:rsid w:val="44C935E1"/>
    <w:rsid w:val="45700DD8"/>
    <w:rsid w:val="46054AED"/>
    <w:rsid w:val="466A3D31"/>
    <w:rsid w:val="468076BF"/>
    <w:rsid w:val="469C7200"/>
    <w:rsid w:val="46DA091D"/>
    <w:rsid w:val="479F062A"/>
    <w:rsid w:val="47A8558B"/>
    <w:rsid w:val="488A1960"/>
    <w:rsid w:val="488E172A"/>
    <w:rsid w:val="48EA3B26"/>
    <w:rsid w:val="496F21D8"/>
    <w:rsid w:val="49923B77"/>
    <w:rsid w:val="4A174159"/>
    <w:rsid w:val="4ABE7A9C"/>
    <w:rsid w:val="4BBF5B71"/>
    <w:rsid w:val="4D477799"/>
    <w:rsid w:val="4D6455F8"/>
    <w:rsid w:val="4E784F4E"/>
    <w:rsid w:val="4E8A5B90"/>
    <w:rsid w:val="4EE869F3"/>
    <w:rsid w:val="4F006B29"/>
    <w:rsid w:val="4F5F6F42"/>
    <w:rsid w:val="5029634D"/>
    <w:rsid w:val="503D0CD7"/>
    <w:rsid w:val="507A38E4"/>
    <w:rsid w:val="50CC248F"/>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6274477"/>
    <w:rsid w:val="5689702C"/>
    <w:rsid w:val="574451E3"/>
    <w:rsid w:val="575844F0"/>
    <w:rsid w:val="57E977B0"/>
    <w:rsid w:val="57ED201E"/>
    <w:rsid w:val="57F42B0E"/>
    <w:rsid w:val="58472D43"/>
    <w:rsid w:val="58584F50"/>
    <w:rsid w:val="5863513E"/>
    <w:rsid w:val="58A3441E"/>
    <w:rsid w:val="58C76C5E"/>
    <w:rsid w:val="58D25844"/>
    <w:rsid w:val="58EF1411"/>
    <w:rsid w:val="58EF4BBE"/>
    <w:rsid w:val="594436A7"/>
    <w:rsid w:val="595074AE"/>
    <w:rsid w:val="595C281E"/>
    <w:rsid w:val="597B3B32"/>
    <w:rsid w:val="59F6760E"/>
    <w:rsid w:val="5A4A2633"/>
    <w:rsid w:val="5B08601D"/>
    <w:rsid w:val="5B0911F3"/>
    <w:rsid w:val="5B217190"/>
    <w:rsid w:val="5B2E7013"/>
    <w:rsid w:val="5B766F46"/>
    <w:rsid w:val="5BB7496B"/>
    <w:rsid w:val="5CA8447B"/>
    <w:rsid w:val="5D213B63"/>
    <w:rsid w:val="5DD62B9F"/>
    <w:rsid w:val="5E005E6E"/>
    <w:rsid w:val="5E0B017F"/>
    <w:rsid w:val="5E1758B9"/>
    <w:rsid w:val="5E1F431D"/>
    <w:rsid w:val="5EB217FD"/>
    <w:rsid w:val="5EB85D88"/>
    <w:rsid w:val="5F5C38AD"/>
    <w:rsid w:val="5F6064D4"/>
    <w:rsid w:val="606320F1"/>
    <w:rsid w:val="607E6E17"/>
    <w:rsid w:val="60A94AA3"/>
    <w:rsid w:val="60D15BBA"/>
    <w:rsid w:val="60D4713E"/>
    <w:rsid w:val="6117044B"/>
    <w:rsid w:val="61A7112A"/>
    <w:rsid w:val="61BD486A"/>
    <w:rsid w:val="61DB6731"/>
    <w:rsid w:val="6263198D"/>
    <w:rsid w:val="62A0552A"/>
    <w:rsid w:val="630006BE"/>
    <w:rsid w:val="630E7EAE"/>
    <w:rsid w:val="6313764B"/>
    <w:rsid w:val="63161C90"/>
    <w:rsid w:val="6367280D"/>
    <w:rsid w:val="638A04D6"/>
    <w:rsid w:val="641C5084"/>
    <w:rsid w:val="64370110"/>
    <w:rsid w:val="64771E53"/>
    <w:rsid w:val="64CD4737"/>
    <w:rsid w:val="64D1385B"/>
    <w:rsid w:val="64DD1C81"/>
    <w:rsid w:val="66075A53"/>
    <w:rsid w:val="666A4FCB"/>
    <w:rsid w:val="66D14F9A"/>
    <w:rsid w:val="66F729EF"/>
    <w:rsid w:val="67825B46"/>
    <w:rsid w:val="68D03361"/>
    <w:rsid w:val="690A194F"/>
    <w:rsid w:val="69492530"/>
    <w:rsid w:val="699675A8"/>
    <w:rsid w:val="69B8303B"/>
    <w:rsid w:val="69E53C69"/>
    <w:rsid w:val="6A145D73"/>
    <w:rsid w:val="6A6E5F0E"/>
    <w:rsid w:val="6AE228CC"/>
    <w:rsid w:val="6B1860D6"/>
    <w:rsid w:val="6B9E2823"/>
    <w:rsid w:val="6BBD539F"/>
    <w:rsid w:val="6BC86B43"/>
    <w:rsid w:val="6BD32E45"/>
    <w:rsid w:val="6C2A775D"/>
    <w:rsid w:val="6C9963D7"/>
    <w:rsid w:val="6CC91C6E"/>
    <w:rsid w:val="6D5D1401"/>
    <w:rsid w:val="6D887C10"/>
    <w:rsid w:val="6DC26AF9"/>
    <w:rsid w:val="6ED22F0F"/>
    <w:rsid w:val="6F021B09"/>
    <w:rsid w:val="6FC844B9"/>
    <w:rsid w:val="6FD238B4"/>
    <w:rsid w:val="6FEE1FCA"/>
    <w:rsid w:val="700A5D51"/>
    <w:rsid w:val="70F6046F"/>
    <w:rsid w:val="714B6FA9"/>
    <w:rsid w:val="71944EA7"/>
    <w:rsid w:val="71D71D1B"/>
    <w:rsid w:val="721171F3"/>
    <w:rsid w:val="723D2D95"/>
    <w:rsid w:val="728E0759"/>
    <w:rsid w:val="729953A7"/>
    <w:rsid w:val="729A1F96"/>
    <w:rsid w:val="72B03B7B"/>
    <w:rsid w:val="74B24E32"/>
    <w:rsid w:val="74BD01BD"/>
    <w:rsid w:val="750D1E61"/>
    <w:rsid w:val="7537110F"/>
    <w:rsid w:val="75DA4139"/>
    <w:rsid w:val="75F14C5D"/>
    <w:rsid w:val="77211164"/>
    <w:rsid w:val="77613287"/>
    <w:rsid w:val="77B21D62"/>
    <w:rsid w:val="77DE0B76"/>
    <w:rsid w:val="783D0D9D"/>
    <w:rsid w:val="78982C37"/>
    <w:rsid w:val="789D7D64"/>
    <w:rsid w:val="78E81443"/>
    <w:rsid w:val="78F51DD9"/>
    <w:rsid w:val="79660872"/>
    <w:rsid w:val="799F24B9"/>
    <w:rsid w:val="7A0A3147"/>
    <w:rsid w:val="7A4461CE"/>
    <w:rsid w:val="7A57026F"/>
    <w:rsid w:val="7AF54E28"/>
    <w:rsid w:val="7B52696E"/>
    <w:rsid w:val="7B9003DA"/>
    <w:rsid w:val="7CD275EF"/>
    <w:rsid w:val="7CEF6249"/>
    <w:rsid w:val="7CF4381E"/>
    <w:rsid w:val="7CF63C25"/>
    <w:rsid w:val="7D11554A"/>
    <w:rsid w:val="7D454310"/>
    <w:rsid w:val="7DC756D2"/>
    <w:rsid w:val="7E543940"/>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autoRedefine/>
    <w:qFormat/>
    <w:uiPriority w:val="0"/>
    <w:pP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jc w:val="left"/>
    </w:pPr>
    <w:rPr>
      <w:kern w:val="0"/>
      <w:sz w:val="24"/>
    </w:rPr>
  </w:style>
  <w:style w:type="character" w:customStyle="1" w:styleId="8">
    <w:name w:val="页眉 字符"/>
    <w:basedOn w:val="7"/>
    <w:link w:val="4"/>
    <w:autoRedefine/>
    <w:qFormat/>
    <w:uiPriority w:val="0"/>
    <w:rPr>
      <w:rFonts w:ascii="Calibri" w:hAnsi="Calibri"/>
      <w:kern w:val="2"/>
      <w:sz w:val="18"/>
      <w:szCs w:val="18"/>
    </w:rPr>
  </w:style>
  <w:style w:type="paragraph" w:customStyle="1" w:styleId="9">
    <w:name w:val="〖A08〗公文标题"/>
    <w:basedOn w:val="1"/>
    <w:next w:val="1"/>
    <w:qFormat/>
    <w:uiPriority w:val="0"/>
    <w:pPr>
      <w:topLinePunct/>
      <w:spacing w:line="600" w:lineRule="exact"/>
      <w:jc w:val="center"/>
    </w:pPr>
    <w:rPr>
      <w:rFonts w:ascii="方正小标宋简体" w:hAnsi="Calibri" w:eastAsia="方正小标宋简体"/>
      <w:sz w:val="44"/>
      <w:szCs w:val="22"/>
    </w:rPr>
  </w:style>
  <w:style w:type="paragraph" w:customStyle="1" w:styleId="10">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268</Words>
  <Characters>1528</Characters>
  <Lines>12</Lines>
  <Paragraphs>3</Paragraphs>
  <TotalTime>31</TotalTime>
  <ScaleCrop>false</ScaleCrop>
  <LinksUpToDate>false</LinksUpToDate>
  <CharactersWithSpaces>1793</CharactersWithSpaces>
  <Application>WPS Office_12.1.0.16309_F1E327BC-269C-435d-A152-05C5408002CA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.Lenovo3</cp:lastModifiedBy>
  <dcterms:modified xsi:type="dcterms:W3CDTF">2024-02-02T01:52:51Z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5E055FFA9E8A4799A252C4F461AB7F46_13</vt:lpwstr>
  </property>
</Properties>
</file>