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_GBK" w:hAnsi="方正小标宋_GBK" w:eastAsia="方正小标宋_GBK" w:cs="方正小标宋_GBK"/>
          <w:color w:val="000000"/>
          <w:kern w:val="0"/>
          <w:sz w:val="43"/>
          <w:szCs w:val="43"/>
          <w:lang w:bidi="ar"/>
        </w:rPr>
      </w:pPr>
      <w:r>
        <w:rPr>
          <w:rFonts w:hint="eastAsia" w:ascii="方正小标宋_GBK" w:hAnsi="方正小标宋_GBK" w:eastAsia="方正小标宋_GBK" w:cs="方正小标宋_GBK"/>
          <w:color w:val="000000"/>
          <w:kern w:val="0"/>
          <w:sz w:val="43"/>
          <w:szCs w:val="43"/>
          <w:lang w:bidi="ar"/>
        </w:rPr>
        <w:t>井研县卫生和计划生育监督执法大队</w:t>
      </w:r>
    </w:p>
    <w:p>
      <w:pPr>
        <w:widowControl/>
        <w:jc w:val="center"/>
      </w:pPr>
      <w:r>
        <w:rPr>
          <w:rFonts w:ascii="方正小标宋_GBK" w:hAnsi="方正小标宋_GBK" w:eastAsia="方正小标宋_GBK" w:cs="方正小标宋_GBK"/>
          <w:color w:val="000000"/>
          <w:sz w:val="43"/>
          <w:u w:color="auto"/>
        </w:rPr>
        <w:t>2024</w:t>
      </w:r>
      <w:r>
        <w:rPr>
          <w:rFonts w:ascii="方正小标宋_GBK" w:hAnsi="方正小标宋_GBK" w:eastAsia="方正小标宋_GBK" w:cs="方正小标宋_GBK"/>
          <w:color w:val="000000"/>
          <w:kern w:val="0"/>
          <w:sz w:val="43"/>
          <w:szCs w:val="43"/>
          <w:lang w:bidi="ar"/>
        </w:rPr>
        <w:t>年部门预算编制说明</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一、基本职能及主要工作</w:t>
      </w:r>
    </w:p>
    <w:p>
      <w:pPr>
        <w:spacing w:line="580" w:lineRule="exact"/>
        <w:ind w:firstLine="643" w:firstLineChars="200"/>
        <w:jc w:val="left"/>
        <w:outlineLvl w:val="2"/>
        <w:rPr>
          <w:rFonts w:ascii="Times New Roman" w:hAnsi="Times New Roman" w:eastAsia="楷体_GB2312"/>
          <w:b/>
          <w:sz w:val="32"/>
          <w:szCs w:val="32"/>
        </w:rPr>
      </w:pPr>
      <w:r>
        <w:rPr>
          <w:rFonts w:ascii="Times New Roman" w:hAnsi="Times New Roman" w:eastAsia="楷体_GB2312"/>
          <w:b/>
          <w:sz w:val="32"/>
          <w:szCs w:val="32"/>
        </w:rPr>
        <w:t>(</w:t>
      </w:r>
      <w:r>
        <w:rPr>
          <w:rFonts w:hint="eastAsia" w:ascii="Times New Roman" w:hAnsi="Times New Roman" w:eastAsia="楷体_GB2312"/>
          <w:b/>
          <w:sz w:val="32"/>
          <w:szCs w:val="32"/>
        </w:rPr>
        <w:t>一</w:t>
      </w:r>
      <w:r>
        <w:rPr>
          <w:rFonts w:ascii="Times New Roman" w:hAnsi="Times New Roman" w:eastAsia="楷体_GB2312"/>
          <w:b/>
          <w:sz w:val="32"/>
          <w:szCs w:val="32"/>
        </w:rPr>
        <w:t>)</w:t>
      </w:r>
      <w:r>
        <w:rPr>
          <w:rFonts w:hint="eastAsia" w:ascii="Times New Roman" w:hAnsi="Times New Roman" w:eastAsia="楷体_GB2312"/>
          <w:b/>
          <w:sz w:val="32"/>
          <w:szCs w:val="32"/>
        </w:rPr>
        <w:t>井研县卫生和计划生育监督执法大队单位</w:t>
      </w:r>
      <w:r>
        <w:rPr>
          <w:rFonts w:ascii="Times New Roman" w:hAnsi="Times New Roman" w:eastAsia="楷体_GB2312"/>
          <w:b/>
          <w:sz w:val="32"/>
          <w:szCs w:val="32"/>
        </w:rPr>
        <w:t>职能简介。</w:t>
      </w:r>
    </w:p>
    <w:p>
      <w:pPr>
        <w:spacing w:line="580" w:lineRule="exact"/>
        <w:ind w:firstLine="640" w:firstLineChars="200"/>
        <w:jc w:val="left"/>
        <w:rPr>
          <w:rFonts w:hint="eastAsia" w:ascii="仿宋" w:hAnsi="仿宋" w:eastAsia="仿宋" w:cs="仿宋"/>
          <w:sz w:val="32"/>
          <w:u w:color="auto"/>
          <w:lang w:eastAsia="zh-CN"/>
        </w:rPr>
      </w:pPr>
      <w:r>
        <w:rPr>
          <w:rFonts w:hint="eastAsia" w:ascii="仿宋" w:hAnsi="仿宋" w:eastAsia="仿宋" w:cs="仿宋"/>
          <w:sz w:val="32"/>
          <w:u w:color="auto"/>
        </w:rPr>
        <w:t>组织实施县卫生行政部门制订的卫生监督计划，接受卫生行政部门委托承担公共卫生、医疗卫生机构的监督管理，以及承担县内职业卫生监督管理工作，同时承担行政处罚的调查取证，提出处理建议，执行决定，参与队危害公共卫生中毒事故、医疗事故、重大疫情和突发卫生公共事件的调查处理等</w:t>
      </w:r>
      <w:r>
        <w:rPr>
          <w:rFonts w:hint="eastAsia" w:ascii="仿宋" w:hAnsi="仿宋" w:eastAsia="仿宋" w:cs="仿宋"/>
          <w:sz w:val="32"/>
          <w:u w:color="auto"/>
          <w:lang w:eastAsia="zh-CN"/>
        </w:rPr>
        <w:t>。</w:t>
      </w:r>
    </w:p>
    <w:p>
      <w:pPr>
        <w:numPr>
          <w:ilvl w:val="0"/>
          <w:numId w:val="1"/>
        </w:num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井研县卫生和计划生育监督执法大队单位</w:t>
      </w:r>
      <w:r>
        <w:rPr>
          <w:rFonts w:ascii="Times New Roman" w:hAnsi="Times New Roman" w:eastAsia="楷体_GB2312"/>
          <w:b/>
          <w:sz w:val="32"/>
          <w:szCs w:val="32"/>
        </w:rPr>
        <w:t>重点工作。</w:t>
      </w:r>
    </w:p>
    <w:p>
      <w:pPr>
        <w:spacing w:line="580" w:lineRule="exact"/>
        <w:ind w:firstLine="640" w:firstLineChars="200"/>
        <w:jc w:val="left"/>
        <w:rPr>
          <w:rFonts w:hint="eastAsia" w:ascii="仿宋" w:hAnsi="仿宋" w:eastAsia="仿宋" w:cs="仿宋"/>
          <w:sz w:val="32"/>
          <w:u w:color="auto"/>
          <w:lang w:eastAsia="zh-CN"/>
        </w:rPr>
      </w:pPr>
      <w:r>
        <w:rPr>
          <w:rFonts w:hint="eastAsia" w:ascii="仿宋" w:hAnsi="仿宋" w:eastAsia="仿宋" w:cs="仿宋"/>
          <w:sz w:val="32"/>
          <w:u w:color="auto"/>
        </w:rPr>
        <w:t>（一）医疗机构及传染病防治监督</w:t>
      </w:r>
      <w:r>
        <w:rPr>
          <w:rFonts w:hint="eastAsia" w:ascii="仿宋" w:hAnsi="仿宋" w:eastAsia="仿宋" w:cs="仿宋"/>
          <w:sz w:val="32"/>
          <w:u w:color="auto"/>
        </w:rPr>
        <w:cr/>
      </w:r>
      <w:r>
        <w:rPr>
          <w:rFonts w:hint="eastAsia" w:ascii="仿宋" w:hAnsi="仿宋" w:eastAsia="仿宋" w:cs="仿宋"/>
          <w:sz w:val="32"/>
          <w:u w:color="auto"/>
        </w:rPr>
        <w:t>根据《传染病防治法》、《医疗机构管理条例》、《基本医疗与健康促进法》等法律法规及新冠肺炎防控工作指南，2023年，执法人员对各医疗单位的执业许可证、人员资质管理、诊疗活动范围、处方书写、传染病报告、控制及消毒隔离制度执行、医疗废物处置，基本药物的落实情况、预防接种、医疗机构的自查开展等进行了日常监督检查；共出动执法人员1932人次，监督检查医疗机构332户1000余户次；对检查中发现的问题要求立即整改，并下发监督意见书332份，共查处医疗机构35家，警告33家，警告并罚款2家，没收非法所得353元，罚款金额16500元。</w:t>
      </w:r>
      <w:r>
        <w:rPr>
          <w:rFonts w:hint="eastAsia" w:ascii="仿宋" w:hAnsi="仿宋" w:eastAsia="仿宋" w:cs="仿宋"/>
          <w:sz w:val="32"/>
          <w:u w:color="auto"/>
        </w:rPr>
        <w:cr/>
      </w:r>
      <w:r>
        <w:rPr>
          <w:rFonts w:hint="eastAsia" w:ascii="仿宋" w:hAnsi="仿宋" w:eastAsia="仿宋" w:cs="仿宋"/>
          <w:sz w:val="32"/>
          <w:u w:color="auto"/>
        </w:rPr>
        <w:t>依法开展打击非法行医活动，一是严厉打击无证行医。对未取得《医疗机构执业许可证》擅自开展诊疗活动的“黑诊所”进行了重点查处。采取日常监督与集中整治相结合的方法，在辖区内加强了排查、摸底，准确掌握“黑诊所”的动态信息，及时准确地予以打击。二是进一步规范持证医疗机构执业行为，积极开展对持证医疗机构，主要针对超范围执业、聘用非卫生技术人员、出租承包科室等违法违规行为。今年还未发现非法行医行为。</w:t>
      </w:r>
      <w:r>
        <w:rPr>
          <w:rFonts w:hint="eastAsia" w:ascii="仿宋" w:hAnsi="仿宋" w:eastAsia="仿宋" w:cs="仿宋"/>
          <w:sz w:val="32"/>
          <w:u w:color="auto"/>
        </w:rPr>
        <w:cr/>
      </w:r>
      <w:r>
        <w:rPr>
          <w:rFonts w:hint="eastAsia" w:ascii="仿宋" w:hAnsi="仿宋" w:eastAsia="仿宋" w:cs="仿宋"/>
          <w:sz w:val="32"/>
          <w:u w:color="auto"/>
        </w:rPr>
        <w:t>（二）公共场所卫生监督工作</w:t>
      </w:r>
      <w:r>
        <w:rPr>
          <w:rFonts w:hint="eastAsia" w:ascii="仿宋" w:hAnsi="仿宋" w:eastAsia="仿宋" w:cs="仿宋"/>
          <w:sz w:val="32"/>
          <w:u w:color="auto"/>
        </w:rPr>
        <w:cr/>
      </w:r>
      <w:r>
        <w:rPr>
          <w:rFonts w:hint="eastAsia" w:ascii="仿宋" w:hAnsi="仿宋" w:eastAsia="仿宋" w:cs="仿宋"/>
          <w:sz w:val="32"/>
          <w:u w:color="auto"/>
        </w:rPr>
        <w:t>1、加大公共场所卫生监督力度。继续深入贯彻落实《四川省公共场所卫生管理办法》及新冠防治工作指南的规定，建立公共场所长效管理机制，规范和加强公共场所经营单位的监督管理，落实新冠肺炎防控措施，2023年对全县的公共场所进摸底排查和监督检查，共出动监督员及协管员792余人次，监督检查公共场所251户1000余户次，覆盖率为100%，对存在问题的单位和业主提出整改意见，共下发卫生监督意见书198余份，行政处罚24家，均为警告。</w:t>
      </w:r>
      <w:r>
        <w:rPr>
          <w:rFonts w:hint="eastAsia" w:ascii="仿宋" w:hAnsi="仿宋" w:eastAsia="仿宋" w:cs="仿宋"/>
          <w:sz w:val="32"/>
          <w:u w:color="auto"/>
        </w:rPr>
        <w:cr/>
      </w:r>
      <w:r>
        <w:rPr>
          <w:rFonts w:hint="eastAsia" w:ascii="仿宋" w:hAnsi="仿宋" w:eastAsia="仿宋" w:cs="仿宋"/>
          <w:sz w:val="32"/>
          <w:u w:color="auto"/>
        </w:rPr>
        <w:t>2、继续推行公共场所量化分级管理。对今年所有新办和换证的公共场所全面实行量化分级管理。住宿、沐浴场所、美容美发场所量化分级率达到100%，量化分级管理率达100%，等级评定率达100%。</w:t>
      </w:r>
      <w:r>
        <w:rPr>
          <w:rFonts w:hint="eastAsia" w:ascii="仿宋" w:hAnsi="仿宋" w:eastAsia="仿宋" w:cs="仿宋"/>
          <w:sz w:val="32"/>
          <w:u w:color="auto"/>
        </w:rPr>
        <w:cr/>
      </w:r>
      <w:r>
        <w:rPr>
          <w:rFonts w:hint="eastAsia" w:ascii="仿宋" w:hAnsi="仿宋" w:eastAsia="仿宋" w:cs="仿宋"/>
          <w:sz w:val="32"/>
          <w:u w:color="auto"/>
        </w:rPr>
        <w:t>（三）职业卫生监督</w:t>
      </w:r>
      <w:r>
        <w:rPr>
          <w:rFonts w:hint="eastAsia" w:ascii="仿宋" w:hAnsi="仿宋" w:eastAsia="仿宋" w:cs="仿宋"/>
          <w:sz w:val="32"/>
          <w:u w:color="auto"/>
        </w:rPr>
        <w:cr/>
      </w:r>
      <w:r>
        <w:rPr>
          <w:rFonts w:hint="eastAsia" w:ascii="仿宋" w:hAnsi="仿宋" w:eastAsia="仿宋" w:cs="仿宋"/>
          <w:sz w:val="32"/>
          <w:u w:color="auto"/>
        </w:rPr>
        <w:t>1、开展职业卫生放射卫生随机监督抽查工作:按《2023年乐山市随机监督抽查计划》的要求，开展职业卫生双随机抽查用人单位89家，下达监督意见书89份，限期整改警告9家；开展放射卫生双随机抽查放射诊疗机构3家，下达监督意见书3份，限期整改警告1家；开展职业健康检查机构抽查1家，下达监督意见书1份。</w:t>
      </w:r>
      <w:r>
        <w:rPr>
          <w:rFonts w:hint="eastAsia" w:ascii="仿宋" w:hAnsi="仿宋" w:eastAsia="仿宋" w:cs="仿宋"/>
          <w:sz w:val="32"/>
          <w:u w:color="auto"/>
        </w:rPr>
        <w:cr/>
      </w:r>
      <w:r>
        <w:rPr>
          <w:rFonts w:hint="eastAsia" w:ascii="仿宋" w:hAnsi="仿宋" w:eastAsia="仿宋" w:cs="仿宋"/>
          <w:sz w:val="32"/>
          <w:u w:color="auto"/>
        </w:rPr>
        <w:t>2、职业病危害专项治理：开展存在粉尘、噪声危害因素浓（强）度超标的用人单位治理，纳入专项治理企业8家，执法人员现场下达了卫生监督意见书8份，限期整改警告8家，已完成治理企业6家。</w:t>
      </w:r>
      <w:r>
        <w:rPr>
          <w:rFonts w:hint="eastAsia" w:ascii="仿宋" w:hAnsi="仿宋" w:eastAsia="仿宋" w:cs="仿宋"/>
          <w:sz w:val="32"/>
          <w:u w:color="auto"/>
        </w:rPr>
        <w:cr/>
      </w:r>
      <w:r>
        <w:rPr>
          <w:rFonts w:hint="eastAsia" w:ascii="仿宋" w:hAnsi="仿宋" w:eastAsia="仿宋" w:cs="仿宋"/>
          <w:sz w:val="32"/>
          <w:u w:color="auto"/>
        </w:rPr>
        <w:t>3、培训及宣传工作：2023年2月23日开展医疗机构放射工作人员培训，共计70余人参加培训与考试；积极开展《职业病防治法》宣传周活动，出动宣传人员40人次，播放宣传宣传标语68条，张贴宣传海报18张，深入企业宣传30次，发放职业宣传资料2000余份。</w:t>
      </w:r>
      <w:r>
        <w:rPr>
          <w:rFonts w:hint="eastAsia" w:ascii="仿宋" w:hAnsi="仿宋" w:eastAsia="仿宋" w:cs="仿宋"/>
          <w:sz w:val="32"/>
          <w:u w:color="auto"/>
        </w:rPr>
        <w:cr/>
      </w:r>
      <w:r>
        <w:rPr>
          <w:rFonts w:hint="eastAsia" w:ascii="仿宋" w:hAnsi="仿宋" w:eastAsia="仿宋" w:cs="仿宋"/>
          <w:sz w:val="32"/>
          <w:u w:color="auto"/>
        </w:rPr>
        <w:t>4、开展职业卫生执法工作：全年职业卫生监督检查企业101家，下达了卫生监督意见书200余份，限期整改警告9家；放射卫生检查放射诊疗机构13家，下达监督意见书13份，限期整改警告1家；检查职业健康检查机构1家，下达监督意见书1份。</w:t>
      </w:r>
      <w:r>
        <w:rPr>
          <w:rFonts w:hint="eastAsia" w:ascii="仿宋" w:hAnsi="仿宋" w:eastAsia="仿宋" w:cs="仿宋"/>
          <w:sz w:val="32"/>
          <w:u w:color="auto"/>
        </w:rPr>
        <w:cr/>
      </w:r>
      <w:r>
        <w:rPr>
          <w:rFonts w:hint="eastAsia" w:ascii="仿宋" w:hAnsi="仿宋" w:eastAsia="仿宋" w:cs="仿宋"/>
          <w:sz w:val="32"/>
          <w:u w:color="auto"/>
        </w:rPr>
        <w:t>（四）生活饮用水卫生监督</w:t>
      </w:r>
      <w:r>
        <w:rPr>
          <w:rFonts w:hint="eastAsia" w:ascii="仿宋" w:hAnsi="仿宋" w:eastAsia="仿宋" w:cs="仿宋"/>
          <w:sz w:val="32"/>
          <w:u w:color="auto"/>
        </w:rPr>
        <w:cr/>
      </w:r>
      <w:r>
        <w:rPr>
          <w:rFonts w:hint="eastAsia" w:ascii="仿宋" w:hAnsi="仿宋" w:eastAsia="仿宋" w:cs="仿宋"/>
          <w:sz w:val="32"/>
          <w:u w:color="auto"/>
        </w:rPr>
        <w:t>1、2月20日至21日，省城镇供水排水协会副秘书长胡明一行来到我县，调研四川省城镇二次供水现状及对策研究工作。成都理工大学教授王宇，乐山市水务局副局长马杰参加调研，县委常委、政法委书记马启国陪同调研。水，并在硬件设施提质增效、供水用水安全、推进规范化维护管理、加快老旧小区改造方面提出建议。。</w:t>
      </w:r>
      <w:r>
        <w:rPr>
          <w:rFonts w:hint="eastAsia" w:ascii="仿宋" w:hAnsi="仿宋" w:eastAsia="仿宋" w:cs="仿宋"/>
          <w:sz w:val="32"/>
          <w:u w:color="auto"/>
        </w:rPr>
        <w:cr/>
      </w:r>
      <w:r>
        <w:rPr>
          <w:rFonts w:hint="eastAsia" w:ascii="仿宋" w:hAnsi="仿宋" w:eastAsia="仿宋" w:cs="仿宋"/>
          <w:sz w:val="32"/>
          <w:u w:color="auto"/>
        </w:rPr>
        <w:t>2、强化饮用水经常性卫生监督和执法力度。通过对集中式供水单位进行安全巡查，提高卫生监督覆盖率；加强对集中式供水水源卫生防护的指导，严格供水单位使用涉及饮用水卫生安全产品的索证管理。共计对所有集中式供水厂（站）5个及二次供水27家监督检查，共计出动卫生执法人员158余人次，监督128户次，覆盖率为100%，对存在问题的集中式供水厂（站）提出整改意见，共下发卫生监督意见书12份，联合水务、住建等部门对2家新增标准化二次供水单位进行了现场验收。</w:t>
      </w:r>
      <w:r>
        <w:rPr>
          <w:rFonts w:hint="eastAsia" w:ascii="仿宋" w:hAnsi="仿宋" w:eastAsia="仿宋" w:cs="仿宋"/>
          <w:sz w:val="32"/>
          <w:u w:color="auto"/>
        </w:rPr>
        <w:cr/>
      </w:r>
      <w:r>
        <w:rPr>
          <w:rFonts w:hint="eastAsia" w:ascii="仿宋" w:hAnsi="仿宋" w:eastAsia="仿宋" w:cs="仿宋"/>
          <w:sz w:val="32"/>
          <w:u w:color="auto"/>
        </w:rPr>
        <w:t>（五）学校卫生监督</w:t>
      </w:r>
      <w:r>
        <w:rPr>
          <w:rFonts w:hint="eastAsia" w:ascii="仿宋" w:hAnsi="仿宋" w:eastAsia="仿宋" w:cs="仿宋"/>
          <w:sz w:val="32"/>
          <w:u w:color="auto"/>
        </w:rPr>
        <w:cr/>
      </w:r>
      <w:r>
        <w:rPr>
          <w:rFonts w:hint="eastAsia" w:ascii="仿宋" w:hAnsi="仿宋" w:eastAsia="仿宋" w:cs="仿宋"/>
          <w:sz w:val="32"/>
          <w:u w:color="auto"/>
        </w:rPr>
        <w:t>1、执法大队与县教育局、疾控中心等多部门协作，按照《学校卫生工作条例》、《学校卫生监督工作规范》及新冠肺炎防控要求，分组对全县范围内的44所中小学，26所幼儿园的三室一区，“两案九制”，疫情防控联合工作机制、单位主体责任、教职员工培训、传染病疫情报告人职责；口罩、洗手液、消毒剂、非接触式测温设备等防疫物资储备；教职员工及学生健康监测制度并开展教职工及学生的健康监测，教职员工传染病防控知识的培训，晨检、午检及因病缺勤的登记与追踪，教室、办公室等场所通风换气，公共用品定时清洁消毒；健康教育教学计划，涉水产品的有效卫生许可批件等各项疫情防控措施落实情况进行检查；出动执法监督人员478人次，监督检查223户次，下达卫生监督意见书126份。</w:t>
      </w:r>
      <w:r>
        <w:rPr>
          <w:rFonts w:hint="eastAsia" w:ascii="仿宋" w:hAnsi="仿宋" w:eastAsia="仿宋" w:cs="仿宋"/>
          <w:sz w:val="32"/>
          <w:u w:color="auto"/>
        </w:rPr>
        <w:cr/>
      </w:r>
      <w:r>
        <w:rPr>
          <w:rFonts w:hint="eastAsia" w:ascii="仿宋" w:hAnsi="仿宋" w:eastAsia="仿宋" w:cs="仿宋"/>
          <w:sz w:val="32"/>
          <w:u w:color="auto"/>
        </w:rPr>
        <w:t>五、依法执业自查</w:t>
      </w:r>
      <w:r>
        <w:rPr>
          <w:rFonts w:hint="eastAsia" w:ascii="仿宋" w:hAnsi="仿宋" w:eastAsia="仿宋" w:cs="仿宋"/>
          <w:sz w:val="32"/>
          <w:u w:color="auto"/>
        </w:rPr>
        <w:cr/>
      </w:r>
      <w:r>
        <w:rPr>
          <w:rFonts w:hint="eastAsia" w:ascii="仿宋" w:hAnsi="仿宋" w:eastAsia="仿宋" w:cs="仿宋"/>
          <w:sz w:val="32"/>
          <w:u w:color="auto"/>
        </w:rPr>
        <w:t>1、医疗机构自查：为全面推进医疗卫生行业综合监管制度，落实医疗机构依法执业自我管理主体责任，规范医疗机构执业行为，根据《医疗机构依法执业自查管理办法》和省市相关要求，2023年1-11月，我县24家医疗机构开展了依法执业自查管理，发起自查95次，完成95次，合格95次。 2、学校卫生自查：督促学校落实卫生安全主体责任，切实保障学校卫生健康与安全，依据《传染病防治法》《学校卫生工作条例》等法律法规及省市要求，2023年1-11月，我县在全县范围内启动了学校卫生自查工作，此次共有 44所学校参与自查并完成自查。</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二、部门概况</w:t>
      </w:r>
    </w:p>
    <w:p>
      <w:pPr>
        <w:spacing w:line="580" w:lineRule="exact"/>
        <w:ind w:firstLine="640" w:firstLineChars="200"/>
        <w:jc w:val="left"/>
        <w:rPr>
          <w:rFonts w:hint="eastAsia" w:ascii="仿宋" w:hAnsi="仿宋" w:eastAsia="仿宋" w:cs="仿宋"/>
          <w:sz w:val="32"/>
          <w:u w:color="auto"/>
          <w:lang w:eastAsia="zh-CN"/>
        </w:rPr>
      </w:pPr>
      <w:r>
        <w:rPr>
          <w:rFonts w:hint="eastAsia" w:ascii="仿宋" w:hAnsi="仿宋" w:eastAsia="仿宋" w:cs="仿宋"/>
          <w:sz w:val="32"/>
          <w:u w:color="auto"/>
        </w:rPr>
        <w:t>本单位是井研县卫生健康局下属的2级单位，1个独立核算机构，无下属单位</w:t>
      </w:r>
      <w:r>
        <w:rPr>
          <w:rFonts w:hint="eastAsia" w:ascii="仿宋" w:hAnsi="仿宋" w:eastAsia="仿宋" w:cs="仿宋"/>
          <w:sz w:val="32"/>
          <w:u w:color="auto"/>
          <w:lang w:eastAsia="zh-CN"/>
        </w:rPr>
        <w:t>。</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三、收支预算总体情况</w:t>
      </w:r>
    </w:p>
    <w:p>
      <w:pPr>
        <w:spacing w:line="580" w:lineRule="exact"/>
        <w:ind w:firstLine="640" w:firstLineChars="200"/>
        <w:jc w:val="left"/>
        <w:rPr>
          <w:rFonts w:ascii="Times New Roman" w:hAnsi="Times New Roman" w:eastAsia="仿宋_GB2312"/>
          <w:sz w:val="32"/>
          <w:szCs w:val="32"/>
        </w:rPr>
      </w:pPr>
      <w:r>
        <w:rPr>
          <w:rFonts w:hint="eastAsia" w:ascii="仿宋" w:hAnsi="仿宋" w:eastAsia="仿宋" w:cs="仿宋"/>
          <w:sz w:val="32"/>
          <w:szCs w:val="32"/>
        </w:rPr>
        <w:t>按照综合预算的原则，</w:t>
      </w:r>
      <w:r>
        <w:rPr>
          <w:rFonts w:ascii="仿宋" w:hAnsi="仿宋" w:eastAsia="仿宋" w:cs="仿宋"/>
          <w:sz w:val="32"/>
          <w:u w:color="auto"/>
        </w:rPr>
        <w:t>井研县卫生和计划生育监督执法大队所有收入和支出均纳入单位预算管理。收入包括：一般公共预算拨款收入；支出包括：卫生健康支出、住房保障支出、社会保障和就业支出。井研县卫生和计划生育监督执法大队2024年收支预算总数比2023年增加31.99万元，主要原因是正常工资晋级增资，本年度基础绩效基础待遇随工资发放纳入一体化指标计算。</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（一）收入预算情况</w:t>
      </w:r>
    </w:p>
    <w:p>
      <w:pPr>
        <w:spacing w:line="58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井研县卫生和计划生育监督执法大队</w:t>
      </w:r>
      <w:r>
        <w:rPr>
          <w:rFonts w:ascii="Times New Roman" w:hAnsi="Times New Roman" w:eastAsia="Times New Roman"/>
          <w:sz w:val="32"/>
          <w:u w:color="auto"/>
        </w:rPr>
        <w:t>2024</w:t>
      </w:r>
      <w:r>
        <w:rPr>
          <w:rFonts w:hint="eastAsia" w:ascii="Times New Roman" w:hAnsi="Times New Roman" w:eastAsia="仿宋_GB2312"/>
          <w:sz w:val="32"/>
          <w:szCs w:val="32"/>
        </w:rPr>
        <w:t>年收入预算171.54万元，上年结转0万元；一般公共预算拨款收入171.54万元，占100.00%。</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（二）支出预算情况</w:t>
      </w:r>
    </w:p>
    <w:p>
      <w:pPr>
        <w:spacing w:line="58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井研县卫生和计划生育监督执法大队</w:t>
      </w:r>
      <w:r>
        <w:rPr>
          <w:rFonts w:ascii="Times New Roman" w:hAnsi="Times New Roman" w:eastAsia="Times New Roman"/>
          <w:sz w:val="32"/>
          <w:u w:color="auto"/>
        </w:rPr>
        <w:t>2024</w:t>
      </w:r>
      <w:r>
        <w:rPr>
          <w:rFonts w:hint="eastAsia" w:ascii="Times New Roman" w:hAnsi="Times New Roman" w:eastAsia="仿宋_GB2312"/>
          <w:sz w:val="32"/>
          <w:szCs w:val="32"/>
        </w:rPr>
        <w:t>年支出预算171.54万元，其中：基本支出163.9万元，占95.55%项目支出7.64万元，占4.45%。</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四、财政拨款收支预算情况说明</w:t>
      </w:r>
    </w:p>
    <w:p>
      <w:pPr>
        <w:spacing w:line="58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井研县卫生和计划生育监督执法大队</w:t>
      </w:r>
      <w:r>
        <w:rPr>
          <w:rFonts w:ascii="Times New Roman" w:hAnsi="Times New Roman" w:eastAsia="Times New Roman"/>
          <w:sz w:val="32"/>
          <w:u w:color="auto"/>
        </w:rPr>
        <w:t>2024</w:t>
      </w:r>
      <w:r>
        <w:rPr>
          <w:rFonts w:hint="eastAsia" w:ascii="Times New Roman" w:hAnsi="Times New Roman" w:eastAsia="仿宋_GB2312"/>
          <w:sz w:val="32"/>
          <w:szCs w:val="32"/>
        </w:rPr>
        <w:t>年财政拨款收支预算总数171.54万元，比2023年财政拨款收支预算总数增加31.99万元。</w:t>
      </w:r>
      <w:r>
        <w:rPr>
          <w:rFonts w:ascii="Times New Roman" w:hAnsi="Times New Roman" w:eastAsia="Times New Roman"/>
          <w:sz w:val="32"/>
          <w:u w:color="auto"/>
        </w:rPr>
        <w:t>主要原因是正常工资晋级增资，本年度基础绩效基础待遇随工资发放纳入一体化指标计算</w:t>
      </w:r>
      <w:r>
        <w:rPr>
          <w:rFonts w:hint="eastAsia" w:ascii="Times New Roman" w:hAnsi="Times New Roman" w:eastAsia="仿宋_GB2312"/>
          <w:sz w:val="32"/>
          <w:szCs w:val="32"/>
        </w:rPr>
        <w:t>。</w:t>
      </w:r>
    </w:p>
    <w:p>
      <w:pPr>
        <w:spacing w:line="58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收入包括：一般公共预算拨款收入171.54万元；支出包括：卫生健康支出134.68万元、住房保障支出13.05万元、社会保障和就业支出23.81万元。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五、一般公共预算当年拨款情况说明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（一）一般公共预算当年拨款规模变化情况</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井研县卫生和计划生育监督执法大队</w:t>
      </w:r>
      <w:r>
        <w:rPr>
          <w:rFonts w:ascii="仿宋" w:hAnsi="仿宋" w:eastAsia="仿宋" w:cs="仿宋"/>
          <w:sz w:val="32"/>
          <w:u w:color="auto"/>
        </w:rPr>
        <w:t>2024年一般公共预算当年拨款171.54万元，比2023年预算数增加31.99万元。主要原因是人员经费支出增加，本年度基础绩效基础待遇随工资发放纳入一体化指标计算。</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（二）一般公共预算当年拨款结构情况</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卫生健康支出134.68万元，占78.51%、住房保障支出13.05万元，占7.61%、社会保障和就业支出23.81万元，占13.88%。</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（三）一般公共预算当年拨款具体使用情况</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1.社会保障和就业支出（类）行政事业单位养老支出（款）机关事业单位基本养老保险缴费支出（项）2024年预算数为15.73万元，主要用于：机关事业单位实施养老保险制度由单位缴纳的基本养老保险费支出。</w:t>
      </w:r>
      <w:r>
        <w:rPr>
          <w:rFonts w:hint="eastAsia" w:ascii="仿宋" w:hAnsi="仿宋" w:eastAsia="仿宋" w:cs="仿宋"/>
          <w:sz w:val="32"/>
          <w:szCs w:val="32"/>
        </w:rPr>
        <w:cr/>
      </w:r>
      <w:r>
        <w:rPr>
          <w:rFonts w:hint="eastAsia" w:ascii="仿宋" w:hAnsi="仿宋" w:eastAsia="仿宋" w:cs="仿宋"/>
          <w:sz w:val="32"/>
          <w:szCs w:val="32"/>
        </w:rPr>
        <w:t>2.社会保障和就业支出（类）行政事业单位养老支出（款）机关事业单位职业年金缴费支出（项）2024年预算数为7.87万元，主要用于：机关事业单位实施养老保险制度由单位实际缴纳的职业年金支出。</w:t>
      </w:r>
      <w:r>
        <w:rPr>
          <w:rFonts w:hint="eastAsia" w:ascii="仿宋" w:hAnsi="仿宋" w:eastAsia="仿宋" w:cs="仿宋"/>
          <w:sz w:val="32"/>
          <w:szCs w:val="32"/>
        </w:rPr>
        <w:cr/>
      </w:r>
      <w:r>
        <w:rPr>
          <w:rFonts w:hint="eastAsia" w:ascii="仿宋" w:hAnsi="仿宋" w:eastAsia="仿宋" w:cs="仿宋"/>
          <w:sz w:val="32"/>
          <w:szCs w:val="32"/>
        </w:rPr>
        <w:t>3.社会保障和就业支出（类）其他社会保障和就业支出（款）其他社会保障和就业支出（项）2024年预算数为0.21万元，主要用于：除上述项i以外其他用于社会保障和就业方面的支出。</w:t>
      </w:r>
      <w:r>
        <w:rPr>
          <w:rFonts w:hint="eastAsia" w:ascii="仿宋" w:hAnsi="仿宋" w:eastAsia="仿宋" w:cs="仿宋"/>
          <w:sz w:val="32"/>
          <w:szCs w:val="32"/>
        </w:rPr>
        <w:cr/>
      </w:r>
      <w:r>
        <w:rPr>
          <w:rFonts w:hint="eastAsia" w:ascii="仿宋" w:hAnsi="仿宋" w:eastAsia="仿宋" w:cs="仿宋"/>
          <w:sz w:val="32"/>
          <w:szCs w:val="32"/>
        </w:rPr>
        <w:t>4.卫生健康支出（类）公共卫生（款）卫生监督机构（项）2024年预算数为127.84万元，主要用于：卫生健康部门所属卫生监督机构的支出。</w:t>
      </w:r>
      <w:r>
        <w:rPr>
          <w:rFonts w:hint="eastAsia" w:ascii="仿宋" w:hAnsi="仿宋" w:eastAsia="仿宋" w:cs="仿宋"/>
          <w:sz w:val="32"/>
          <w:szCs w:val="32"/>
        </w:rPr>
        <w:cr/>
      </w:r>
      <w:r>
        <w:rPr>
          <w:rFonts w:hint="eastAsia" w:ascii="仿宋" w:hAnsi="仿宋" w:eastAsia="仿宋" w:cs="仿宋"/>
          <w:sz w:val="32"/>
          <w:szCs w:val="32"/>
        </w:rPr>
        <w:t>5.卫生健康支出（类）行政事业单位医疗（款）行政单位医疗（项）2024年预算数为4.73万元，主要用于：财政部门安排的行政单位（包括实行公务员管理的事业单位，下同）基本医疗保险缴费经费，未参加医疗保险的行政单位的公费医疗经费，按国家规定享受离休人员、红军老战士待遇人员的医疗经费。</w:t>
      </w:r>
      <w:r>
        <w:rPr>
          <w:rFonts w:hint="eastAsia" w:ascii="仿宋" w:hAnsi="仿宋" w:eastAsia="仿宋" w:cs="仿宋"/>
          <w:sz w:val="32"/>
          <w:szCs w:val="32"/>
        </w:rPr>
        <w:cr/>
      </w:r>
      <w:r>
        <w:rPr>
          <w:rFonts w:hint="eastAsia" w:ascii="仿宋" w:hAnsi="仿宋" w:eastAsia="仿宋" w:cs="仿宋"/>
          <w:sz w:val="32"/>
          <w:szCs w:val="32"/>
        </w:rPr>
        <w:t>6.卫生健康支出（类）行政事业单位医疗（款）事业单位医疗（项）2024年预算数为1.4万元，主要用于：财政部门安排的事业单位基本医疗保险缴费经费，未参加医疗保险的事业单位的公费医疗经费，按国家规定享受离休人员待遇的医疗经费。</w:t>
      </w:r>
      <w:r>
        <w:rPr>
          <w:rFonts w:hint="eastAsia" w:ascii="仿宋" w:hAnsi="仿宋" w:eastAsia="仿宋" w:cs="仿宋"/>
          <w:sz w:val="32"/>
          <w:szCs w:val="32"/>
        </w:rPr>
        <w:cr/>
      </w:r>
      <w:r>
        <w:rPr>
          <w:rFonts w:hint="eastAsia" w:ascii="仿宋" w:hAnsi="仿宋" w:eastAsia="仿宋" w:cs="仿宋"/>
          <w:sz w:val="32"/>
          <w:szCs w:val="32"/>
        </w:rPr>
        <w:t>7.卫生健康支出（类）行政事业单位医疗（款）公务员医疗补助（项）2024年预算数为0.72万元，主要用于：财政部门安排的公务员医疗补助经费。</w:t>
      </w:r>
      <w:r>
        <w:rPr>
          <w:rFonts w:hint="eastAsia" w:ascii="仿宋" w:hAnsi="仿宋" w:eastAsia="仿宋" w:cs="仿宋"/>
          <w:sz w:val="32"/>
          <w:szCs w:val="32"/>
        </w:rPr>
        <w:cr/>
      </w:r>
      <w:r>
        <w:rPr>
          <w:rFonts w:hint="eastAsia" w:ascii="仿宋" w:hAnsi="仿宋" w:eastAsia="仿宋" w:cs="仿宋"/>
          <w:sz w:val="32"/>
          <w:szCs w:val="32"/>
        </w:rPr>
        <w:t>8.住房保障支出（类）住房改革支出（款）住房公积金（项）2024年预算数为13.05万元，主要用于：行政事业单位按人力资源和社会保障部、财政部规定的基本工资和津贴补贴以及规定比例为职工缴纳的住房公积金。</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六、一般公共预算基本支出情况说明</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井研县卫生和计划生育监督执法大队</w:t>
      </w:r>
      <w:r>
        <w:rPr>
          <w:rFonts w:ascii="仿宋" w:hAnsi="仿宋" w:eastAsia="仿宋" w:cs="仿宋"/>
          <w:sz w:val="32"/>
          <w:u w:color="auto"/>
        </w:rPr>
        <w:t>2024年一般公共预算基本支出163.9万元，其中：</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人员经费 </w:t>
      </w:r>
      <w:r>
        <w:rPr>
          <w:rFonts w:ascii="仿宋" w:hAnsi="仿宋" w:eastAsia="仿宋" w:cs="仿宋"/>
          <w:sz w:val="32"/>
          <w:u w:color="auto"/>
        </w:rPr>
        <w:t>145.52万元，主要包括：基本工资、津贴补贴、奖金、伙食补助费、绩效工资、机关事业单位基本养老保险缴费、职业年金缴费、职工基本医疗保险缴费、公务员医疗补助缴费、其他社会保障缴费、住房公积金、奖励金。</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公用经费 </w:t>
      </w:r>
      <w:r>
        <w:rPr>
          <w:rFonts w:ascii="仿宋" w:hAnsi="仿宋" w:eastAsia="仿宋" w:cs="仿宋"/>
          <w:sz w:val="32"/>
          <w:u w:color="auto"/>
        </w:rPr>
        <w:t>18.38万元，主要包括：办公费、印刷费、水费、电费、邮电费、差旅费、维修（护）费、委托业务费、工会经费、其他交通费用。</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七、政府性基金预算支出规模及变化情况说明</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井研县卫生和计划生育监督执法大队2024年没有使用政府性基金预算拨款安排的支出。</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八、国有资本经营预算情况说明</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井研县卫生和计划生育监督执法大队2024年没有使用国有资本经营预算拨款安排的支出。</w:t>
      </w:r>
    </w:p>
    <w:p>
      <w:pPr>
        <w:spacing w:line="580" w:lineRule="exact"/>
        <w:ind w:firstLine="640" w:firstLineChars="200"/>
        <w:jc w:val="left"/>
        <w:outlineLvl w:val="1"/>
        <w:rPr>
          <w:rFonts w:ascii="Times New Roman" w:hAnsi="Times New Roman" w:eastAsia="仿宋_GB2312"/>
          <w:sz w:val="32"/>
          <w:szCs w:val="32"/>
        </w:rPr>
      </w:pPr>
      <w:r>
        <w:rPr>
          <w:rFonts w:hint="eastAsia" w:ascii="Times New Roman" w:hAnsi="Times New Roman" w:eastAsia="黑体"/>
          <w:sz w:val="32"/>
          <w:szCs w:val="32"/>
        </w:rPr>
        <w:t>九、“三公”经费财政拨款预算安排情况说明</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井研县卫生和计划生育监督执法大队2024年没有使用财政拨款安排“三公”经费预算。</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rPr>
        <w:t xml:space="preserve"> </w:t>
      </w:r>
      <w:r>
        <w:rPr>
          <w:rFonts w:hint="eastAsia" w:ascii="仿宋_GB2312" w:hAnsi="仿宋_GB2312" w:eastAsia="仿宋_GB2312" w:cs="仿宋_GB2312"/>
          <w:sz w:val="32"/>
          <w:szCs w:val="32"/>
        </w:rPr>
        <w:t>因公出国（境）经费较上年预算0万元，与上年持平</w:t>
      </w:r>
    </w:p>
    <w:p>
      <w:pPr>
        <w:spacing w:line="580" w:lineRule="exact"/>
        <w:ind w:firstLine="640"/>
        <w:jc w:val="left"/>
        <w:rPr>
          <w:rFonts w:ascii="仿宋" w:hAnsi="仿宋" w:eastAsia="仿宋" w:cs="仿宋"/>
          <w:b/>
          <w:sz w:val="32"/>
          <w:szCs w:val="32"/>
        </w:rPr>
      </w:pPr>
      <w:r>
        <w:rPr>
          <w:rFonts w:hint="eastAsia" w:ascii="仿宋" w:hAnsi="仿宋" w:eastAsia="仿宋" w:cs="仿宋"/>
          <w:sz w:val="32"/>
          <w:szCs w:val="32"/>
        </w:rPr>
        <w:t>2</w:t>
      </w:r>
      <w:r>
        <w:rPr>
          <w:rFonts w:ascii="仿宋" w:hAnsi="仿宋" w:eastAsia="仿宋" w:cs="仿宋"/>
          <w:sz w:val="32"/>
          <w:szCs w:val="32"/>
        </w:rPr>
        <w:t>.</w:t>
      </w:r>
      <w:r>
        <w:rPr>
          <w:rFonts w:hint="eastAsia" w:ascii="仿宋" w:hAnsi="仿宋" w:eastAsia="仿宋" w:cs="仿宋"/>
          <w:sz w:val="32"/>
          <w:szCs w:val="32"/>
        </w:rPr>
        <w:t>公务接待费较2023年预算数减少0.5万元。</w:t>
      </w:r>
      <w:r>
        <w:rPr>
          <w:rFonts w:ascii="仿宋" w:hAnsi="仿宋" w:eastAsia="仿宋" w:cs="仿宋"/>
          <w:sz w:val="32"/>
          <w:u w:color="auto"/>
        </w:rPr>
        <w:t>主要原因是公务接待经费未开展接待活动，厉行节约，压减经费</w:t>
      </w:r>
    </w:p>
    <w:p>
      <w:pPr>
        <w:tabs>
          <w:tab w:val="right" w:pos="7666"/>
        </w:tabs>
        <w:spacing w:line="580" w:lineRule="exact"/>
        <w:ind w:firstLine="640"/>
        <w:jc w:val="left"/>
        <w:rPr>
          <w:rFonts w:ascii="Times New Roman" w:hAnsi="Times New Roman" w:eastAsia="仿宋_GB2312"/>
          <w:sz w:val="32"/>
          <w:szCs w:val="32"/>
        </w:rPr>
      </w:pPr>
      <w:r>
        <w:rPr>
          <w:rFonts w:hint="eastAsia" w:ascii="仿宋" w:hAnsi="仿宋" w:eastAsia="仿宋" w:cs="仿宋"/>
          <w:sz w:val="32"/>
          <w:szCs w:val="32"/>
        </w:rPr>
        <w:t>2024</w:t>
      </w:r>
      <w:r>
        <w:rPr>
          <w:rFonts w:ascii="仿宋" w:hAnsi="仿宋" w:eastAsia="仿宋" w:cs="仿宋"/>
          <w:sz w:val="32"/>
          <w:u w:color="auto"/>
        </w:rPr>
        <w:t>年公务接待费计划用于公务接待活动。</w:t>
      </w:r>
    </w:p>
    <w:p>
      <w:pPr>
        <w:spacing w:line="580" w:lineRule="exact"/>
        <w:ind w:firstLine="640"/>
        <w:jc w:val="left"/>
        <w:rPr>
          <w:rFonts w:ascii="仿宋" w:hAnsi="仿宋" w:eastAsia="仿宋" w:cs="仿宋"/>
          <w:b/>
          <w:sz w:val="32"/>
          <w:szCs w:val="32"/>
        </w:rPr>
      </w:pPr>
      <w:r>
        <w:rPr>
          <w:rFonts w:hint="eastAsia" w:ascii="仿宋" w:hAnsi="仿宋" w:eastAsia="仿宋" w:cs="仿宋"/>
          <w:bCs/>
          <w:sz w:val="32"/>
          <w:szCs w:val="32"/>
        </w:rPr>
        <w:t>3</w:t>
      </w:r>
      <w:r>
        <w:rPr>
          <w:rFonts w:ascii="仿宋" w:hAnsi="仿宋" w:eastAsia="仿宋" w:cs="仿宋"/>
          <w:bCs/>
          <w:sz w:val="32"/>
          <w:szCs w:val="32"/>
        </w:rPr>
        <w:t>.</w:t>
      </w:r>
      <w:r>
        <w:rPr>
          <w:rFonts w:hint="eastAsia" w:ascii="仿宋" w:hAnsi="仿宋" w:eastAsia="仿宋" w:cs="仿宋"/>
          <w:sz w:val="32"/>
          <w:szCs w:val="32"/>
        </w:rPr>
        <w:t>公务用车购置及运行维护费较2023年预算数持平。</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单位现有公务用车</w:t>
      </w:r>
      <w:r>
        <w:rPr>
          <w:rFonts w:ascii="仿宋" w:hAnsi="仿宋" w:eastAsia="仿宋" w:cs="仿宋"/>
          <w:sz w:val="32"/>
          <w:u w:color="auto"/>
        </w:rPr>
        <w:t>1辆，其中：轿车1辆、旅行车（含商务车）0辆、越野车0辆、大型客、货车0辆。</w:t>
      </w:r>
    </w:p>
    <w:p>
      <w:pPr>
        <w:spacing w:line="580" w:lineRule="exact"/>
        <w:ind w:firstLine="640"/>
        <w:jc w:val="left"/>
        <w:rPr>
          <w:rFonts w:ascii="Times New Roman" w:hAnsi="Times New Roman" w:eastAsia="仿宋_GB2312"/>
          <w:sz w:val="32"/>
          <w:szCs w:val="32"/>
        </w:rPr>
      </w:pPr>
      <w:r>
        <w:rPr>
          <w:rFonts w:hint="eastAsia" w:ascii="Times New Roman" w:hAnsi="Times New Roman" w:eastAsia="仿宋_GB2312"/>
          <w:sz w:val="32"/>
          <w:szCs w:val="32"/>
        </w:rPr>
        <w:t>2024年安排公务用车购置费0万元，拟购置公务用车1辆，其中：轿车0辆、旅行车（含商务车）0辆、越野车0辆、大型客、货车0辆。</w:t>
      </w:r>
    </w:p>
    <w:p>
      <w:pPr>
        <w:spacing w:line="580" w:lineRule="exact"/>
        <w:ind w:firstLine="640"/>
        <w:jc w:val="left"/>
        <w:rPr>
          <w:rFonts w:ascii="仿宋_GB2312" w:hAnsi="仿宋_GB2312" w:eastAsia="仿宋_GB2312" w:cs="仿宋_GB2312"/>
          <w:sz w:val="32"/>
          <w:szCs w:val="32"/>
        </w:rPr>
      </w:pPr>
      <w:r>
        <w:rPr>
          <w:rFonts w:hint="eastAsia" w:ascii="Times New Roman" w:hAnsi="Times New Roman" w:eastAsia="仿宋_GB2312"/>
          <w:sz w:val="32"/>
          <w:szCs w:val="32"/>
        </w:rPr>
        <w:t>2024年安排公务用车运行维护费0万元，用于</w:t>
      </w:r>
      <w:r>
        <w:rPr>
          <w:rFonts w:ascii="Times New Roman" w:hAnsi="Times New Roman" w:eastAsia="仿宋_GB2312"/>
          <w:sz w:val="32"/>
          <w:szCs w:val="32"/>
        </w:rPr>
        <w:t>1</w:t>
      </w:r>
      <w:r>
        <w:rPr>
          <w:rFonts w:hint="eastAsia" w:ascii="Times New Roman" w:hAnsi="Times New Roman" w:eastAsia="仿宋_GB2312"/>
          <w:sz w:val="32"/>
          <w:szCs w:val="32"/>
        </w:rPr>
        <w:t>辆公务用车燃油、维修、过路过桥费、保险等方面支出。</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十、其他重要事项的情况说明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（一）机关运行经费情况</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井研县卫生和计划生育监督执法大队为事业单位，按规定未使用机关运行的相关科目。</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（二）政府采购情况</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2024年无政府采购项目，未安排政府采购预算。</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（三）政府购买服务情况。</w:t>
      </w:r>
    </w:p>
    <w:p>
      <w:pPr>
        <w:spacing w:line="580" w:lineRule="exact"/>
        <w:ind w:firstLine="640" w:firstLineChars="200"/>
        <w:jc w:val="left"/>
        <w:outlineLvl w:val="2"/>
        <w:rPr>
          <w:rFonts w:ascii="Times New Roman" w:hAnsi="Times New Roman" w:eastAsia="楷体_GB2312"/>
          <w:b/>
          <w:sz w:val="32"/>
          <w:szCs w:val="32"/>
        </w:rPr>
      </w:pPr>
      <w:r>
        <w:rPr>
          <w:rFonts w:hint="eastAsia" w:ascii="仿宋_GB2312" w:hAnsi="仿宋_GB2312" w:eastAsia="仿宋_GB2312" w:cs="仿宋_GB2312"/>
          <w:sz w:val="32"/>
          <w:szCs w:val="32"/>
        </w:rPr>
        <w:t>2024年井研县卫生和计划生育监督执法大队安排政府购买服务预算0万元，较上年持平。</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（四）国有资产占有使用情况</w:t>
      </w:r>
    </w:p>
    <w:p>
      <w:pPr>
        <w:spacing w:line="578" w:lineRule="exact"/>
        <w:ind w:firstLine="640" w:firstLineChars="200"/>
        <w:jc w:val="left"/>
        <w:rPr>
          <w:rFonts w:ascii="仿宋_GB2312" w:hAnsi="仿宋_GB2312" w:eastAsia="仿宋_GB2312" w:cs="仿宋_GB2312"/>
          <w:sz w:val="32"/>
          <w:szCs w:val="32"/>
        </w:rPr>
      </w:pPr>
      <w:r>
        <w:rPr>
          <w:rFonts w:ascii="仿宋_GB2312" w:hAnsi="仿宋_GB2312" w:eastAsia="仿宋_GB2312" w:cs="仿宋_GB2312"/>
          <w:sz w:val="32"/>
          <w:szCs w:val="32"/>
        </w:rPr>
        <w:t>截至</w:t>
      </w:r>
      <w:r>
        <w:rPr>
          <w:rFonts w:hint="eastAsia" w:ascii="仿宋_GB2312" w:hAnsi="仿宋_GB2312" w:eastAsia="仿宋_GB2312" w:cs="仿宋_GB2312"/>
          <w:sz w:val="32"/>
          <w:szCs w:val="32"/>
        </w:rPr>
        <w:t>2023</w:t>
      </w:r>
      <w:r>
        <w:rPr>
          <w:rFonts w:ascii="仿宋_GB2312" w:hAnsi="仿宋_GB2312" w:eastAsia="仿宋_GB2312" w:cs="仿宋_GB2312"/>
          <w:sz w:val="32"/>
          <w:szCs w:val="32"/>
        </w:rPr>
        <w:t>年底，</w:t>
      </w:r>
      <w:r>
        <w:rPr>
          <w:rFonts w:hint="eastAsia" w:ascii="仿宋_GB2312" w:hAnsi="仿宋_GB2312" w:eastAsia="仿宋_GB2312" w:cs="仿宋_GB2312"/>
          <w:sz w:val="32"/>
          <w:szCs w:val="32"/>
        </w:rPr>
        <w:t>井研县卫生和计划生育监督执法大队</w:t>
      </w:r>
      <w:r>
        <w:rPr>
          <w:rFonts w:ascii="仿宋_GB2312" w:hAnsi="仿宋_GB2312" w:eastAsia="仿宋_GB2312" w:cs="仿宋_GB2312"/>
          <w:sz w:val="32"/>
          <w:szCs w:val="32"/>
        </w:rPr>
        <w:t>所属各预算单位共有车辆</w:t>
      </w:r>
      <w:r>
        <w:rPr>
          <w:rFonts w:hint="eastAsia" w:ascii="仿宋_GB2312" w:hAnsi="仿宋_GB2312" w:eastAsia="仿宋_GB2312" w:cs="仿宋_GB2312"/>
          <w:sz w:val="32"/>
          <w:szCs w:val="32"/>
        </w:rPr>
        <w:t>1</w:t>
      </w:r>
      <w:r>
        <w:rPr>
          <w:rFonts w:ascii="仿宋_GB2312" w:hAnsi="仿宋_GB2312" w:eastAsia="仿宋_GB2312" w:cs="仿宋_GB2312"/>
          <w:sz w:val="32"/>
          <w:szCs w:val="32"/>
        </w:rPr>
        <w:t>辆</w:t>
      </w:r>
      <w:r>
        <w:rPr>
          <w:rFonts w:hint="eastAsia" w:ascii="仿宋_GB2312" w:hAnsi="仿宋_GB2312" w:eastAsia="仿宋_GB2312" w:cs="仿宋_GB2312"/>
          <w:sz w:val="32"/>
          <w:szCs w:val="32"/>
        </w:rPr>
        <w:t>，其中省部级领导干部用车0辆、定向保障用车0辆、执法执勤用车0辆</w:t>
      </w:r>
      <w:r>
        <w:rPr>
          <w:rFonts w:ascii="仿宋_GB2312" w:hAnsi="仿宋_GB2312" w:eastAsia="仿宋_GB2312" w:cs="仿宋_GB2312"/>
          <w:sz w:val="32"/>
          <w:szCs w:val="32"/>
        </w:rPr>
        <w:t>。单位价值200万元以上大型设备</w:t>
      </w:r>
      <w:r>
        <w:rPr>
          <w:rFonts w:hint="eastAsia" w:ascii="仿宋_GB2312" w:hAnsi="仿宋_GB2312" w:eastAsia="仿宋_GB2312" w:cs="仿宋_GB2312"/>
          <w:sz w:val="32"/>
          <w:szCs w:val="32"/>
        </w:rPr>
        <w:t>0</w:t>
      </w:r>
      <w:r>
        <w:rPr>
          <w:rFonts w:ascii="仿宋_GB2312" w:hAnsi="仿宋_GB2312" w:eastAsia="仿宋_GB2312" w:cs="仿宋_GB2312"/>
          <w:sz w:val="32"/>
          <w:szCs w:val="32"/>
        </w:rPr>
        <w:t>台（套）。</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2024年单位预算未安排购置车辆及单位价值200万元以上大型设备。</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（五）绩效目标设置情况</w:t>
      </w:r>
    </w:p>
    <w:p>
      <w:pPr>
        <w:spacing w:line="578"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2024</w:t>
      </w:r>
      <w:r>
        <w:rPr>
          <w:rFonts w:ascii="仿宋" w:hAnsi="仿宋" w:eastAsia="仿宋" w:cs="仿宋"/>
          <w:sz w:val="32"/>
          <w:u w:color="auto"/>
        </w:rPr>
        <w:t>年井研县卫生和计划生育监督执法大队开展绩效目标管理的项目</w:t>
      </w:r>
      <w:r>
        <w:rPr>
          <w:rFonts w:hint="eastAsia" w:ascii="仿宋" w:hAnsi="仿宋" w:eastAsia="仿宋" w:cs="仿宋"/>
          <w:sz w:val="32"/>
          <w:u w:color="auto"/>
          <w:lang w:val="en-US" w:eastAsia="zh-CN"/>
        </w:rPr>
        <w:t>5</w:t>
      </w:r>
      <w:r>
        <w:rPr>
          <w:rFonts w:ascii="仿宋" w:hAnsi="仿宋" w:eastAsia="仿宋" w:cs="仿宋"/>
          <w:sz w:val="32"/>
          <w:u w:color="auto"/>
        </w:rPr>
        <w:t>个，涉及预算26.02</w:t>
      </w:r>
      <w:bookmarkStart w:id="0" w:name="_GoBack"/>
      <w:bookmarkEnd w:id="0"/>
      <w:r>
        <w:rPr>
          <w:rFonts w:ascii="仿宋" w:hAnsi="仿宋" w:eastAsia="仿宋" w:cs="仿宋"/>
          <w:sz w:val="32"/>
          <w:u w:color="auto"/>
        </w:rPr>
        <w:t>万元。其中：人员类项目0个，涉及预算0万元；运转类项目4个，涉及预算18.38万元；特定目标类项目1个，涉及预算7.64万元。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十一、名词解释</w:t>
      </w:r>
    </w:p>
    <w:p>
      <w:pPr>
        <w:pStyle w:val="5"/>
        <w:widowControl/>
        <w:spacing w:before="0" w:beforeAutospacing="0" w:after="0" w:afterAutospacing="0"/>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 xml:space="preserve">一般公共预算拨款收入：指省级财政当年拨付的资金。 </w:t>
      </w:r>
    </w:p>
    <w:p>
      <w:pPr>
        <w:pStyle w:val="5"/>
        <w:widowControl/>
        <w:spacing w:before="0" w:beforeAutospacing="0" w:after="0" w:afterAutospacing="0"/>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2.社会保障和就业支出（类）行政事业单位养老支出（款）机关事业单位基本养老保险缴费支出（项）：反映机关事业单位实施养老保险制度由单位缴纳的基本养老保险费支出。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3.社会保障和就业支出（类）行政事业单位养老支出（款）机关事业单位职业年金缴费支出（项）：反映机关事业单位实施养老保险制度由单位实际缴纳的职业年金支出。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4.社会保障和就业支出（类）其他社会保障和就业支出（款）其他社会保障和就业支出（项）：反映除上述项以外其他用于社会保障和就业方面的支出。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5.卫生健康支出（类）公共卫生（款）卫生监督机构（项）：反映卫生健康部门所属卫生监督机构的支出。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6.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7.卫生健康支出（类）行政事业单位医疗（款）事业单位医疗（项）：反映财政部门安排的事业单位基本医疗保险缴费经费，未参加医疗保险的事业单位的公费医疗经费，按国家规定享受离休人员待遇的医疗经费。</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8.卫生健康支出（类）行政事业单位医疗（款）公务员医疗补助（项）：反映财政部门安排的公务员医疗补助经费。</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9.住房保障支出（类）住房改革支出（款）住房公积金（项）：反映行政事业单位按人力资源和社会保障部、财政部规定的基本工资和津贴补贴以及规定比例为职工缴纳的住房公积金。</w:t>
      </w:r>
      <w:r>
        <w:rPr>
          <w:rFonts w:hint="eastAsia" w:ascii="仿宋_GB2312" w:hAnsi="仿宋_GB2312" w:eastAsia="仿宋_GB2312" w:cs="仿宋_GB2312"/>
          <w:sz w:val="32"/>
          <w:szCs w:val="32"/>
        </w:rPr>
        <w:cr/>
      </w:r>
      <w:r>
        <w:rPr>
          <w:rFonts w:ascii="仿宋_GB2312" w:hAnsi="仿宋_GB2312" w:eastAsia="仿宋_GB2312" w:cs="仿宋_GB2312"/>
          <w:sz w:val="32"/>
          <w:szCs w:val="32"/>
        </w:rPr>
        <w:t xml:space="preserve"> </w:t>
      </w:r>
    </w:p>
    <w:p>
      <w:pPr>
        <w:pStyle w:val="5"/>
        <w:widowControl/>
        <w:spacing w:before="0" w:beforeAutospacing="0" w:after="0" w:afterAutospacing="0"/>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10.基本支出：指为保证机构正常运转，完成日常工作任务而发生的人员支出和公用支出。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11.项目支出：指在基本支出之外为完成特定行政任务和事业发展目标所发生的支出。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12.“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13.机关运行经费：为保障行政单位（包含参照公务员法管理的事业单位）运行用于购买货物和服务的各项资金。包括办公及印刷费、邮电费、差旅费、会议费一般设备购置费等费用开支。</w:t>
      </w:r>
      <w:r>
        <w:rPr>
          <w:rFonts w:hint="eastAsia" w:ascii="仿宋_GB2312" w:hAnsi="仿宋_GB2312" w:eastAsia="仿宋_GB2312" w:cs="仿宋_GB2312"/>
          <w:sz w:val="32"/>
          <w:szCs w:val="32"/>
        </w:rPr>
        <w:cr/>
      </w:r>
    </w:p>
    <w:p>
      <w:pPr>
        <w:jc w:val="lef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0596E4"/>
    <w:multiLevelType w:val="singleLevel"/>
    <w:tmpl w:val="450596E4"/>
    <w:lvl w:ilvl="0" w:tentative="0">
      <w:start w:val="2"/>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jMWJjZTFmZmNjZDI5YmYwMGY3YWUxYWVmOWY3ZWMifQ=="/>
  </w:docVars>
  <w:rsids>
    <w:rsidRoot w:val="575844F0"/>
    <w:rsid w:val="000F56AF"/>
    <w:rsid w:val="002571C7"/>
    <w:rsid w:val="002801C7"/>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836DE5"/>
    <w:rsid w:val="469C7200"/>
    <w:rsid w:val="46DA091D"/>
    <w:rsid w:val="479F062A"/>
    <w:rsid w:val="47A8558B"/>
    <w:rsid w:val="488A1960"/>
    <w:rsid w:val="488E172A"/>
    <w:rsid w:val="48EA3B26"/>
    <w:rsid w:val="496F21D8"/>
    <w:rsid w:val="49923B77"/>
    <w:rsid w:val="4A174159"/>
    <w:rsid w:val="4ABE7A9C"/>
    <w:rsid w:val="4BBF5B71"/>
    <w:rsid w:val="4D477799"/>
    <w:rsid w:val="4D6455F8"/>
    <w:rsid w:val="4E784F4E"/>
    <w:rsid w:val="4E8A5B90"/>
    <w:rsid w:val="4EA167DB"/>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E7EAE"/>
    <w:rsid w:val="6313764B"/>
    <w:rsid w:val="63161C90"/>
    <w:rsid w:val="6367280D"/>
    <w:rsid w:val="641C5084"/>
    <w:rsid w:val="64771E53"/>
    <w:rsid w:val="64CD4737"/>
    <w:rsid w:val="64D1385B"/>
    <w:rsid w:val="64DD1C81"/>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8E0759"/>
    <w:rsid w:val="729953A7"/>
    <w:rsid w:val="729A1F96"/>
    <w:rsid w:val="72B03B7B"/>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268</Words>
  <Characters>1528</Characters>
  <Lines>12</Lines>
  <Paragraphs>3</Paragraphs>
  <TotalTime>0</TotalTime>
  <ScaleCrop>false</ScaleCrop>
  <LinksUpToDate>false</LinksUpToDate>
  <CharactersWithSpaces>1793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WPS_1601899801</cp:lastModifiedBy>
  <dcterms:modified xsi:type="dcterms:W3CDTF">2024-02-01T05:07:10Z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90C743278B2449B68D9060BE06880FDD</vt:lpwstr>
  </property>
</Properties>
</file>