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96597"/>
      <w:bookmarkStart w:id="4" w:name="_Toc15377193"/>
      <w:bookmarkStart w:id="5" w:name="_Toc15378441"/>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77426"/>
      <w:bookmarkStart w:id="9" w:name="_Toc15396598"/>
      <w:bookmarkStart w:id="10" w:name="_Toc15396476"/>
      <w:r>
        <w:rPr>
          <w:rFonts w:hint="eastAsia" w:ascii="方正小标宋简体" w:hAnsi="宋体" w:eastAsia="方正小标宋简体"/>
          <w:color w:val="000000"/>
          <w:sz w:val="72"/>
          <w:szCs w:val="72"/>
        </w:rPr>
        <w:t>四川省</w:t>
      </w:r>
      <w:r>
        <w:rPr>
          <w:rFonts w:hint="eastAsia" w:ascii="方正小标宋简体" w:hAnsi="宋体" w:eastAsia="方正小标宋简体"/>
          <w:color w:val="000000"/>
          <w:sz w:val="72"/>
          <w:szCs w:val="72"/>
          <w:lang w:eastAsia="zh-CN"/>
        </w:rPr>
        <w:t>乐山市井研县</w:t>
      </w:r>
      <w:bookmarkEnd w:id="0"/>
      <w:bookmarkStart w:id="11" w:name="_Toc15306268"/>
      <w:r>
        <w:rPr>
          <w:rFonts w:hint="eastAsia" w:ascii="方正小标宋简体" w:hAnsi="宋体" w:eastAsia="方正小标宋简体"/>
          <w:color w:val="000000"/>
          <w:sz w:val="72"/>
          <w:szCs w:val="72"/>
          <w:lang w:eastAsia="zh-CN"/>
        </w:rPr>
        <w:t>社会保险事务中心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imes New Roman"/>
          <w:sz w:val="28"/>
          <w:szCs w:val="28"/>
        </w:rPr>
      </w:pPr>
      <w:r>
        <w:rPr>
          <w:rFonts w:hint="eastAsia" w:ascii="仿宋" w:hAnsi="仿宋" w:eastAsia="仿宋" w:cs="仿宋"/>
          <w:kern w:val="0"/>
          <w:sz w:val="28"/>
          <w:szCs w:val="28"/>
        </w:rPr>
        <w:t>公开时间：</w:t>
      </w:r>
      <w:r>
        <w:rPr>
          <w:rFonts w:hint="eastAsia" w:ascii="仿宋" w:hAnsi="仿宋" w:eastAsia="仿宋" w:cs="仿宋"/>
          <w:kern w:val="0"/>
          <w:sz w:val="28"/>
          <w:szCs w:val="28"/>
          <w:lang w:val="en-US" w:eastAsia="zh-CN"/>
        </w:rPr>
        <w:t>2021</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9</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28</w:t>
      </w:r>
      <w:r>
        <w:rPr>
          <w:rFonts w:hint="eastAsia" w:ascii="仿宋" w:hAnsi="仿宋" w:eastAsia="仿宋" w:cs="仿宋"/>
          <w:kern w:val="0"/>
          <w:sz w:val="28"/>
          <w:szCs w:val="28"/>
        </w:rPr>
        <w:t>日</w:t>
      </w:r>
    </w:p>
    <w:sdt>
      <w:sdtPr>
        <w:rPr>
          <w:rFonts w:ascii="宋体" w:hAnsi="宋体" w:eastAsia="宋体" w:cs="Times New Roman"/>
          <w:kern w:val="2"/>
          <w:sz w:val="21"/>
          <w:szCs w:val="24"/>
          <w:lang w:val="en-US" w:eastAsia="zh-CN" w:bidi="ar-SA"/>
        </w:rPr>
        <w:id w:val="147467848"/>
        <w:docPartObj>
          <w:docPartGallery w:val="Table of Contents"/>
          <w:docPartUnique/>
        </w:docPartObj>
      </w:sdtPr>
      <w:sdtEndPr>
        <w:rPr>
          <w:rFonts w:ascii="Times New Roman" w:hAnsi="Times New Roman" w:eastAsia="宋体" w:cs="Times New Roman"/>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sz w:val="28"/>
              <w:szCs w:val="28"/>
            </w:rPr>
          </w:pPr>
          <w:bookmarkStart w:id="12" w:name="_Toc26757_WPSOffice_Type2"/>
        </w:p>
        <w:p>
          <w:pPr>
            <w:pStyle w:val="34"/>
            <w:tabs>
              <w:tab w:val="right" w:leader="dot" w:pos="8306"/>
            </w:tabs>
            <w:rPr>
              <w:sz w:val="28"/>
              <w:szCs w:val="28"/>
            </w:rPr>
          </w:pPr>
          <w:r>
            <w:rPr>
              <w:b/>
              <w:bCs/>
              <w:sz w:val="28"/>
              <w:szCs w:val="28"/>
            </w:rPr>
            <w:fldChar w:fldCharType="begin"/>
          </w:r>
          <w:r>
            <w:rPr>
              <w:sz w:val="28"/>
              <w:szCs w:val="28"/>
            </w:rPr>
            <w:instrText xml:space="preserve"> HYPERLINK \l _Toc23939_WPSOffice_Level1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67848"/>
              <w:placeholder>
                <w:docPart w:val="{0fe32c25-eda0-4717-aac9-ff0edc3d791b}"/>
              </w:placeholder>
            </w:sdtPr>
            <w:sdtEndPr>
              <w:rPr>
                <w:rFonts w:ascii="Times New Roman" w:hAnsi="Times New Roman" w:eastAsia="宋体" w:cs="Times New Roman"/>
                <w:b/>
                <w:bCs/>
                <w:kern w:val="2"/>
                <w:sz w:val="28"/>
                <w:szCs w:val="28"/>
                <w:lang w:val="en-US" w:eastAsia="zh-CN" w:bidi="ar-SA"/>
              </w:rPr>
            </w:sdtEndPr>
            <w:sdtContent>
              <w:r>
                <w:rPr>
                  <w:rFonts w:hint="eastAsia" w:ascii="黑体" w:hAnsi="黑体" w:eastAsia="黑体" w:cs="黑体"/>
                  <w:b/>
                  <w:bCs/>
                  <w:sz w:val="28"/>
                  <w:szCs w:val="28"/>
                </w:rPr>
                <w:t>第一部分 部门概况</w:t>
              </w:r>
            </w:sdtContent>
          </w:sdt>
          <w:r>
            <w:rPr>
              <w:b/>
              <w:bCs/>
              <w:sz w:val="28"/>
              <w:szCs w:val="28"/>
            </w:rPr>
            <w:tab/>
          </w:r>
          <w:bookmarkStart w:id="13" w:name="_Toc23939_WPSOffice_Level1Page"/>
          <w:r>
            <w:rPr>
              <w:b/>
              <w:bCs/>
              <w:sz w:val="28"/>
              <w:szCs w:val="28"/>
            </w:rPr>
            <w:t>4</w:t>
          </w:r>
          <w:bookmarkEnd w:id="13"/>
          <w:r>
            <w:rPr>
              <w:b/>
              <w:bCs/>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_Toc26757_WPSOffice_Level2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56d5ff74-f4df-4a00-90da-cc8aa9c1c24c}"/>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一、基本职能及主要工作</w:t>
              </w:r>
            </w:sdtContent>
          </w:sdt>
          <w:r>
            <w:rPr>
              <w:rFonts w:hint="eastAsia" w:ascii="仿宋" w:hAnsi="仿宋" w:eastAsia="仿宋" w:cs="仿宋"/>
              <w:sz w:val="28"/>
              <w:szCs w:val="28"/>
            </w:rPr>
            <w:tab/>
          </w:r>
          <w:bookmarkStart w:id="14" w:name="_Toc26757_WPSOffice_Level2Page"/>
          <w:r>
            <w:rPr>
              <w:rFonts w:hint="eastAsia" w:ascii="仿宋" w:hAnsi="仿宋" w:eastAsia="仿宋" w:cs="仿宋"/>
              <w:sz w:val="28"/>
              <w:szCs w:val="28"/>
            </w:rPr>
            <w:t>4</w:t>
          </w:r>
          <w:bookmarkEnd w:id="14"/>
          <w:r>
            <w:rPr>
              <w:rFonts w:hint="eastAsia" w:ascii="仿宋" w:hAnsi="仿宋" w:eastAsia="仿宋" w:cs="仿宋"/>
              <w:sz w:val="28"/>
              <w:szCs w:val="28"/>
            </w:rPr>
            <w:fldChar w:fldCharType="end"/>
          </w:r>
        </w:p>
        <w:p>
          <w:pPr>
            <w:pStyle w:val="35"/>
            <w:tabs>
              <w:tab w:val="right" w:leader="dot" w:pos="8306"/>
            </w:tabs>
            <w:rPr>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_Toc29645_WPSOffice_Level2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61b66f2b-3762-4f4c-97d2-7d4cc80991fb}"/>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二、机构设置</w:t>
              </w:r>
            </w:sdtContent>
          </w:sdt>
          <w:r>
            <w:rPr>
              <w:rFonts w:hint="eastAsia" w:ascii="仿宋" w:hAnsi="仿宋" w:eastAsia="仿宋" w:cs="仿宋"/>
              <w:sz w:val="28"/>
              <w:szCs w:val="28"/>
            </w:rPr>
            <w:tab/>
          </w:r>
          <w:bookmarkStart w:id="15" w:name="_Toc29645_WPSOffice_Level2Page"/>
          <w:r>
            <w:rPr>
              <w:rFonts w:hint="eastAsia" w:ascii="仿宋" w:hAnsi="仿宋" w:eastAsia="仿宋" w:cs="仿宋"/>
              <w:sz w:val="28"/>
              <w:szCs w:val="28"/>
            </w:rPr>
            <w:t>8</w:t>
          </w:r>
          <w:bookmarkEnd w:id="15"/>
          <w:r>
            <w:rPr>
              <w:rFonts w:hint="eastAsia" w:ascii="仿宋" w:hAnsi="仿宋" w:eastAsia="仿宋" w:cs="仿宋"/>
              <w:sz w:val="28"/>
              <w:szCs w:val="28"/>
            </w:rPr>
            <w:fldChar w:fldCharType="end"/>
          </w:r>
        </w:p>
        <w:p>
          <w:pPr>
            <w:pStyle w:val="34"/>
            <w:tabs>
              <w:tab w:val="right" w:leader="dot" w:pos="8306"/>
            </w:tabs>
            <w:rPr>
              <w:sz w:val="28"/>
              <w:szCs w:val="28"/>
            </w:rPr>
          </w:pPr>
          <w:r>
            <w:rPr>
              <w:b/>
              <w:bCs/>
              <w:sz w:val="28"/>
              <w:szCs w:val="28"/>
            </w:rPr>
            <w:fldChar w:fldCharType="begin"/>
          </w:r>
          <w:r>
            <w:rPr>
              <w:sz w:val="28"/>
              <w:szCs w:val="28"/>
            </w:rPr>
            <w:instrText xml:space="preserve"> HYPERLINK \l _Toc26757_WPSOffice_Level1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67848"/>
              <w:placeholder>
                <w:docPart w:val="{370577fd-b505-4750-931f-e61708bc447d}"/>
              </w:placeholder>
            </w:sdtPr>
            <w:sdtEndPr>
              <w:rPr>
                <w:rFonts w:ascii="Times New Roman" w:hAnsi="Times New Roman" w:eastAsia="宋体" w:cs="Times New Roman"/>
                <w:b/>
                <w:bCs/>
                <w:kern w:val="2"/>
                <w:sz w:val="28"/>
                <w:szCs w:val="28"/>
                <w:lang w:val="en-US" w:eastAsia="zh-CN" w:bidi="ar-SA"/>
              </w:rPr>
            </w:sdtEndPr>
            <w:sdtContent>
              <w:r>
                <w:rPr>
                  <w:rFonts w:hint="eastAsia" w:ascii="黑体" w:hAnsi="黑体" w:eastAsia="黑体" w:cs="黑体"/>
                  <w:b/>
                  <w:bCs/>
                  <w:sz w:val="28"/>
                  <w:szCs w:val="28"/>
                </w:rPr>
                <w:t>第二部分 2020年度部门决算情况说明</w:t>
              </w:r>
            </w:sdtContent>
          </w:sdt>
          <w:r>
            <w:rPr>
              <w:b/>
              <w:bCs/>
              <w:sz w:val="28"/>
              <w:szCs w:val="28"/>
            </w:rPr>
            <w:tab/>
          </w:r>
          <w:bookmarkStart w:id="16" w:name="_Toc26757_WPSOffice_Level1Page"/>
          <w:r>
            <w:rPr>
              <w:b/>
              <w:bCs/>
              <w:sz w:val="28"/>
              <w:szCs w:val="28"/>
            </w:rPr>
            <w:t>10</w:t>
          </w:r>
          <w:bookmarkEnd w:id="16"/>
          <w:r>
            <w:rPr>
              <w:b/>
              <w:bCs/>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_Toc3020_WPSOffice_Level2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782e88cc-a410-4215-8c7f-e12e15f4ccdb}"/>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一、收入支出决算总体情况说明</w:t>
              </w:r>
            </w:sdtContent>
          </w:sdt>
          <w:r>
            <w:rPr>
              <w:rFonts w:hint="eastAsia" w:ascii="仿宋" w:hAnsi="仿宋" w:eastAsia="仿宋" w:cs="仿宋"/>
              <w:sz w:val="28"/>
              <w:szCs w:val="28"/>
            </w:rPr>
            <w:tab/>
          </w:r>
          <w:bookmarkStart w:id="17" w:name="_Toc3020_WPSOffice_Level2Page"/>
          <w:r>
            <w:rPr>
              <w:rFonts w:hint="eastAsia" w:ascii="仿宋" w:hAnsi="仿宋" w:eastAsia="仿宋" w:cs="仿宋"/>
              <w:sz w:val="28"/>
              <w:szCs w:val="28"/>
            </w:rPr>
            <w:t>10</w:t>
          </w:r>
          <w:bookmarkEnd w:id="17"/>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_Toc16247_WPSOffice_Level2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e81aff8e-7cd1-4bea-b838-a81022650b7c}"/>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二、收入决算情况说明</w:t>
              </w:r>
            </w:sdtContent>
          </w:sdt>
          <w:r>
            <w:rPr>
              <w:rFonts w:hint="eastAsia" w:ascii="仿宋" w:hAnsi="仿宋" w:eastAsia="仿宋" w:cs="仿宋"/>
              <w:sz w:val="28"/>
              <w:szCs w:val="28"/>
            </w:rPr>
            <w:tab/>
          </w:r>
          <w:bookmarkStart w:id="18" w:name="_Toc16247_WPSOffice_Level2Page"/>
          <w:r>
            <w:rPr>
              <w:rFonts w:hint="eastAsia" w:ascii="仿宋" w:hAnsi="仿宋" w:eastAsia="仿宋" w:cs="仿宋"/>
              <w:sz w:val="28"/>
              <w:szCs w:val="28"/>
            </w:rPr>
            <w:t>10</w:t>
          </w:r>
          <w:bookmarkEnd w:id="18"/>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\l _Toc9835_WPSOffice_Level2 </w:instrText>
          </w:r>
          <w:r>
            <w:rPr>
              <w:rFonts w:hint="eastAsia" w:ascii="仿宋" w:hAnsi="仿宋" w:eastAsia="仿宋" w:cs="仿宋"/>
              <w:b w:val="0"/>
              <w:bCs w:val="0"/>
              <w:sz w:val="28"/>
              <w:szCs w:val="28"/>
            </w:rPr>
            <w:fldChar w:fldCharType="separate"/>
          </w:r>
          <w:sdt>
            <w:sdtPr>
              <w:rPr>
                <w:rFonts w:hint="eastAsia" w:ascii="仿宋" w:hAnsi="仿宋" w:eastAsia="仿宋" w:cs="仿宋"/>
                <w:b w:val="0"/>
                <w:bCs w:val="0"/>
                <w:kern w:val="2"/>
                <w:sz w:val="28"/>
                <w:szCs w:val="28"/>
                <w:lang w:val="en-US" w:eastAsia="zh-CN" w:bidi="ar-SA"/>
              </w:rPr>
              <w:id w:val="147461244"/>
              <w:placeholder>
                <w:docPart w:val="{fd73ac30-dbe7-440f-9bd1-b70aef7a3a47}"/>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sz w:val="28"/>
                  <w:szCs w:val="28"/>
                </w:rPr>
                <w:t>三、 支出决算情况说明</w:t>
              </w:r>
              <w:r>
                <w:rPr>
                  <w:rFonts w:hint="eastAsia" w:ascii="仿宋" w:hAnsi="仿宋" w:eastAsia="仿宋" w:cs="仿宋"/>
                  <w:sz w:val="28"/>
                  <w:szCs w:val="28"/>
                </w:rPr>
                <w:tab/>
              </w:r>
              <w:r>
                <w:rPr>
                  <w:rFonts w:hint="eastAsia" w:ascii="仿宋" w:hAnsi="仿宋" w:eastAsia="仿宋" w:cs="仿宋"/>
                  <w:sz w:val="28"/>
                  <w:szCs w:val="28"/>
                </w:rPr>
                <w:t>12</w:t>
              </w:r>
            </w:sdtContent>
          </w:sdt>
          <w:r>
            <w:rPr>
              <w:rFonts w:hint="eastAsia" w:ascii="仿宋" w:hAnsi="仿宋" w:eastAsia="仿宋" w:cs="仿宋"/>
              <w:b w:val="0"/>
              <w:bCs w:val="0"/>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_Toc30196_WPSOffice_Level2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8a54d676-7f1f-4b9d-9ddf-f96ab48320a2}"/>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四、财政拨款收入支出决算总体情况说明</w:t>
              </w:r>
            </w:sdtContent>
          </w:sdt>
          <w:r>
            <w:rPr>
              <w:rFonts w:hint="eastAsia" w:ascii="仿宋" w:hAnsi="仿宋" w:eastAsia="仿宋" w:cs="仿宋"/>
              <w:sz w:val="28"/>
              <w:szCs w:val="28"/>
            </w:rPr>
            <w:tab/>
          </w:r>
          <w:bookmarkStart w:id="19" w:name="_Toc30196_WPSOffice_Level2Page"/>
          <w:r>
            <w:rPr>
              <w:rFonts w:hint="eastAsia" w:ascii="仿宋" w:hAnsi="仿宋" w:eastAsia="仿宋" w:cs="仿宋"/>
              <w:sz w:val="28"/>
              <w:szCs w:val="28"/>
            </w:rPr>
            <w:t>12</w:t>
          </w:r>
          <w:bookmarkEnd w:id="19"/>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_Toc20661_WPSOffice_Level2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ff38c639-3b6a-4dc5-9b61-9df67b8be157}"/>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五、一般公共预算财政拨款支出决算情况说明</w:t>
              </w:r>
            </w:sdtContent>
          </w:sdt>
          <w:r>
            <w:rPr>
              <w:rFonts w:hint="eastAsia" w:ascii="仿宋" w:hAnsi="仿宋" w:eastAsia="仿宋" w:cs="仿宋"/>
              <w:sz w:val="28"/>
              <w:szCs w:val="28"/>
            </w:rPr>
            <w:tab/>
          </w:r>
          <w:bookmarkStart w:id="20" w:name="_Toc20661_WPSOffice_Level2Page"/>
          <w:r>
            <w:rPr>
              <w:rFonts w:hint="eastAsia" w:ascii="仿宋" w:hAnsi="仿宋" w:eastAsia="仿宋" w:cs="仿宋"/>
              <w:sz w:val="28"/>
              <w:szCs w:val="28"/>
            </w:rPr>
            <w:t>13</w:t>
          </w:r>
          <w:bookmarkEnd w:id="20"/>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_Toc11702_WPSOffice_Level2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5bb5d573-98e4-42ef-a0e9-c5298c16ab85}"/>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六、一般公共预算财政拨款基本支出决算情况说明</w:t>
              </w:r>
            </w:sdtContent>
          </w:sdt>
          <w:r>
            <w:rPr>
              <w:rFonts w:hint="eastAsia" w:ascii="仿宋" w:hAnsi="仿宋" w:eastAsia="仿宋" w:cs="仿宋"/>
              <w:sz w:val="28"/>
              <w:szCs w:val="28"/>
            </w:rPr>
            <w:tab/>
          </w:r>
          <w:bookmarkStart w:id="21" w:name="_Toc11702_WPSOffice_Level2Page"/>
          <w:r>
            <w:rPr>
              <w:rFonts w:hint="eastAsia" w:ascii="仿宋" w:hAnsi="仿宋" w:eastAsia="仿宋" w:cs="仿宋"/>
              <w:sz w:val="28"/>
              <w:szCs w:val="28"/>
            </w:rPr>
            <w:t>15</w:t>
          </w:r>
          <w:bookmarkEnd w:id="21"/>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_Toc22294_WPSOffice_Level2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23210cab-24de-455f-a841-e7b8328c456c}"/>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七、“三公”经费财政拨款支出决算情况说明</w:t>
              </w:r>
            </w:sdtContent>
          </w:sdt>
          <w:r>
            <w:rPr>
              <w:rFonts w:hint="eastAsia" w:ascii="仿宋" w:hAnsi="仿宋" w:eastAsia="仿宋" w:cs="仿宋"/>
              <w:sz w:val="28"/>
              <w:szCs w:val="28"/>
            </w:rPr>
            <w:tab/>
          </w:r>
          <w:bookmarkStart w:id="22" w:name="_Toc22294_WPSOffice_Level2Page"/>
          <w:r>
            <w:rPr>
              <w:rFonts w:hint="eastAsia" w:ascii="仿宋" w:hAnsi="仿宋" w:eastAsia="仿宋" w:cs="仿宋"/>
              <w:sz w:val="28"/>
              <w:szCs w:val="28"/>
            </w:rPr>
            <w:t>16</w:t>
          </w:r>
          <w:bookmarkEnd w:id="22"/>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_Toc16701_WPSOffice_Level2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4de432b4-30df-4fe0-a6d5-94831222bdc5}"/>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八、政府性基金预算支出决算情况说明</w:t>
              </w:r>
            </w:sdtContent>
          </w:sdt>
          <w:r>
            <w:rPr>
              <w:rFonts w:hint="eastAsia" w:ascii="仿宋" w:hAnsi="仿宋" w:eastAsia="仿宋" w:cs="仿宋"/>
              <w:sz w:val="28"/>
              <w:szCs w:val="28"/>
            </w:rPr>
            <w:tab/>
          </w:r>
          <w:bookmarkStart w:id="23" w:name="_Toc16701_WPSOffice_Level2Page"/>
          <w:r>
            <w:rPr>
              <w:rFonts w:hint="eastAsia" w:ascii="仿宋" w:hAnsi="仿宋" w:eastAsia="仿宋" w:cs="仿宋"/>
              <w:sz w:val="28"/>
              <w:szCs w:val="28"/>
            </w:rPr>
            <w:t>17</w:t>
          </w:r>
          <w:bookmarkEnd w:id="23"/>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_Toc6562_WPSOffice_Level2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64831609-372f-4ce1-945c-3aba334f00c8}"/>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九、国有资本经营预算支出决算情况说明</w:t>
              </w:r>
            </w:sdtContent>
          </w:sdt>
          <w:r>
            <w:rPr>
              <w:rFonts w:hint="eastAsia" w:ascii="仿宋" w:hAnsi="仿宋" w:eastAsia="仿宋" w:cs="仿宋"/>
              <w:sz w:val="28"/>
              <w:szCs w:val="28"/>
            </w:rPr>
            <w:tab/>
          </w:r>
          <w:bookmarkStart w:id="24" w:name="_Toc6562_WPSOffice_Level2Page"/>
          <w:r>
            <w:rPr>
              <w:rFonts w:hint="eastAsia" w:ascii="仿宋" w:hAnsi="仿宋" w:eastAsia="仿宋" w:cs="仿宋"/>
              <w:sz w:val="28"/>
              <w:szCs w:val="28"/>
            </w:rPr>
            <w:t>17</w:t>
          </w:r>
          <w:bookmarkEnd w:id="24"/>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_Toc11984_WPSOffice_Level2 </w:instrText>
          </w:r>
          <w:r>
            <w:rPr>
              <w:rFonts w:hint="eastAsia" w:ascii="仿宋" w:hAnsi="仿宋" w:eastAsia="仿宋" w:cs="仿宋"/>
              <w:sz w:val="28"/>
              <w:szCs w:val="28"/>
            </w:rPr>
            <w:fldChar w:fldCharType="separate"/>
          </w:r>
          <w:sdt>
            <w:sdtPr>
              <w:rPr>
                <w:rFonts w:hint="eastAsia" w:ascii="仿宋" w:hAnsi="仿宋" w:eastAsia="仿宋" w:cs="仿宋"/>
                <w:kern w:val="2"/>
                <w:sz w:val="28"/>
                <w:szCs w:val="28"/>
                <w:lang w:val="en-US" w:eastAsia="zh-CN" w:bidi="ar-SA"/>
              </w:rPr>
              <w:id w:val="147467848"/>
              <w:placeholder>
                <w:docPart w:val="{c8e91b54-069c-4e7b-8cd3-6ff06b31da88}"/>
              </w:placeholder>
            </w:sdtPr>
            <w:sdtEndPr>
              <w:rPr>
                <w:rFonts w:hint="eastAsia" w:ascii="仿宋" w:hAnsi="仿宋" w:eastAsia="仿宋" w:cs="仿宋"/>
                <w:kern w:val="2"/>
                <w:sz w:val="28"/>
                <w:szCs w:val="28"/>
                <w:lang w:val="en-US" w:eastAsia="zh-CN" w:bidi="ar-SA"/>
              </w:rPr>
            </w:sdtEndPr>
            <w:sdtContent>
              <w:r>
                <w:rPr>
                  <w:rFonts w:hint="eastAsia" w:ascii="仿宋" w:hAnsi="仿宋" w:eastAsia="仿宋" w:cs="仿宋"/>
                  <w:sz w:val="28"/>
                  <w:szCs w:val="28"/>
                </w:rPr>
                <w:t>十、其他重要事项的情况说明</w:t>
              </w:r>
            </w:sdtContent>
          </w:sdt>
          <w:r>
            <w:rPr>
              <w:rFonts w:hint="eastAsia" w:ascii="仿宋" w:hAnsi="仿宋" w:eastAsia="仿宋" w:cs="仿宋"/>
              <w:sz w:val="28"/>
              <w:szCs w:val="28"/>
            </w:rPr>
            <w:tab/>
          </w:r>
          <w:bookmarkStart w:id="25" w:name="_Toc11984_WPSOffice_Level2Page"/>
          <w:r>
            <w:rPr>
              <w:rFonts w:hint="eastAsia" w:ascii="仿宋" w:hAnsi="仿宋" w:eastAsia="仿宋" w:cs="仿宋"/>
              <w:sz w:val="28"/>
              <w:szCs w:val="28"/>
            </w:rPr>
            <w:t>17</w:t>
          </w:r>
          <w:bookmarkEnd w:id="25"/>
          <w:r>
            <w:rPr>
              <w:rFonts w:hint="eastAsia" w:ascii="仿宋" w:hAnsi="仿宋" w:eastAsia="仿宋" w:cs="仿宋"/>
              <w:sz w:val="28"/>
              <w:szCs w:val="28"/>
            </w:rPr>
            <w:fldChar w:fldCharType="end"/>
          </w:r>
        </w:p>
        <w:p>
          <w:pPr>
            <w:pStyle w:val="34"/>
            <w:tabs>
              <w:tab w:val="right" w:leader="dot" w:pos="8306"/>
            </w:tabs>
            <w:rPr>
              <w:sz w:val="28"/>
              <w:szCs w:val="28"/>
            </w:rPr>
          </w:pPr>
          <w:r>
            <w:rPr>
              <w:b/>
              <w:bCs/>
              <w:sz w:val="28"/>
              <w:szCs w:val="28"/>
            </w:rPr>
            <w:fldChar w:fldCharType="begin"/>
          </w:r>
          <w:r>
            <w:rPr>
              <w:sz w:val="28"/>
              <w:szCs w:val="28"/>
            </w:rPr>
            <w:instrText xml:space="preserve"> HYPERLINK \l _Toc29645_WPSOffice_Level1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67848"/>
              <w:placeholder>
                <w:docPart w:val="{c382775c-57e4-4792-9fe8-36c3d4eb7cb8}"/>
              </w:placeholder>
            </w:sdtPr>
            <w:sdtEndPr>
              <w:rPr>
                <w:rFonts w:ascii="Times New Roman" w:hAnsi="Times New Roman" w:eastAsia="宋体" w:cs="Times New Roman"/>
                <w:b/>
                <w:bCs/>
                <w:kern w:val="2"/>
                <w:sz w:val="28"/>
                <w:szCs w:val="28"/>
                <w:lang w:val="en-US" w:eastAsia="zh-CN" w:bidi="ar-SA"/>
              </w:rPr>
            </w:sdtEndPr>
            <w:sdtContent>
              <w:r>
                <w:rPr>
                  <w:rFonts w:hint="eastAsia" w:ascii="黑体" w:hAnsi="黑体" w:eastAsia="黑体" w:cs="黑体"/>
                  <w:b/>
                  <w:bCs/>
                  <w:sz w:val="28"/>
                  <w:szCs w:val="28"/>
                </w:rPr>
                <w:t>第三部分 名词解释</w:t>
              </w:r>
            </w:sdtContent>
          </w:sdt>
          <w:r>
            <w:rPr>
              <w:b/>
              <w:bCs/>
              <w:sz w:val="28"/>
              <w:szCs w:val="28"/>
            </w:rPr>
            <w:tab/>
          </w:r>
          <w:bookmarkStart w:id="26" w:name="_Toc29645_WPSOffice_Level1Page"/>
          <w:r>
            <w:rPr>
              <w:b/>
              <w:bCs/>
              <w:sz w:val="28"/>
              <w:szCs w:val="28"/>
            </w:rPr>
            <w:t>28</w:t>
          </w:r>
          <w:bookmarkEnd w:id="26"/>
          <w:r>
            <w:rPr>
              <w:b/>
              <w:bCs/>
              <w:sz w:val="28"/>
              <w:szCs w:val="28"/>
            </w:rPr>
            <w:fldChar w:fldCharType="end"/>
          </w:r>
        </w:p>
        <w:p>
          <w:pPr>
            <w:pStyle w:val="34"/>
            <w:tabs>
              <w:tab w:val="right" w:leader="dot" w:pos="8306"/>
            </w:tabs>
            <w:rPr>
              <w:sz w:val="28"/>
              <w:szCs w:val="28"/>
            </w:rPr>
          </w:pPr>
          <w:r>
            <w:rPr>
              <w:b/>
              <w:bCs/>
              <w:sz w:val="28"/>
              <w:szCs w:val="28"/>
            </w:rPr>
            <w:fldChar w:fldCharType="begin"/>
          </w:r>
          <w:r>
            <w:rPr>
              <w:sz w:val="28"/>
              <w:szCs w:val="28"/>
            </w:rPr>
            <w:instrText xml:space="preserve"> HYPERLINK \l _Toc3020_WPSOffice_Level1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67848"/>
              <w:placeholder>
                <w:docPart w:val="{c2551df8-3142-41e2-907a-8abaa6e2ac58}"/>
              </w:placeholder>
            </w:sdtPr>
            <w:sdtEndPr>
              <w:rPr>
                <w:rFonts w:ascii="Times New Roman" w:hAnsi="Times New Roman" w:eastAsia="宋体" w:cs="Times New Roman"/>
                <w:b/>
                <w:bCs/>
                <w:kern w:val="2"/>
                <w:sz w:val="28"/>
                <w:szCs w:val="28"/>
                <w:lang w:val="en-US" w:eastAsia="zh-CN" w:bidi="ar-SA"/>
              </w:rPr>
            </w:sdtEndPr>
            <w:sdtContent>
              <w:r>
                <w:rPr>
                  <w:rFonts w:hint="eastAsia" w:ascii="黑体" w:hAnsi="黑体" w:eastAsia="黑体" w:cs="黑体"/>
                  <w:b/>
                  <w:bCs/>
                  <w:sz w:val="28"/>
                  <w:szCs w:val="28"/>
                </w:rPr>
                <w:t>第四部分 附件</w:t>
              </w:r>
            </w:sdtContent>
          </w:sdt>
          <w:r>
            <w:rPr>
              <w:b/>
              <w:bCs/>
              <w:sz w:val="28"/>
              <w:szCs w:val="28"/>
            </w:rPr>
            <w:tab/>
          </w:r>
          <w:bookmarkStart w:id="27" w:name="_Toc3020_WPSOffice_Level1Page"/>
          <w:r>
            <w:rPr>
              <w:b/>
              <w:bCs/>
              <w:sz w:val="28"/>
              <w:szCs w:val="28"/>
            </w:rPr>
            <w:t>32</w:t>
          </w:r>
          <w:bookmarkEnd w:id="27"/>
          <w:r>
            <w:rPr>
              <w:b/>
              <w:bCs/>
              <w:sz w:val="28"/>
              <w:szCs w:val="28"/>
            </w:rPr>
            <w:fldChar w:fldCharType="end"/>
          </w:r>
        </w:p>
        <w:p>
          <w:pPr>
            <w:pStyle w:val="35"/>
            <w:tabs>
              <w:tab w:val="right" w:leader="dot" w:pos="8306"/>
            </w:tabs>
            <w:rPr>
              <w:rFonts w:hint="default" w:eastAsia="宋体"/>
              <w:sz w:val="28"/>
              <w:szCs w:val="28"/>
              <w:lang w:val="en-US" w:eastAsia="zh-CN"/>
            </w:rPr>
          </w:pPr>
          <w:sdt>
            <w:sdtPr>
              <w:rPr>
                <w:rFonts w:hint="eastAsia" w:ascii="仿宋" w:hAnsi="仿宋" w:eastAsia="仿宋" w:cs="仿宋"/>
                <w:b w:val="0"/>
                <w:bCs w:val="0"/>
                <w:kern w:val="2"/>
                <w:sz w:val="28"/>
                <w:szCs w:val="28"/>
                <w:lang w:val="en-US" w:eastAsia="zh-CN" w:bidi="ar-SA"/>
              </w:rPr>
              <w:id w:val="147461244"/>
              <w:placeholder>
                <w:docPart w:val="{566094da-8b83-416a-8b8d-ceba7c4ee9be}"/>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kern w:val="2"/>
                  <w:sz w:val="28"/>
                  <w:szCs w:val="28"/>
                  <w:lang w:val="en-US" w:eastAsia="zh-CN" w:bidi="ar-SA"/>
                </w:rPr>
                <w:t>附件1：</w:t>
              </w:r>
              <w:r>
                <w:rPr>
                  <w:rFonts w:hint="eastAsia" w:ascii="仿宋" w:hAnsi="仿宋" w:eastAsia="仿宋" w:cs="仿宋"/>
                  <w:b w:val="0"/>
                  <w:bCs w:val="0"/>
                  <w:sz w:val="28"/>
                  <w:szCs w:val="28"/>
                </w:rPr>
                <w:t>井研县</w:t>
              </w:r>
              <w:r>
                <w:rPr>
                  <w:rFonts w:hint="eastAsia" w:ascii="仿宋" w:hAnsi="仿宋" w:eastAsia="仿宋" w:cs="仿宋"/>
                  <w:b w:val="0"/>
                  <w:bCs w:val="0"/>
                  <w:sz w:val="28"/>
                  <w:szCs w:val="28"/>
                  <w:lang w:eastAsia="zh-CN"/>
                </w:rPr>
                <w:t>社会保险事务中心</w:t>
              </w:r>
              <w:r>
                <w:rPr>
                  <w:rFonts w:hint="eastAsia" w:ascii="仿宋" w:hAnsi="仿宋" w:eastAsia="仿宋" w:cs="仿宋"/>
                  <w:b w:val="0"/>
                  <w:bCs w:val="0"/>
                  <w:sz w:val="28"/>
                  <w:szCs w:val="28"/>
                </w:rPr>
                <w:t>2020年部门整体支出绩效评价报告</w:t>
              </w:r>
            </w:sdtContent>
          </w:sdt>
          <w:r>
            <w:rPr>
              <w:sz w:val="28"/>
              <w:szCs w:val="28"/>
            </w:rPr>
            <w:tab/>
          </w:r>
          <w:r>
            <w:rPr>
              <w:rFonts w:hint="eastAsia"/>
              <w:sz w:val="28"/>
              <w:szCs w:val="28"/>
              <w:lang w:val="en-US" w:eastAsia="zh-CN"/>
            </w:rPr>
            <w:t>33</w:t>
          </w:r>
        </w:p>
        <w:p>
          <w:pPr>
            <w:pStyle w:val="35"/>
            <w:tabs>
              <w:tab w:val="right" w:leader="dot" w:pos="8306"/>
            </w:tabs>
            <w:rPr>
              <w:sz w:val="28"/>
              <w:szCs w:val="28"/>
            </w:rPr>
          </w:pPr>
        </w:p>
        <w:p>
          <w:pPr>
            <w:pStyle w:val="35"/>
            <w:tabs>
              <w:tab w:val="right" w:leader="dot" w:pos="8306"/>
            </w:tabs>
            <w:rPr>
              <w:rFonts w:hint="eastAsia" w:eastAsia="宋体"/>
              <w:sz w:val="28"/>
              <w:szCs w:val="28"/>
              <w:lang w:val="en-US" w:eastAsia="zh-CN"/>
            </w:rPr>
          </w:pPr>
          <w:r>
            <w:rPr>
              <w:sz w:val="28"/>
              <w:szCs w:val="28"/>
            </w:rPr>
            <w:fldChar w:fldCharType="begin"/>
          </w:r>
          <w:r>
            <w:rPr>
              <w:sz w:val="28"/>
              <w:szCs w:val="28"/>
            </w:rPr>
            <w:instrText xml:space="preserve"> HYPERLINK \l _Toc6609_WPSOffice_Level2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835d966d-9e50-4488-a54e-cb134640bbaf}"/>
              </w:placeholder>
            </w:sdtPr>
            <w:sdtEndPr>
              <w:rPr>
                <w:rFonts w:ascii="Times New Roman" w:hAnsi="Times New Roman" w:eastAsia="宋体" w:cs="Times New Roman"/>
                <w:kern w:val="2"/>
                <w:sz w:val="28"/>
                <w:szCs w:val="28"/>
                <w:lang w:val="en-US" w:eastAsia="zh-CN" w:bidi="ar-SA"/>
              </w:rPr>
            </w:sdtEndPr>
            <w:sdtContent>
              <w:sdt>
                <w:sdtPr>
                  <w:rPr>
                    <w:rFonts w:hint="eastAsia" w:ascii="仿宋" w:hAnsi="仿宋" w:eastAsia="仿宋" w:cs="仿宋"/>
                    <w:b w:val="0"/>
                    <w:bCs w:val="0"/>
                    <w:kern w:val="2"/>
                    <w:sz w:val="28"/>
                    <w:szCs w:val="28"/>
                    <w:lang w:val="en-US" w:eastAsia="zh-CN" w:bidi="ar-SA"/>
                  </w:rPr>
                  <w:id w:val="147461244"/>
                  <w:placeholder>
                    <w:docPart w:val="{43ba9d02-befd-47ab-9527-2aef4167d9e0}"/>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kern w:val="2"/>
                      <w:sz w:val="28"/>
                      <w:szCs w:val="28"/>
                      <w:lang w:val="en-US" w:eastAsia="zh-CN" w:bidi="ar-SA"/>
                    </w:rPr>
                    <w:t>附件2：财政为贫困人口代缴城乡居民养老保险费项目</w:t>
                  </w:r>
                  <w:r>
                    <w:rPr>
                      <w:rFonts w:hint="eastAsia" w:ascii="仿宋" w:hAnsi="仿宋" w:eastAsia="仿宋" w:cs="仿宋"/>
                      <w:b w:val="0"/>
                      <w:bCs w:val="0"/>
                      <w:sz w:val="28"/>
                      <w:szCs w:val="28"/>
                    </w:rPr>
                    <w:t>2020年绩效评价报告</w:t>
                  </w:r>
                </w:sdtContent>
              </w:sdt>
            </w:sdtContent>
          </w:sdt>
          <w:r>
            <w:rPr>
              <w:sz w:val="28"/>
              <w:szCs w:val="28"/>
            </w:rPr>
            <w:tab/>
          </w:r>
          <w:r>
            <w:rPr>
              <w:rFonts w:hint="eastAsia"/>
              <w:sz w:val="28"/>
              <w:szCs w:val="28"/>
              <w:lang w:val="en-US" w:eastAsia="zh-CN"/>
            </w:rPr>
            <w:t>3</w:t>
          </w:r>
          <w:r>
            <w:rPr>
              <w:sz w:val="28"/>
              <w:szCs w:val="28"/>
            </w:rPr>
            <w:fldChar w:fldCharType="end"/>
          </w:r>
          <w:r>
            <w:rPr>
              <w:rFonts w:hint="eastAsia"/>
              <w:sz w:val="28"/>
              <w:szCs w:val="28"/>
              <w:lang w:val="en-US" w:eastAsia="zh-CN"/>
            </w:rPr>
            <w:t>5</w:t>
          </w:r>
        </w:p>
        <w:p>
          <w:pPr>
            <w:pStyle w:val="35"/>
            <w:tabs>
              <w:tab w:val="right" w:leader="dot" w:pos="8306"/>
            </w:tabs>
            <w:rPr>
              <w:rFonts w:hint="eastAsia" w:eastAsia="宋体"/>
              <w:sz w:val="28"/>
              <w:szCs w:val="28"/>
              <w:lang w:val="en-US" w:eastAsia="zh-CN"/>
            </w:rPr>
          </w:pPr>
          <w:r>
            <w:rPr>
              <w:sz w:val="28"/>
              <w:szCs w:val="28"/>
            </w:rPr>
            <w:fldChar w:fldCharType="begin"/>
          </w:r>
          <w:r>
            <w:rPr>
              <w:sz w:val="28"/>
              <w:szCs w:val="28"/>
            </w:rPr>
            <w:instrText xml:space="preserve"> HYPERLINK \l _Toc23389_WPSOffice_Level2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480f6fc0-23fc-49e4-b9bf-f56043e6dd3e}"/>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25f5c791-a248-4fc5-9051-0db82b899889}"/>
                  </w:placeholder>
                </w:sdtPr>
                <w:sdtEndPr>
                  <w:rPr>
                    <w:rFonts w:ascii="Times New Roman" w:hAnsi="Times New Roman" w:eastAsia="宋体" w:cs="Times New Roman"/>
                    <w:kern w:val="2"/>
                    <w:sz w:val="28"/>
                    <w:szCs w:val="28"/>
                    <w:lang w:val="en-US" w:eastAsia="zh-CN" w:bidi="ar-SA"/>
                  </w:rPr>
                </w:sdtEndPr>
                <w:sdtContent>
                  <w:sdt>
                    <w:sdtPr>
                      <w:rPr>
                        <w:rFonts w:hint="eastAsia" w:ascii="仿宋" w:hAnsi="仿宋" w:eastAsia="仿宋" w:cs="仿宋"/>
                        <w:b w:val="0"/>
                        <w:bCs w:val="0"/>
                        <w:kern w:val="2"/>
                        <w:sz w:val="28"/>
                        <w:szCs w:val="28"/>
                        <w:lang w:val="en-US" w:eastAsia="zh-CN" w:bidi="ar-SA"/>
                      </w:rPr>
                      <w:id w:val="147461244"/>
                      <w:placeholder>
                        <w:docPart w:val="{008ee48f-b283-4639-b56b-d927c35558d9}"/>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kern w:val="2"/>
                          <w:sz w:val="28"/>
                          <w:szCs w:val="28"/>
                          <w:lang w:val="en-US" w:eastAsia="zh-CN" w:bidi="ar-SA"/>
                        </w:rPr>
                        <w:t>附件3：财政为特困人员、低保对象、残疾人（1－2级重残、精神智力3－4级残疾人）代缴城乡居民养老保险费项目</w:t>
                      </w:r>
                      <w:r>
                        <w:rPr>
                          <w:rFonts w:hint="eastAsia" w:ascii="仿宋" w:hAnsi="仿宋" w:eastAsia="仿宋" w:cs="仿宋"/>
                          <w:b w:val="0"/>
                          <w:bCs w:val="0"/>
                          <w:sz w:val="28"/>
                          <w:szCs w:val="28"/>
                        </w:rPr>
                        <w:t>2020年绩效评价报告</w:t>
                      </w:r>
                    </w:sdtContent>
                  </w:sdt>
                </w:sdtContent>
              </w:sdt>
            </w:sdtContent>
          </w:sdt>
          <w:r>
            <w:rPr>
              <w:sz w:val="28"/>
              <w:szCs w:val="28"/>
            </w:rPr>
            <w:tab/>
          </w:r>
          <w:r>
            <w:rPr>
              <w:rFonts w:hint="eastAsia"/>
              <w:sz w:val="28"/>
              <w:szCs w:val="28"/>
              <w:lang w:val="en-US" w:eastAsia="zh-CN"/>
            </w:rPr>
            <w:t>3</w:t>
          </w:r>
          <w:r>
            <w:rPr>
              <w:sz w:val="28"/>
              <w:szCs w:val="28"/>
            </w:rPr>
            <w:fldChar w:fldCharType="end"/>
          </w:r>
          <w:r>
            <w:rPr>
              <w:rFonts w:hint="eastAsia"/>
              <w:sz w:val="28"/>
              <w:szCs w:val="28"/>
              <w:lang w:val="en-US" w:eastAsia="zh-CN"/>
            </w:rPr>
            <w:t>8</w:t>
          </w:r>
        </w:p>
        <w:p>
          <w:pPr>
            <w:pStyle w:val="35"/>
            <w:tabs>
              <w:tab w:val="right" w:leader="dot" w:pos="8306"/>
            </w:tabs>
            <w:rPr>
              <w:sz w:val="28"/>
              <w:szCs w:val="28"/>
            </w:rPr>
          </w:pPr>
          <w:r>
            <w:rPr>
              <w:sz w:val="28"/>
              <w:szCs w:val="28"/>
            </w:rPr>
            <w:fldChar w:fldCharType="begin"/>
          </w:r>
          <w:r>
            <w:rPr>
              <w:sz w:val="28"/>
              <w:szCs w:val="28"/>
            </w:rPr>
            <w:instrText xml:space="preserve"> HYPERLINK \l _Toc26353_WPSOffice_Level2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a14dc704-31ab-4aea-bc74-d3bc65896b6e}"/>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476f8319-5f10-41e1-b991-67863bbef2b2}"/>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fde3290c-f96e-4607-a1e8-842be21f9eaa}"/>
                      </w:placeholder>
                    </w:sdtPr>
                    <w:sdtEndPr>
                      <w:rPr>
                        <w:rFonts w:ascii="Times New Roman" w:hAnsi="Times New Roman" w:eastAsia="宋体" w:cs="Times New Roman"/>
                        <w:kern w:val="2"/>
                        <w:sz w:val="28"/>
                        <w:szCs w:val="28"/>
                        <w:lang w:val="en-US" w:eastAsia="zh-CN" w:bidi="ar-SA"/>
                      </w:rPr>
                    </w:sdtEndPr>
                    <w:sdtContent>
                      <w:sdt>
                        <w:sdtPr>
                          <w:rPr>
                            <w:rFonts w:hint="eastAsia" w:ascii="仿宋" w:hAnsi="仿宋" w:eastAsia="仿宋" w:cs="仿宋"/>
                            <w:b w:val="0"/>
                            <w:bCs w:val="0"/>
                            <w:kern w:val="2"/>
                            <w:sz w:val="28"/>
                            <w:szCs w:val="28"/>
                            <w:lang w:val="en-US" w:eastAsia="zh-CN" w:bidi="ar-SA"/>
                          </w:rPr>
                          <w:id w:val="147461244"/>
                          <w:placeholder>
                            <w:docPart w:val="{e2ab819d-1f5b-4720-bc36-2cfb299262ce}"/>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kern w:val="2"/>
                              <w:sz w:val="28"/>
                              <w:szCs w:val="28"/>
                              <w:lang w:val="en-US" w:eastAsia="zh-CN" w:bidi="ar-SA"/>
                            </w:rPr>
                            <w:t>附件4：机保丧葬费、抚恤金项目</w:t>
                          </w:r>
                          <w:r>
                            <w:rPr>
                              <w:rFonts w:hint="eastAsia" w:ascii="仿宋" w:hAnsi="仿宋" w:eastAsia="仿宋" w:cs="仿宋"/>
                              <w:b w:val="0"/>
                              <w:bCs w:val="0"/>
                              <w:sz w:val="28"/>
                              <w:szCs w:val="28"/>
                            </w:rPr>
                            <w:t>2020年绩效评价报告</w:t>
                          </w:r>
                        </w:sdtContent>
                      </w:sdt>
                    </w:sdtContent>
                  </w:sdt>
                </w:sdtContent>
              </w:sdt>
            </w:sdtContent>
          </w:sdt>
          <w:r>
            <w:rPr>
              <w:sz w:val="28"/>
              <w:szCs w:val="28"/>
            </w:rPr>
            <w:tab/>
          </w:r>
          <w:bookmarkStart w:id="28" w:name="_Toc26353_WPSOffice_Level2Page"/>
          <w:r>
            <w:rPr>
              <w:sz w:val="28"/>
              <w:szCs w:val="28"/>
            </w:rPr>
            <w:t>41</w:t>
          </w:r>
          <w:bookmarkEnd w:id="28"/>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_Toc28397_WPSOffice_Level2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3273767a-9321-4a88-8a7a-984396646678}"/>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1bbbaae6-6e6b-478a-b480-6762e984ecd0}"/>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6d17e101-0a09-497f-bb26-c109f788f8a9}"/>
                      </w:placeholder>
                    </w:sdtPr>
                    <w:sdtEndPr>
                      <w:rPr>
                        <w:rFonts w:ascii="Times New Roman" w:hAnsi="Times New Roman" w:eastAsia="宋体" w:cs="Times New Roman"/>
                        <w:kern w:val="2"/>
                        <w:sz w:val="28"/>
                        <w:szCs w:val="28"/>
                        <w:lang w:val="en-US" w:eastAsia="zh-CN" w:bidi="ar-SA"/>
                      </w:rPr>
                    </w:sdtEndPr>
                    <w:sdtContent>
                      <w:sdt>
                        <w:sdtPr>
                          <w:rPr>
                            <w:rFonts w:hint="eastAsia" w:ascii="仿宋" w:hAnsi="仿宋" w:eastAsia="仿宋" w:cs="仿宋"/>
                            <w:b w:val="0"/>
                            <w:bCs w:val="0"/>
                            <w:kern w:val="2"/>
                            <w:sz w:val="28"/>
                            <w:szCs w:val="28"/>
                            <w:lang w:val="en-US" w:eastAsia="zh-CN" w:bidi="ar-SA"/>
                          </w:rPr>
                          <w:id w:val="147461244"/>
                          <w:placeholder>
                            <w:docPart w:val="{16b971ee-ce85-48e3-b9a2-609e83f2976c}"/>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kern w:val="2"/>
                              <w:sz w:val="28"/>
                              <w:szCs w:val="28"/>
                              <w:lang w:val="en-US" w:eastAsia="zh-CN" w:bidi="ar-SA"/>
                            </w:rPr>
                            <w:t>附件5：城乡居民基本养老保险县级配套资金项目</w:t>
                          </w:r>
                          <w:r>
                            <w:rPr>
                              <w:rFonts w:hint="eastAsia" w:ascii="仿宋" w:hAnsi="仿宋" w:eastAsia="仿宋" w:cs="仿宋"/>
                              <w:b w:val="0"/>
                              <w:bCs w:val="0"/>
                              <w:sz w:val="28"/>
                              <w:szCs w:val="28"/>
                            </w:rPr>
                            <w:t>2020年绩效评价报告</w:t>
                          </w:r>
                        </w:sdtContent>
                      </w:sdt>
                    </w:sdtContent>
                  </w:sdt>
                </w:sdtContent>
              </w:sdt>
            </w:sdtContent>
          </w:sdt>
          <w:r>
            <w:rPr>
              <w:sz w:val="28"/>
              <w:szCs w:val="28"/>
            </w:rPr>
            <w:tab/>
          </w:r>
          <w:bookmarkStart w:id="29" w:name="_Toc28397_WPSOffice_Level2Page"/>
          <w:r>
            <w:rPr>
              <w:sz w:val="28"/>
              <w:szCs w:val="28"/>
            </w:rPr>
            <w:t>44</w:t>
          </w:r>
          <w:bookmarkEnd w:id="29"/>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_Toc30597_WPSOffice_Level2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6fe66098-47a5-46a7-a38f-ec07f5a41ecb}"/>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34dfcca5-a925-4e6c-abc4-fc5d99d0e032}"/>
                  </w:placeholder>
                </w:sdtPr>
                <w:sdtEndPr>
                  <w:rPr>
                    <w:rFonts w:ascii="Times New Roman" w:hAnsi="Times New Roman" w:eastAsia="宋体" w:cs="Times New Roman"/>
                    <w:kern w:val="2"/>
                    <w:sz w:val="28"/>
                    <w:szCs w:val="28"/>
                    <w:lang w:val="en-US" w:eastAsia="zh-CN" w:bidi="ar-SA"/>
                  </w:rPr>
                </w:sdtEndPr>
                <w:sdtContent>
                  <w:sdt>
                    <w:sdtPr>
                      <w:rPr>
                        <w:rFonts w:ascii="Times New Roman" w:hAnsi="Times New Roman" w:eastAsia="宋体" w:cs="Times New Roman"/>
                        <w:kern w:val="2"/>
                        <w:sz w:val="28"/>
                        <w:szCs w:val="28"/>
                        <w:lang w:val="en-US" w:eastAsia="zh-CN" w:bidi="ar-SA"/>
                      </w:rPr>
                      <w:id w:val="147467848"/>
                      <w:placeholder>
                        <w:docPart w:val="{c2106387-b37a-4099-bc05-f17205e3d570}"/>
                      </w:placeholder>
                    </w:sdtPr>
                    <w:sdtEndPr>
                      <w:rPr>
                        <w:rFonts w:ascii="Times New Roman" w:hAnsi="Times New Roman" w:eastAsia="宋体" w:cs="Times New Roman"/>
                        <w:kern w:val="2"/>
                        <w:sz w:val="28"/>
                        <w:szCs w:val="28"/>
                        <w:lang w:val="en-US" w:eastAsia="zh-CN" w:bidi="ar-SA"/>
                      </w:rPr>
                    </w:sdtEndPr>
                    <w:sdtContent>
                      <w:sdt>
                        <w:sdtPr>
                          <w:rPr>
                            <w:rFonts w:hint="eastAsia" w:ascii="仿宋" w:hAnsi="仿宋" w:eastAsia="仿宋" w:cs="仿宋"/>
                            <w:b w:val="0"/>
                            <w:bCs w:val="0"/>
                            <w:kern w:val="2"/>
                            <w:sz w:val="28"/>
                            <w:szCs w:val="28"/>
                            <w:lang w:val="en-US" w:eastAsia="zh-CN" w:bidi="ar-SA"/>
                          </w:rPr>
                          <w:id w:val="147461244"/>
                          <w:placeholder>
                            <w:docPart w:val="{1da128a3-4d4d-4c20-b034-ad21e350d9d6}"/>
                          </w:placeholder>
                        </w:sdtPr>
                        <w:sdtEndPr>
                          <w:rPr>
                            <w:rFonts w:hint="eastAsia" w:ascii="仿宋" w:hAnsi="仿宋" w:eastAsia="仿宋" w:cs="仿宋"/>
                            <w:b w:val="0"/>
                            <w:bCs w:val="0"/>
                            <w:kern w:val="2"/>
                            <w:sz w:val="28"/>
                            <w:szCs w:val="28"/>
                            <w:lang w:val="en-US" w:eastAsia="zh-CN" w:bidi="ar-SA"/>
                          </w:rPr>
                        </w:sdtEndPr>
                        <w:sdtContent>
                          <w:r>
                            <w:rPr>
                              <w:rFonts w:hint="eastAsia" w:ascii="仿宋" w:hAnsi="仿宋" w:eastAsia="仿宋" w:cs="仿宋"/>
                              <w:b w:val="0"/>
                              <w:bCs w:val="0"/>
                              <w:kern w:val="2"/>
                              <w:sz w:val="28"/>
                              <w:szCs w:val="28"/>
                              <w:lang w:val="en-US" w:eastAsia="zh-CN" w:bidi="ar-SA"/>
                            </w:rPr>
                            <w:t>附件6：特殊政策军龄认定财政补差项目</w:t>
                          </w:r>
                          <w:r>
                            <w:rPr>
                              <w:rFonts w:hint="eastAsia" w:ascii="仿宋" w:hAnsi="仿宋" w:eastAsia="仿宋" w:cs="仿宋"/>
                              <w:b w:val="0"/>
                              <w:bCs w:val="0"/>
                              <w:sz w:val="28"/>
                              <w:szCs w:val="28"/>
                            </w:rPr>
                            <w:t>2020年绩效评价报告</w:t>
                          </w:r>
                        </w:sdtContent>
                      </w:sdt>
                    </w:sdtContent>
                  </w:sdt>
                </w:sdtContent>
              </w:sdt>
            </w:sdtContent>
          </w:sdt>
          <w:r>
            <w:rPr>
              <w:sz w:val="28"/>
              <w:szCs w:val="28"/>
            </w:rPr>
            <w:tab/>
          </w:r>
          <w:bookmarkStart w:id="30" w:name="_Toc30597_WPSOffice_Level2Page"/>
          <w:r>
            <w:rPr>
              <w:sz w:val="28"/>
              <w:szCs w:val="28"/>
            </w:rPr>
            <w:t>47</w:t>
          </w:r>
          <w:bookmarkEnd w:id="30"/>
          <w:r>
            <w:rPr>
              <w:sz w:val="28"/>
              <w:szCs w:val="28"/>
            </w:rPr>
            <w:fldChar w:fldCharType="end"/>
          </w:r>
        </w:p>
        <w:p>
          <w:pPr>
            <w:pStyle w:val="34"/>
            <w:tabs>
              <w:tab w:val="right" w:leader="dot" w:pos="8306"/>
            </w:tabs>
            <w:rPr>
              <w:sz w:val="28"/>
              <w:szCs w:val="28"/>
            </w:rPr>
          </w:pPr>
          <w:r>
            <w:rPr>
              <w:b/>
              <w:bCs/>
              <w:sz w:val="28"/>
              <w:szCs w:val="28"/>
            </w:rPr>
            <w:fldChar w:fldCharType="begin"/>
          </w:r>
          <w:r>
            <w:rPr>
              <w:sz w:val="28"/>
              <w:szCs w:val="28"/>
            </w:rPr>
            <w:instrText xml:space="preserve"> HYPERLINK \l _Toc16247_WPSOffice_Level1 </w:instrText>
          </w:r>
          <w:r>
            <w:rPr>
              <w:b/>
              <w:bCs/>
              <w:sz w:val="28"/>
              <w:szCs w:val="28"/>
            </w:rPr>
            <w:fldChar w:fldCharType="separate"/>
          </w:r>
          <w:sdt>
            <w:sdtPr>
              <w:rPr>
                <w:rFonts w:ascii="Times New Roman" w:hAnsi="Times New Roman" w:eastAsia="宋体" w:cs="Times New Roman"/>
                <w:b/>
                <w:bCs/>
                <w:kern w:val="2"/>
                <w:sz w:val="28"/>
                <w:szCs w:val="28"/>
                <w:lang w:val="en-US" w:eastAsia="zh-CN" w:bidi="ar-SA"/>
              </w:rPr>
              <w:id w:val="147467848"/>
              <w:placeholder>
                <w:docPart w:val="{07c97f17-ae13-47ad-bee8-4a842dd6fe37}"/>
              </w:placeholder>
            </w:sdtPr>
            <w:sdtEndPr>
              <w:rPr>
                <w:rFonts w:ascii="Times New Roman" w:hAnsi="Times New Roman" w:eastAsia="宋体" w:cs="Times New Roman"/>
                <w:b/>
                <w:bCs/>
                <w:kern w:val="2"/>
                <w:sz w:val="28"/>
                <w:szCs w:val="28"/>
                <w:lang w:val="en-US" w:eastAsia="zh-CN" w:bidi="ar-SA"/>
              </w:rPr>
            </w:sdtEndPr>
            <w:sdtContent>
              <w:r>
                <w:rPr>
                  <w:rFonts w:hint="eastAsia" w:ascii="黑体" w:hAnsi="黑体" w:eastAsia="黑体" w:cs="Times New Roman"/>
                  <w:b/>
                  <w:bCs/>
                  <w:sz w:val="28"/>
                  <w:szCs w:val="28"/>
                </w:rPr>
                <w:t>第五部分 附表</w:t>
              </w:r>
            </w:sdtContent>
          </w:sdt>
          <w:r>
            <w:rPr>
              <w:b/>
              <w:bCs/>
              <w:sz w:val="28"/>
              <w:szCs w:val="28"/>
            </w:rPr>
            <w:tab/>
          </w:r>
          <w:bookmarkStart w:id="31" w:name="_Toc16247_WPSOffice_Level1Page"/>
          <w:r>
            <w:rPr>
              <w:b/>
              <w:bCs/>
              <w:sz w:val="28"/>
              <w:szCs w:val="28"/>
            </w:rPr>
            <w:t>49</w:t>
          </w:r>
          <w:bookmarkEnd w:id="31"/>
          <w:r>
            <w:rPr>
              <w:b/>
              <w:bCs/>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_Toc6961_WPSOffice_Level2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69fa9f4d-f36c-4dc4-ab33-e1b2f436b6d8}"/>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一、收入支出决算总表</w:t>
              </w:r>
            </w:sdtContent>
          </w:sdt>
          <w:r>
            <w:rPr>
              <w:sz w:val="28"/>
              <w:szCs w:val="28"/>
            </w:rPr>
            <w:tab/>
          </w:r>
          <w:bookmarkStart w:id="32" w:name="_Toc6961_WPSOffice_Level2Page"/>
          <w:r>
            <w:rPr>
              <w:sz w:val="28"/>
              <w:szCs w:val="28"/>
            </w:rPr>
            <w:t>49</w:t>
          </w:r>
          <w:bookmarkEnd w:id="32"/>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_Toc26765_WPSOffice_Level2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c5a4ea38-1d60-4f12-a2ad-1a27a932b3e3}"/>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二、收入决算表</w:t>
              </w:r>
            </w:sdtContent>
          </w:sdt>
          <w:r>
            <w:rPr>
              <w:sz w:val="28"/>
              <w:szCs w:val="28"/>
            </w:rPr>
            <w:tab/>
          </w:r>
          <w:bookmarkStart w:id="33" w:name="_Toc26765_WPSOffice_Level2Page"/>
          <w:r>
            <w:rPr>
              <w:sz w:val="28"/>
              <w:szCs w:val="28"/>
            </w:rPr>
            <w:t>49</w:t>
          </w:r>
          <w:bookmarkEnd w:id="33"/>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_Toc24003_WPSOffice_Level2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09e97e12-7a26-4395-9eda-cdd4f3af9de8}"/>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三、支出决算表</w:t>
              </w:r>
            </w:sdtContent>
          </w:sdt>
          <w:r>
            <w:rPr>
              <w:sz w:val="28"/>
              <w:szCs w:val="28"/>
            </w:rPr>
            <w:tab/>
          </w:r>
          <w:bookmarkStart w:id="34" w:name="_Toc24003_WPSOffice_Level2Page"/>
          <w:r>
            <w:rPr>
              <w:sz w:val="28"/>
              <w:szCs w:val="28"/>
            </w:rPr>
            <w:t>49</w:t>
          </w:r>
          <w:bookmarkEnd w:id="34"/>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_Toc13681_WPSOffice_Level2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4393961f-e0fb-4fd1-adf5-6dbca308f99f}"/>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四、财政拨款收入支出决算总表</w:t>
              </w:r>
            </w:sdtContent>
          </w:sdt>
          <w:r>
            <w:rPr>
              <w:sz w:val="28"/>
              <w:szCs w:val="28"/>
            </w:rPr>
            <w:tab/>
          </w:r>
          <w:bookmarkStart w:id="35" w:name="_Toc13681_WPSOffice_Level2Page"/>
          <w:r>
            <w:rPr>
              <w:sz w:val="28"/>
              <w:szCs w:val="28"/>
            </w:rPr>
            <w:t>49</w:t>
          </w:r>
          <w:bookmarkEnd w:id="35"/>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_Toc23265_WPSOffice_Level2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bc7b916d-ba66-4a70-a84d-05ca099ce216}"/>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五、财政拨款支出决算明细表</w:t>
              </w:r>
            </w:sdtContent>
          </w:sdt>
          <w:r>
            <w:rPr>
              <w:sz w:val="28"/>
              <w:szCs w:val="28"/>
            </w:rPr>
            <w:tab/>
          </w:r>
          <w:bookmarkStart w:id="36" w:name="_Toc23265_WPSOffice_Level2Page"/>
          <w:r>
            <w:rPr>
              <w:sz w:val="28"/>
              <w:szCs w:val="28"/>
            </w:rPr>
            <w:t>49</w:t>
          </w:r>
          <w:bookmarkEnd w:id="36"/>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_Toc11730_WPSOffice_Level2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f9a7ac7b-e15d-47cc-b6ae-d066d10adb51}"/>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六、一般公共预算财政拨款支出决算表</w:t>
              </w:r>
            </w:sdtContent>
          </w:sdt>
          <w:r>
            <w:rPr>
              <w:sz w:val="28"/>
              <w:szCs w:val="28"/>
            </w:rPr>
            <w:tab/>
          </w:r>
          <w:bookmarkStart w:id="37" w:name="_Toc11730_WPSOffice_Level2Page"/>
          <w:r>
            <w:rPr>
              <w:sz w:val="28"/>
              <w:szCs w:val="28"/>
            </w:rPr>
            <w:t>49</w:t>
          </w:r>
          <w:bookmarkEnd w:id="37"/>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_Toc20782_WPSOffice_Level2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0bae6d05-1358-49b8-a38b-d21cad62a7c4}"/>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七、一般公共预算财政拨款支出决算明细表</w:t>
              </w:r>
            </w:sdtContent>
          </w:sdt>
          <w:r>
            <w:rPr>
              <w:sz w:val="28"/>
              <w:szCs w:val="28"/>
            </w:rPr>
            <w:tab/>
          </w:r>
          <w:bookmarkStart w:id="38" w:name="_Toc20782_WPSOffice_Level2Page"/>
          <w:r>
            <w:rPr>
              <w:sz w:val="28"/>
              <w:szCs w:val="28"/>
            </w:rPr>
            <w:t>49</w:t>
          </w:r>
          <w:bookmarkEnd w:id="38"/>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_Toc8385_WPSOffice_Level2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2cdbcaaf-1391-4f9c-998a-a9880826bf82}"/>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八、一般公共预算财政拨款基本支出决算表</w:t>
              </w:r>
            </w:sdtContent>
          </w:sdt>
          <w:r>
            <w:rPr>
              <w:sz w:val="28"/>
              <w:szCs w:val="28"/>
            </w:rPr>
            <w:tab/>
          </w:r>
          <w:bookmarkStart w:id="39" w:name="_Toc8385_WPSOffice_Level2Page"/>
          <w:r>
            <w:rPr>
              <w:sz w:val="28"/>
              <w:szCs w:val="28"/>
            </w:rPr>
            <w:t>49</w:t>
          </w:r>
          <w:bookmarkEnd w:id="39"/>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_Toc6786_WPSOffice_Level2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f6d1ee0a-4c70-473f-a10f-4eb37f6c6efb}"/>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九、一般公共预算财政拨款项目支出决算表</w:t>
              </w:r>
            </w:sdtContent>
          </w:sdt>
          <w:r>
            <w:rPr>
              <w:sz w:val="28"/>
              <w:szCs w:val="28"/>
            </w:rPr>
            <w:tab/>
          </w:r>
          <w:bookmarkStart w:id="40" w:name="_Toc6786_WPSOffice_Level2Page"/>
          <w:r>
            <w:rPr>
              <w:sz w:val="28"/>
              <w:szCs w:val="28"/>
            </w:rPr>
            <w:t>49</w:t>
          </w:r>
          <w:bookmarkEnd w:id="40"/>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_Toc29563_WPSOffice_Level2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9a6e2d1b-876c-43c0-a92c-f5df2f86f52d}"/>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十、一般公共预算财政拨款“三公”经费支出决算表</w:t>
              </w:r>
            </w:sdtContent>
          </w:sdt>
          <w:r>
            <w:rPr>
              <w:sz w:val="28"/>
              <w:szCs w:val="28"/>
            </w:rPr>
            <w:tab/>
          </w:r>
          <w:bookmarkStart w:id="41" w:name="_Toc29563_WPSOffice_Level2Page"/>
          <w:r>
            <w:rPr>
              <w:sz w:val="28"/>
              <w:szCs w:val="28"/>
            </w:rPr>
            <w:t>49</w:t>
          </w:r>
          <w:bookmarkEnd w:id="41"/>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_Toc22223_WPSOffice_Level2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154c7294-8bf2-434f-89a4-465ade5c5e16}"/>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十一、政府性基金预算财政拨款收入支出决算表</w:t>
              </w:r>
            </w:sdtContent>
          </w:sdt>
          <w:r>
            <w:rPr>
              <w:sz w:val="28"/>
              <w:szCs w:val="28"/>
            </w:rPr>
            <w:tab/>
          </w:r>
          <w:bookmarkStart w:id="42" w:name="_Toc22223_WPSOffice_Level2Page"/>
          <w:r>
            <w:rPr>
              <w:sz w:val="28"/>
              <w:szCs w:val="28"/>
            </w:rPr>
            <w:t>49</w:t>
          </w:r>
          <w:bookmarkEnd w:id="42"/>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_Toc24394_WPSOffice_Level2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ac3f82e3-1aec-4753-aa28-df417a4cdbb2}"/>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十二、政府性基金预算财政拨款“三公”经费支出决算表</w:t>
              </w:r>
            </w:sdtContent>
          </w:sdt>
          <w:r>
            <w:rPr>
              <w:sz w:val="28"/>
              <w:szCs w:val="28"/>
            </w:rPr>
            <w:tab/>
          </w:r>
          <w:bookmarkStart w:id="43" w:name="_Toc24394_WPSOffice_Level2Page"/>
          <w:r>
            <w:rPr>
              <w:sz w:val="28"/>
              <w:szCs w:val="28"/>
            </w:rPr>
            <w:t>49</w:t>
          </w:r>
          <w:bookmarkEnd w:id="43"/>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_Toc30435_WPSOffice_Level2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934ad30d-34f9-4d11-ab5a-a4657a86f7d3}"/>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十三、国有资本经营预算财政拨款收入支出决算表</w:t>
              </w:r>
            </w:sdtContent>
          </w:sdt>
          <w:r>
            <w:rPr>
              <w:sz w:val="28"/>
              <w:szCs w:val="28"/>
            </w:rPr>
            <w:tab/>
          </w:r>
          <w:bookmarkStart w:id="44" w:name="_Toc30435_WPSOffice_Level2Page"/>
          <w:r>
            <w:rPr>
              <w:sz w:val="28"/>
              <w:szCs w:val="28"/>
            </w:rPr>
            <w:t>49</w:t>
          </w:r>
          <w:bookmarkEnd w:id="44"/>
          <w:r>
            <w:rPr>
              <w:sz w:val="28"/>
              <w:szCs w:val="28"/>
            </w:rPr>
            <w:fldChar w:fldCharType="end"/>
          </w:r>
        </w:p>
        <w:p>
          <w:pPr>
            <w:pStyle w:val="35"/>
            <w:tabs>
              <w:tab w:val="right" w:leader="dot" w:pos="8306"/>
            </w:tabs>
            <w:rPr>
              <w:sz w:val="28"/>
              <w:szCs w:val="28"/>
            </w:rPr>
          </w:pPr>
          <w:r>
            <w:rPr>
              <w:sz w:val="28"/>
              <w:szCs w:val="28"/>
            </w:rPr>
            <w:fldChar w:fldCharType="begin"/>
          </w:r>
          <w:r>
            <w:rPr>
              <w:sz w:val="28"/>
              <w:szCs w:val="28"/>
            </w:rPr>
            <w:instrText xml:space="preserve"> HYPERLINK \l _Toc939_WPSOffice_Level2 </w:instrText>
          </w:r>
          <w:r>
            <w:rPr>
              <w:sz w:val="28"/>
              <w:szCs w:val="28"/>
            </w:rPr>
            <w:fldChar w:fldCharType="separate"/>
          </w:r>
          <w:sdt>
            <w:sdtPr>
              <w:rPr>
                <w:rFonts w:ascii="Times New Roman" w:hAnsi="Times New Roman" w:eastAsia="宋体" w:cs="Times New Roman"/>
                <w:kern w:val="2"/>
                <w:sz w:val="28"/>
                <w:szCs w:val="28"/>
                <w:lang w:val="en-US" w:eastAsia="zh-CN" w:bidi="ar-SA"/>
              </w:rPr>
              <w:id w:val="147467848"/>
              <w:placeholder>
                <w:docPart w:val="{460e6278-8a08-4a80-857f-46c10d7dc4a5}"/>
              </w:placeholder>
            </w:sdtPr>
            <w:sdtEndPr>
              <w:rPr>
                <w:rFonts w:ascii="Times New Roman" w:hAnsi="Times New Roman" w:eastAsia="宋体" w:cs="Times New Roman"/>
                <w:kern w:val="2"/>
                <w:sz w:val="28"/>
                <w:szCs w:val="28"/>
                <w:lang w:val="en-US" w:eastAsia="zh-CN" w:bidi="ar-SA"/>
              </w:rPr>
            </w:sdtEndPr>
            <w:sdtContent>
              <w:r>
                <w:rPr>
                  <w:rFonts w:hint="eastAsia" w:ascii="仿宋" w:hAnsi="仿宋" w:eastAsia="仿宋" w:cs="Times New Roman"/>
                  <w:sz w:val="28"/>
                  <w:szCs w:val="28"/>
                </w:rPr>
                <w:t>十四、国有资本经营预算财政拨款支出决算表</w:t>
              </w:r>
            </w:sdtContent>
          </w:sdt>
          <w:r>
            <w:rPr>
              <w:sz w:val="28"/>
              <w:szCs w:val="28"/>
            </w:rPr>
            <w:tab/>
          </w:r>
          <w:bookmarkStart w:id="45" w:name="_Toc939_WPSOffice_Level2Page"/>
          <w:r>
            <w:rPr>
              <w:sz w:val="28"/>
              <w:szCs w:val="28"/>
            </w:rPr>
            <w:t>49</w:t>
          </w:r>
          <w:bookmarkEnd w:id="45"/>
          <w:r>
            <w:rPr>
              <w:sz w:val="28"/>
              <w:szCs w:val="28"/>
            </w:rPr>
            <w:fldChar w:fldCharType="end"/>
          </w:r>
          <w:bookmarkEnd w:id="12"/>
        </w:p>
      </w:sdtContent>
    </w:sdt>
    <w:p>
      <w:pPr>
        <w:rPr>
          <w:sz w:val="28"/>
          <w:szCs w:val="28"/>
        </w:rPr>
      </w:pPr>
    </w:p>
    <w:p>
      <w:pPr>
        <w:rPr>
          <w:rFonts w:hint="eastAsia" w:ascii="黑体" w:hAnsi="黑体" w:eastAsia="黑体" w:cs="黑体"/>
          <w:b w:val="0"/>
          <w:bCs w:val="0"/>
          <w:sz w:val="28"/>
          <w:szCs w:val="28"/>
        </w:rPr>
      </w:pPr>
      <w:bookmarkStart w:id="46" w:name="_Toc15396599"/>
      <w:bookmarkStart w:id="47" w:name="_Toc15377196"/>
      <w:r>
        <w:rPr>
          <w:rFonts w:hint="eastAsia" w:ascii="黑体" w:hAnsi="黑体" w:eastAsia="黑体" w:cs="黑体"/>
          <w:b w:val="0"/>
          <w:bCs w:val="0"/>
          <w:sz w:val="28"/>
          <w:szCs w:val="28"/>
        </w:rPr>
        <w:br w:type="page"/>
      </w:r>
    </w:p>
    <w:p>
      <w:pPr>
        <w:pStyle w:val="2"/>
        <w:bidi w:val="0"/>
        <w:jc w:val="center"/>
        <w:rPr>
          <w:rFonts w:hint="eastAsia" w:ascii="黑体" w:hAnsi="黑体" w:eastAsia="黑体" w:cs="黑体"/>
          <w:b w:val="0"/>
          <w:bCs w:val="0"/>
        </w:rPr>
      </w:pPr>
      <w:bookmarkStart w:id="48" w:name="_Toc23939_WPSOffice_Level1"/>
      <w:r>
        <w:rPr>
          <w:rFonts w:hint="eastAsia" w:ascii="黑体" w:hAnsi="黑体" w:eastAsia="黑体" w:cs="黑体"/>
          <w:b w:val="0"/>
          <w:bCs w:val="0"/>
        </w:rPr>
        <w:t>第一部分 部门概况</w:t>
      </w:r>
      <w:bookmarkEnd w:id="46"/>
      <w:bookmarkEnd w:id="47"/>
      <w:bookmarkEnd w:id="48"/>
    </w:p>
    <w:p>
      <w:pPr>
        <w:bidi w:val="0"/>
        <w:ind w:firstLine="560" w:firstLineChars="200"/>
        <w:rPr>
          <w:rFonts w:hint="eastAsia" w:ascii="黑体" w:hAnsi="黑体" w:eastAsia="黑体" w:cs="黑体"/>
          <w:sz w:val="28"/>
          <w:szCs w:val="28"/>
        </w:rPr>
      </w:pPr>
      <w:bookmarkStart w:id="49" w:name="_Toc26757_WPSOffice_Level2"/>
      <w:bookmarkStart w:id="50" w:name="_Toc15377197"/>
      <w:bookmarkStart w:id="51" w:name="_Toc15396600"/>
      <w:r>
        <w:rPr>
          <w:rFonts w:hint="eastAsia" w:ascii="黑体" w:hAnsi="黑体" w:eastAsia="黑体" w:cs="黑体"/>
          <w:sz w:val="28"/>
          <w:szCs w:val="28"/>
        </w:rPr>
        <w:t>一、基本职能及主要工作</w:t>
      </w:r>
      <w:bookmarkEnd w:id="49"/>
      <w:bookmarkEnd w:id="50"/>
      <w:bookmarkEnd w:id="51"/>
    </w:p>
    <w:p>
      <w:pPr>
        <w:bidi w:val="0"/>
        <w:ind w:firstLine="560" w:firstLineChars="200"/>
        <w:rPr>
          <w:rFonts w:hint="eastAsia" w:ascii="仿宋" w:hAnsi="仿宋" w:eastAsia="仿宋" w:cs="仿宋"/>
          <w:sz w:val="28"/>
          <w:szCs w:val="28"/>
        </w:rPr>
      </w:pPr>
      <w:bookmarkStart w:id="52" w:name="_Toc15377198"/>
      <w:bookmarkStart w:id="53" w:name="_Toc15378445"/>
      <w:r>
        <w:rPr>
          <w:rFonts w:hint="eastAsia" w:ascii="仿宋" w:hAnsi="仿宋" w:eastAsia="仿宋" w:cs="仿宋"/>
          <w:sz w:val="28"/>
          <w:szCs w:val="28"/>
        </w:rPr>
        <w:t>（一）主要职能。</w:t>
      </w:r>
      <w:bookmarkEnd w:id="52"/>
      <w:bookmarkEnd w:id="53"/>
      <w:bookmarkStart w:id="54" w:name="_Toc15377199"/>
      <w:bookmarkStart w:id="55" w:name="_Toc15378446"/>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井研县社会保险事务中心提供保险服务，向企业职工和个体工商户提供养老、工伤、失业等保险服务。</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（二）20</w:t>
      </w:r>
      <w:r>
        <w:rPr>
          <w:rFonts w:hint="eastAsia" w:ascii="仿宋" w:hAnsi="仿宋" w:eastAsia="仿宋" w:cs="仿宋"/>
          <w:sz w:val="28"/>
          <w:szCs w:val="28"/>
          <w:lang w:val="en-US" w:eastAsia="zh-CN"/>
        </w:rPr>
        <w:t>20</w:t>
      </w:r>
      <w:r>
        <w:rPr>
          <w:rFonts w:hint="eastAsia" w:ascii="仿宋" w:hAnsi="仿宋" w:eastAsia="仿宋" w:cs="仿宋"/>
          <w:sz w:val="28"/>
          <w:szCs w:val="28"/>
        </w:rPr>
        <w:t>年重点工作完成情况。</w:t>
      </w:r>
      <w:bookmarkEnd w:id="54"/>
      <w:bookmarkEnd w:id="55"/>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坚决打赢疫情防控阻</w:t>
      </w:r>
      <w:bookmarkStart w:id="178" w:name="_GoBack"/>
      <w:bookmarkEnd w:id="178"/>
      <w:r>
        <w:rPr>
          <w:rFonts w:hint="eastAsia" w:ascii="仿宋" w:hAnsi="仿宋" w:eastAsia="仿宋" w:cs="仿宋"/>
          <w:sz w:val="28"/>
          <w:szCs w:val="28"/>
        </w:rPr>
        <w:t>击战</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⑴宣传控制扎实到位。新冠疫情出现以来，我中心高度重视，认真落实重大突发公共卫生事件一级响应具体要求，按照县委、县政府工作安排，每日通过LED电子显示屏进行滚动宣传，安排工作人员值守公区，做好往来人员登记工作，并抽调2名业务骨干驻扎竹园高速路口疫情防控点、2名业务骨干驻扎社区疫情防控点。我中心属窗口部门，人员流动频繁，管理较为复杂，疫情期间在中心办公地点，安排专人对前来办理业务的群众进行登记和体温检测，并对不佩戴口罩的群众进行劝阻，坚决扛起疫情防控重大政治责任。</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⑵减免缓政策落地落实。接到人社部和省人社厅文件后，我中心迅速组织专人开展工作，以参保单位为中心，采取送政策上门或电话告知方式实施全面告知，一企一访，共计走访了企业60余家，并配合市社保中心清理我县企业相关信息200余条，邮寄近400份政策纸质资料，进一步向企业宣传政策。截至2020年12月，我县减免社保：养老保险357户、5231人，养老保险单位缴费部分共2821.9万元；工伤保险439户、8524人，工伤保险单位缴费部分538.95万元；失业保险301户、4473人，失业保险单位缴费部分78.4万元；预计至2020年年底减免三项社保费约3500万元。    </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⑶卫生工作常态化。积极开展爱国卫生运动，要求全体职工都要认真参与，分组安排值班人员，保证办公区域的整洁，并在每月最后一周对公区开展大扫除。</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征收、转移稳步推进</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⑴基金征收。截至目前全县共完成各项保险费收入42107万元。基本养老保险缴费人数28814人，缴费收入24445万元；城乡居民养老保险缴费人数66543人，缴费收入5303万元；工伤保险缴费人数21007人，缴费收入624万元；机关养老保险职业年金缴费人数6151 人，养老保险缴费收入9728万元，职业年金缴费收入2007万元。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⑵转移业务。本年度共计经办各类保险转入业务总计约625项，转出业务132项。其中，城乡居民养老保险转移转入40人，转出60人；城镇职工养老保险省内转入93人，转出46 人，省外转入313人，转出23人；网上转移65人；机关社保转入28人，转出3人；接收2020年退役军人基本养老保险参保转入86人。</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待遇管理工作更加规范化</w:t>
      </w:r>
      <w:r>
        <w:rPr>
          <w:rFonts w:hint="eastAsia" w:ascii="仿宋" w:hAnsi="仿宋" w:eastAsia="仿宋" w:cs="仿宋"/>
          <w:sz w:val="28"/>
          <w:szCs w:val="28"/>
          <w:lang w:eastAsia="zh-CN"/>
        </w:rPr>
        <w:t>，</w:t>
      </w:r>
      <w:r>
        <w:rPr>
          <w:rFonts w:hint="eastAsia" w:ascii="仿宋" w:hAnsi="仿宋" w:eastAsia="仿宋" w:cs="仿宋"/>
          <w:sz w:val="28"/>
          <w:szCs w:val="28"/>
        </w:rPr>
        <w:t>按经办规程，完成了本年度的养老保险、工伤工伤保险的待遇核定、待遇支付、待遇调整、待遇资格认证等工作。</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⑴待遇核定支付情况。共计完成待遇核定2633人，其中机关保险新退休112人；城镇职工养老保险新退休1416人；工伤一次性待遇核定290人次(其中工亡待遇核定4人，定期待遇新核定4人)；城乡居民养老保险待遇1074人（其中到龄贫困人员131人）。共审核通过各类人员死亡丧葬办理申请2978人（其中城镇职工养老保险办理丧葬业务537人，工伤待遇人员办理丧葬业务4人），累计发放丧葬抚恤金1734万元（含工亡补助金）。</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兑现被征地农民26人一次性退费358万元；发放31人生活补贴26.5万元；支付539人次职工工伤保险待遇556万元。按时为全县10.8万余名退休人员发放养老金12169.6万元。</w:t>
      </w:r>
    </w:p>
    <w:p>
      <w:pPr>
        <w:bidi w:val="0"/>
        <w:rPr>
          <w:rFonts w:hint="eastAsia" w:ascii="仿宋" w:hAnsi="仿宋" w:eastAsia="仿宋" w:cs="仿宋"/>
          <w:sz w:val="28"/>
          <w:szCs w:val="28"/>
        </w:rPr>
      </w:pPr>
      <w:r>
        <w:rPr>
          <w:rFonts w:hint="eastAsia" w:ascii="仿宋" w:hAnsi="仿宋" w:eastAsia="仿宋" w:cs="仿宋"/>
          <w:sz w:val="28"/>
          <w:szCs w:val="28"/>
        </w:rPr>
        <w:t>在疫情防控期间，为切实维护参保人员养老保险权益，经退休人员申请，为达到按月领取基本养老金条件的823名参保人员预发待遇每月800元。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⑵调待工作完成情况。圆满完成了全县机关及企业49000余名退休人员的2020年度调待工作，共计调待补发金额3171万元，所有调待金额已于7月底发放至退休人员账户。</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⑶完成“中人”待遇补发。我中心认真组织、广泛宣传，积极对接省、市级经办人员处理问题数据，督促单位与退休人员做到人人见面，耐心细致解答单位和退休人员的疑惑。完成第一批2014、2015年退休“中人”待遇重算共计241人，重算后累计发放养老金1261493.95元；重算后补发241人，补发金额10264224.63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审计稽核24小时“不断电”</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⑴实地稽核。对全县436家企业（不包括财政供养单位和10家大型企业）参保情况进行了摸底调查，共计8721人参加社会保险，其中只有196家企业为员工参齐了三险，涉及员工2213人；110家企业为员工只参加工伤保险未参加养老和失业保险，涉及员工1354人；另有130家企业选择性参保，涉及员工5154人。</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截至2020年12月，我县一共有28家企业欠费总金额超过5万元，发放欠费金额确认书和催缴通知书共计50余份，对其中欠款金额较大的11家企业依据21号令启动清欠程序，目前追回社保签发589429.57元。根据相关文件要求，依法对社会保险基金网络监督一人在不同统筹区同时缴费预警信息进行核查，目前一共对2人进行了核查。</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⑵自查自纠。对我中心各股室的经办重点工作风险点按时梳理，截至目前，共计核查数据600余条，发现问题9起，均已协调各股室实施整改。</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⑶补缴情况。共完成依法补缴28家企业，工龄补缴24人。并协助退役军人事务局完成军龄补缴审核609人，完成养老保险系统缴费年限录入384人，另有8人放弃缴费，217人不需要缴费，完成率达100%。</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⑷冒领追缴工作情况。今年我中心主动发现一起死亡冒领案件，涉及社保资金41167.52元，目前该案件正在法院审理中。排查服刑人员多领取养老待遇违规人数21人，违规金额111938.44元，共追回12人18752.1元，另有68328.42元将按照每月扣减的方式追回，我中心将继续追回剩余9名服刑人员多领取的养老待遇24857.92元。追回冒领待遇123人，42万余元，其中机关保险待遇追回8人，3.9万余元，城镇职工社会养老保险14人，21万余元，城乡居民社会养老保险追回101人，16.4万余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征地工作持续到位</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积极协助各相关单位开展2020年征地工作，目前已为地塘角村6组征地项目和商贸城用地征地拆迁项目开展了养老保险划转及代缴工作。涉及1206人次职工基本养老保险代缴780523.2元；80人城乡居民基本养老保险个人账户划转5415019.2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社保扶贫助力脱贫攻坚</w:t>
      </w:r>
    </w:p>
    <w:p>
      <w:pPr>
        <w:bidi w:val="0"/>
        <w:rPr>
          <w:rFonts w:hint="eastAsia" w:ascii="仿宋" w:hAnsi="仿宋" w:eastAsia="仿宋" w:cs="仿宋"/>
          <w:sz w:val="28"/>
          <w:szCs w:val="28"/>
        </w:rPr>
      </w:pPr>
      <w:r>
        <w:rPr>
          <w:rFonts w:hint="eastAsia" w:ascii="仿宋" w:hAnsi="仿宋" w:eastAsia="仿宋" w:cs="仿宋"/>
          <w:sz w:val="28"/>
          <w:szCs w:val="28"/>
        </w:rPr>
        <w:t>贫困人员参保全覆盖。为保障符合代缴条件的贫困人员及时享受及知晓社保相关政策，我中心实地走访部分贫困户，宣传社保扶贫政策。截至12月，共为16560名特殊人员进行了代缴，特殊人员参保代缴完成率达100%，协助代缴完成率达100%，截至目前代缴人员所需资金已经向县级财政部门申请，并已全额拨款到账。所有到龄贫困人员待遇均已按时发放。</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做好连接省社保系统工作</w:t>
      </w:r>
    </w:p>
    <w:p>
      <w:pPr>
        <w:bidi w:val="0"/>
        <w:rPr>
          <w:rFonts w:hint="eastAsia" w:ascii="仿宋" w:hAnsi="仿宋" w:eastAsia="仿宋" w:cs="仿宋"/>
          <w:sz w:val="28"/>
          <w:szCs w:val="28"/>
        </w:rPr>
      </w:pPr>
      <w:r>
        <w:rPr>
          <w:rFonts w:hint="eastAsia" w:ascii="仿宋" w:hAnsi="仿宋" w:eastAsia="仿宋" w:cs="仿宋"/>
          <w:sz w:val="28"/>
          <w:szCs w:val="28"/>
        </w:rPr>
        <w:t>配合市局做好我市社会保险（养老、失业、工伤保险）信息系统切换至全省社会保险信息系统准备工作，共计清理梳理我县400余家企业信息，1万多名参保人参保数据。2020年10月顺利切换至全省社会保险信息系统。</w:t>
      </w:r>
    </w:p>
    <w:p>
      <w:pPr>
        <w:bidi w:val="0"/>
        <w:ind w:firstLine="560" w:firstLineChars="200"/>
        <w:rPr>
          <w:rFonts w:hint="eastAsia" w:ascii="黑体" w:hAnsi="黑体" w:eastAsia="黑体" w:cs="黑体"/>
          <w:sz w:val="28"/>
          <w:szCs w:val="28"/>
          <w:lang w:val="en-US" w:eastAsia="zh-CN"/>
        </w:rPr>
      </w:pPr>
      <w:bookmarkStart w:id="56" w:name="_Toc29645_WPSOffice_Level2"/>
      <w:bookmarkStart w:id="57" w:name="_Toc15396601"/>
      <w:bookmarkStart w:id="58" w:name="_Toc15377200"/>
      <w:r>
        <w:rPr>
          <w:rFonts w:hint="eastAsia" w:ascii="黑体" w:hAnsi="黑体" w:eastAsia="黑体" w:cs="黑体"/>
          <w:sz w:val="28"/>
          <w:szCs w:val="28"/>
          <w:lang w:val="en-US" w:eastAsia="zh-CN"/>
        </w:rPr>
        <w:t>二、机构设置</w:t>
      </w:r>
      <w:bookmarkEnd w:id="56"/>
      <w:bookmarkEnd w:id="57"/>
      <w:bookmarkEnd w:id="58"/>
    </w:p>
    <w:p>
      <w:p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井研县社会保险事务中心下属二级单位0个，其中行政单位0个，参照公务员法管理的事业单位1个，其他事业单位1个。</w:t>
      </w:r>
    </w:p>
    <w:p>
      <w:p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纳入井研县社会保险事务中心2020年度部门决算编制范围的二级预算单位包括：无下属单位。</w:t>
      </w: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ind w:firstLine="560" w:firstLineChars="200"/>
        <w:rPr>
          <w:rFonts w:hint="eastAsia" w:ascii="仿宋" w:hAnsi="仿宋" w:eastAsia="仿宋" w:cs="仿宋"/>
          <w:sz w:val="28"/>
          <w:szCs w:val="28"/>
          <w:lang w:val="en-US" w:eastAsia="zh-CN"/>
        </w:rPr>
      </w:pPr>
    </w:p>
    <w:p>
      <w:pPr>
        <w:bidi w:val="0"/>
        <w:rPr>
          <w:rFonts w:hint="eastAsia" w:ascii="仿宋" w:hAnsi="仿宋" w:eastAsia="仿宋" w:cs="仿宋"/>
          <w:sz w:val="28"/>
          <w:szCs w:val="28"/>
          <w:lang w:val="en-US" w:eastAsia="zh-CN"/>
        </w:rPr>
      </w:pPr>
    </w:p>
    <w:p>
      <w:pPr>
        <w:bidi w:val="0"/>
        <w:rPr>
          <w:rFonts w:hint="eastAsia" w:ascii="仿宋" w:hAnsi="仿宋" w:eastAsia="仿宋" w:cs="仿宋"/>
          <w:sz w:val="28"/>
          <w:szCs w:val="28"/>
          <w:lang w:val="en-US" w:eastAsia="zh-CN"/>
        </w:rPr>
      </w:pPr>
    </w:p>
    <w:p>
      <w:pPr>
        <w:pStyle w:val="2"/>
        <w:numPr>
          <w:ilvl w:val="0"/>
          <w:numId w:val="2"/>
        </w:numPr>
        <w:bidi w:val="0"/>
        <w:jc w:val="center"/>
        <w:rPr>
          <w:rFonts w:hint="eastAsia" w:ascii="黑体" w:hAnsi="黑体" w:eastAsia="黑体" w:cs="黑体"/>
          <w:b w:val="0"/>
          <w:bCs w:val="0"/>
        </w:rPr>
      </w:pPr>
      <w:bookmarkStart w:id="59" w:name="_Toc15396602"/>
      <w:bookmarkStart w:id="60" w:name="_Toc26757_WPSOffice_Level1"/>
      <w:bookmarkStart w:id="61" w:name="_Toc15377204"/>
      <w:r>
        <w:rPr>
          <w:rFonts w:hint="eastAsia" w:ascii="黑体" w:hAnsi="黑体" w:eastAsia="黑体" w:cs="黑体"/>
          <w:b w:val="0"/>
          <w:bCs w:val="0"/>
          <w:lang w:eastAsia="zh-CN"/>
        </w:rPr>
        <w:t>2020</w:t>
      </w:r>
      <w:r>
        <w:rPr>
          <w:rFonts w:hint="eastAsia" w:ascii="黑体" w:hAnsi="黑体" w:eastAsia="黑体" w:cs="黑体"/>
          <w:b w:val="0"/>
          <w:bCs w:val="0"/>
        </w:rPr>
        <w:t>年度部门决算情况说明</w:t>
      </w:r>
      <w:bookmarkEnd w:id="59"/>
      <w:bookmarkEnd w:id="60"/>
      <w:bookmarkEnd w:id="61"/>
      <w:bookmarkStart w:id="62" w:name="_Toc15396603"/>
      <w:bookmarkStart w:id="63" w:name="_Toc15377205"/>
    </w:p>
    <w:p>
      <w:pPr>
        <w:pStyle w:val="2"/>
        <w:pageBreakBefore w:val="0"/>
        <w:widowControl w:val="0"/>
        <w:numPr>
          <w:ilvl w:val="0"/>
          <w:numId w:val="0"/>
        </w:numPr>
        <w:kinsoku/>
        <w:wordWrap/>
        <w:overflowPunct/>
        <w:topLinePunct w:val="0"/>
        <w:autoSpaceDE/>
        <w:autoSpaceDN/>
        <w:bidi w:val="0"/>
        <w:adjustRightInd/>
        <w:snapToGrid/>
        <w:spacing w:line="240" w:lineRule="auto"/>
        <w:ind w:right="440" w:rightChars="0"/>
        <w:jc w:val="both"/>
        <w:textAlignment w:val="auto"/>
        <w:rPr>
          <w:rStyle w:val="29"/>
          <w:rFonts w:hint="eastAsia" w:ascii="黑体" w:hAnsi="黑体" w:eastAsia="黑体" w:cs="黑体"/>
          <w:b w:val="0"/>
          <w:bCs/>
          <w:sz w:val="28"/>
          <w:szCs w:val="28"/>
        </w:rPr>
      </w:pPr>
      <w:r>
        <w:rPr>
          <w:rFonts w:hint="eastAsia" w:ascii="黑体" w:hAnsi="黑体" w:eastAsia="黑体" w:cs="黑体"/>
          <w:b w:val="0"/>
          <w:bCs w:val="0"/>
          <w:color w:val="000000"/>
          <w:sz w:val="28"/>
          <w:szCs w:val="28"/>
          <w:lang w:val="en-US" w:eastAsia="zh-CN"/>
        </w:rPr>
        <w:t xml:space="preserve">    </w:t>
      </w:r>
      <w:bookmarkStart w:id="64" w:name="_Toc3020_WPSOffice_Level2"/>
      <w:r>
        <w:rPr>
          <w:rFonts w:hint="eastAsia" w:ascii="黑体" w:hAnsi="黑体" w:eastAsia="黑体" w:cs="黑体"/>
          <w:b w:val="0"/>
          <w:bCs w:val="0"/>
          <w:color w:val="000000"/>
          <w:sz w:val="28"/>
          <w:szCs w:val="28"/>
          <w:lang w:val="en-US" w:eastAsia="zh-CN"/>
        </w:rPr>
        <w:t>一、</w:t>
      </w:r>
      <w:r>
        <w:rPr>
          <w:rFonts w:hint="eastAsia" w:ascii="黑体" w:hAnsi="黑体" w:eastAsia="黑体" w:cs="黑体"/>
          <w:b w:val="0"/>
          <w:bCs w:val="0"/>
          <w:color w:val="000000"/>
          <w:sz w:val="28"/>
          <w:szCs w:val="28"/>
        </w:rPr>
        <w:t>收</w:t>
      </w:r>
      <w:r>
        <w:rPr>
          <w:rStyle w:val="29"/>
          <w:rFonts w:hint="eastAsia" w:ascii="黑体" w:hAnsi="黑体" w:eastAsia="黑体" w:cs="黑体"/>
          <w:b w:val="0"/>
          <w:bCs/>
          <w:sz w:val="28"/>
          <w:szCs w:val="28"/>
        </w:rPr>
        <w:t>入支出决算总体情况说明</w:t>
      </w:r>
      <w:bookmarkEnd w:id="62"/>
      <w:bookmarkEnd w:id="63"/>
      <w:bookmarkEnd w:id="64"/>
    </w:p>
    <w:p>
      <w:pPr>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kern w:val="2"/>
          <w:sz w:val="28"/>
          <w:szCs w:val="28"/>
          <w:lang w:val="en-US" w:eastAsia="zh-CN" w:bidi="ar-SA"/>
        </w:rPr>
        <w:t>2020年度收入总计1935.99万元。与2019年相比，收、支总计2397.39万减少461.4万元，下降23.83%。主要变动原因是:原</w:t>
      </w:r>
      <w:r>
        <w:rPr>
          <w:rFonts w:hint="eastAsia" w:ascii="仿宋" w:hAnsi="仿宋" w:eastAsia="仿宋" w:cs="仿宋"/>
          <w:color w:val="000000"/>
          <w:sz w:val="28"/>
          <w:szCs w:val="28"/>
        </w:rPr>
        <w:t>为贫困人口</w:t>
      </w:r>
      <w:r>
        <w:rPr>
          <w:rFonts w:hint="eastAsia" w:ascii="仿宋" w:hAnsi="仿宋" w:eastAsia="仿宋" w:cs="仿宋"/>
          <w:color w:val="000000"/>
          <w:sz w:val="28"/>
          <w:szCs w:val="28"/>
          <w:lang w:eastAsia="zh-CN"/>
        </w:rPr>
        <w:t>、特困人员、低保对象、残疾人代缴医疗保险费工作现交由医保局负责，项目资金减少。</w:t>
      </w:r>
    </w:p>
    <w:p>
      <w:pPr>
        <w:pageBreakBefore w:val="0"/>
        <w:kinsoku/>
        <w:wordWrap/>
        <w:overflowPunct/>
        <w:topLinePunct w:val="0"/>
        <w:bidi w:val="0"/>
        <w:adjustRightInd/>
        <w:snapToGrid/>
        <w:spacing w:line="640" w:lineRule="exact"/>
        <w:rPr>
          <w:rFonts w:hint="eastAsia" w:ascii="仿宋" w:hAnsi="仿宋" w:eastAsia="仿宋" w:cs="仿宋"/>
          <w:b w:val="0"/>
          <w:bCs w:val="0"/>
          <w:kern w:val="2"/>
          <w:sz w:val="28"/>
          <w:szCs w:val="28"/>
          <w:lang w:val="en-US" w:eastAsia="zh-CN" w:bidi="ar-SA"/>
        </w:rPr>
      </w:pPr>
      <w:r>
        <w:rPr>
          <w:rFonts w:hint="eastAsia" w:ascii="仿宋" w:hAnsi="仿宋" w:eastAsia="仿宋" w:cs="仿宋"/>
          <w:color w:val="000000"/>
          <w:sz w:val="32"/>
          <w:szCs w:val="32"/>
          <w:lang w:val="en-US" w:eastAsia="zh-CN"/>
        </w:rPr>
        <w:drawing>
          <wp:anchor distT="0" distB="0" distL="114300" distR="114300" simplePos="0" relativeHeight="251663360" behindDoc="0" locked="0" layoutInCell="1" allowOverlap="1">
            <wp:simplePos x="0" y="0"/>
            <wp:positionH relativeFrom="column">
              <wp:posOffset>107950</wp:posOffset>
            </wp:positionH>
            <wp:positionV relativeFrom="paragraph">
              <wp:posOffset>8255</wp:posOffset>
            </wp:positionV>
            <wp:extent cx="4898390" cy="3380740"/>
            <wp:effectExtent l="4445" t="4445" r="12065" b="571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19"/>
        <w:pageBreakBefore w:val="0"/>
        <w:numPr>
          <w:ilvl w:val="0"/>
          <w:numId w:val="0"/>
        </w:numPr>
        <w:kinsoku/>
        <w:wordWrap/>
        <w:overflowPunct/>
        <w:topLinePunct w:val="0"/>
        <w:bidi w:val="0"/>
        <w:adjustRightInd/>
        <w:snapToGrid/>
        <w:spacing w:line="640" w:lineRule="exact"/>
        <w:ind w:left="640" w:leftChars="0"/>
        <w:outlineLvl w:val="1"/>
        <w:rPr>
          <w:rFonts w:hint="eastAsia" w:ascii="黑体" w:hAnsi="黑体" w:eastAsia="黑体" w:cs="黑体"/>
          <w:b w:val="0"/>
          <w:bCs w:val="0"/>
          <w:kern w:val="2"/>
          <w:sz w:val="28"/>
          <w:szCs w:val="28"/>
          <w:lang w:val="en-US" w:eastAsia="zh-CN" w:bidi="ar-SA"/>
        </w:rPr>
      </w:pPr>
      <w:bookmarkStart w:id="65" w:name="_Toc16247_WPSOffice_Level2"/>
      <w:bookmarkStart w:id="66" w:name="_Toc15377206"/>
      <w:bookmarkStart w:id="67" w:name="_Toc15396604"/>
      <w:r>
        <w:rPr>
          <w:rFonts w:hint="eastAsia" w:ascii="黑体" w:hAnsi="黑体" w:eastAsia="黑体" w:cs="黑体"/>
          <w:b w:val="0"/>
          <w:bCs w:val="0"/>
          <w:kern w:val="2"/>
          <w:sz w:val="28"/>
          <w:szCs w:val="28"/>
          <w:lang w:val="en-US" w:eastAsia="zh-CN" w:bidi="ar-SA"/>
        </w:rPr>
        <w:t>二、收入决算情况说明</w:t>
      </w:r>
      <w:bookmarkEnd w:id="65"/>
      <w:bookmarkEnd w:id="66"/>
      <w:bookmarkEnd w:id="67"/>
    </w:p>
    <w:p>
      <w:pPr>
        <w:pageBreakBefore w:val="0"/>
        <w:kinsoku/>
        <w:wordWrap/>
        <w:overflowPunct/>
        <w:topLinePunct w:val="0"/>
        <w:bidi w:val="0"/>
        <w:adjustRightInd/>
        <w:snapToGrid/>
        <w:spacing w:line="640" w:lineRule="exact"/>
        <w:ind w:firstLine="560" w:firstLineChars="200"/>
        <w:outlineLvl w:val="1"/>
        <w:rPr>
          <w:rFonts w:hint="eastAsia" w:ascii="仿宋" w:hAnsi="仿宋" w:eastAsia="仿宋" w:cs="仿宋"/>
          <w:color w:val="FF0000"/>
          <w:sz w:val="28"/>
          <w:szCs w:val="28"/>
        </w:rPr>
      </w:pPr>
      <w:r>
        <w:rPr>
          <w:rFonts w:hint="eastAsia" w:ascii="仿宋" w:hAnsi="仿宋" w:eastAsia="仿宋" w:cs="仿宋"/>
          <w:b w:val="0"/>
          <w:bCs w:val="0"/>
          <w:kern w:val="2"/>
          <w:sz w:val="28"/>
          <w:szCs w:val="28"/>
          <w:lang w:val="en-US" w:eastAsia="zh-CN" w:bidi="ar-SA"/>
        </w:rPr>
        <w:t>2020年本年收入合计1935.99万元，其中：一般公共预算财政拨款收入1935.97万元，占99.99%；政府</w:t>
      </w:r>
      <w:r>
        <w:rPr>
          <w:rFonts w:hint="eastAsia" w:ascii="仿宋" w:hAnsi="仿宋" w:eastAsia="仿宋" w:cs="仿宋"/>
          <w:color w:val="000000"/>
          <w:sz w:val="28"/>
          <w:szCs w:val="28"/>
          <w:lang w:eastAsia="zh-CN"/>
        </w:rPr>
        <w:t>性基金预算财政拨款收入</w:t>
      </w:r>
      <w:r>
        <w:rPr>
          <w:rFonts w:hint="eastAsia" w:ascii="仿宋" w:hAnsi="仿宋" w:eastAsia="仿宋" w:cs="仿宋"/>
          <w:color w:val="000000"/>
          <w:sz w:val="28"/>
          <w:szCs w:val="28"/>
          <w:lang w:val="en-US" w:eastAsia="zh-CN"/>
        </w:rPr>
        <w:t>0万元，占比0%；上级补助收入0万元，占比0%；</w:t>
      </w:r>
      <w:r>
        <w:rPr>
          <w:rFonts w:hint="eastAsia" w:ascii="仿宋" w:hAnsi="仿宋" w:eastAsia="仿宋" w:cs="仿宋"/>
          <w:color w:val="000000"/>
          <w:sz w:val="28"/>
          <w:szCs w:val="28"/>
        </w:rPr>
        <w:t>事业收入</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经营收入0万元，占比0%；附属单位上缴收入0万元，占比0%；</w:t>
      </w:r>
      <w:r>
        <w:rPr>
          <w:rFonts w:hint="eastAsia" w:ascii="仿宋" w:hAnsi="仿宋" w:eastAsia="仿宋" w:cs="仿宋"/>
          <w:color w:val="000000"/>
          <w:sz w:val="28"/>
          <w:szCs w:val="28"/>
        </w:rPr>
        <w:t>其他收入</w:t>
      </w:r>
      <w:r>
        <w:rPr>
          <w:rFonts w:hint="eastAsia" w:ascii="仿宋" w:hAnsi="仿宋" w:eastAsia="仿宋" w:cs="仿宋"/>
          <w:color w:val="000000"/>
          <w:sz w:val="28"/>
          <w:szCs w:val="28"/>
          <w:lang w:val="en-US" w:eastAsia="zh-CN"/>
        </w:rPr>
        <w:t>0.02</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0.01</w:t>
      </w:r>
      <w:r>
        <w:rPr>
          <w:rFonts w:hint="eastAsia" w:ascii="仿宋" w:hAnsi="仿宋" w:eastAsia="仿宋" w:cs="仿宋"/>
          <w:color w:val="000000"/>
          <w:sz w:val="28"/>
          <w:szCs w:val="28"/>
        </w:rPr>
        <w:t>%。</w:t>
      </w:r>
    </w:p>
    <w:p>
      <w:pPr>
        <w:pStyle w:val="19"/>
        <w:pageBreakBefore w:val="0"/>
        <w:numPr>
          <w:ilvl w:val="0"/>
          <w:numId w:val="0"/>
        </w:numPr>
        <w:kinsoku/>
        <w:wordWrap/>
        <w:overflowPunct/>
        <w:topLinePunct w:val="0"/>
        <w:bidi w:val="0"/>
        <w:adjustRightInd/>
        <w:snapToGrid/>
        <w:spacing w:line="640" w:lineRule="exact"/>
        <w:ind w:firstLine="560" w:firstLineChars="200"/>
        <w:outlineLvl w:val="1"/>
        <w:rPr>
          <w:rFonts w:hint="eastAsia"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drawing>
          <wp:anchor distT="0" distB="0" distL="114300" distR="114300" simplePos="0" relativeHeight="251659264" behindDoc="0" locked="0" layoutInCell="1" allowOverlap="1">
            <wp:simplePos x="0" y="0"/>
            <wp:positionH relativeFrom="column">
              <wp:posOffset>77470</wp:posOffset>
            </wp:positionH>
            <wp:positionV relativeFrom="paragraph">
              <wp:posOffset>184785</wp:posOffset>
            </wp:positionV>
            <wp:extent cx="5080000" cy="3460750"/>
            <wp:effectExtent l="4445" t="4445" r="20955" b="2095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黑体" w:hAnsi="黑体" w:eastAsia="黑体" w:cs="黑体"/>
          <w:color w:val="000000"/>
          <w:kern w:val="2"/>
          <w:sz w:val="28"/>
          <w:szCs w:val="28"/>
          <w:lang w:val="en-US" w:eastAsia="zh-CN" w:bidi="ar-SA"/>
        </w:rPr>
        <w:t>三、支出决算情况说明</w:t>
      </w:r>
    </w:p>
    <w:p>
      <w:pPr>
        <w:pageBreakBefore w:val="0"/>
        <w:kinsoku/>
        <w:wordWrap/>
        <w:overflowPunct/>
        <w:topLinePunct w:val="0"/>
        <w:bidi w:val="0"/>
        <w:adjustRightInd/>
        <w:snapToGrid/>
        <w:spacing w:line="640" w:lineRule="exact"/>
        <w:ind w:firstLine="560" w:firstLineChars="200"/>
        <w:outlineLvl w:val="1"/>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年本年支出合计</w:t>
      </w:r>
      <w:r>
        <w:rPr>
          <w:rFonts w:hint="eastAsia" w:ascii="仿宋" w:hAnsi="仿宋" w:eastAsia="仿宋" w:cs="仿宋"/>
          <w:color w:val="000000"/>
          <w:sz w:val="28"/>
          <w:szCs w:val="28"/>
          <w:lang w:val="en-US" w:eastAsia="zh-CN"/>
        </w:rPr>
        <w:t>1933.85</w:t>
      </w:r>
      <w:r>
        <w:rPr>
          <w:rFonts w:hint="eastAsia" w:ascii="仿宋" w:hAnsi="仿宋" w:eastAsia="仿宋" w:cs="仿宋"/>
          <w:color w:val="000000"/>
          <w:sz w:val="28"/>
          <w:szCs w:val="28"/>
        </w:rPr>
        <w:t>万元，其中：基本支出</w:t>
      </w:r>
      <w:r>
        <w:rPr>
          <w:rFonts w:hint="eastAsia" w:ascii="仿宋" w:hAnsi="仿宋" w:eastAsia="仿宋" w:cs="仿宋"/>
          <w:color w:val="000000"/>
          <w:sz w:val="28"/>
          <w:szCs w:val="28"/>
          <w:lang w:val="en-US" w:eastAsia="zh-CN"/>
        </w:rPr>
        <w:t>554.05</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28.65</w:t>
      </w:r>
      <w:r>
        <w:rPr>
          <w:rFonts w:hint="eastAsia" w:ascii="仿宋" w:hAnsi="仿宋" w:eastAsia="仿宋" w:cs="仿宋"/>
          <w:color w:val="000000"/>
          <w:sz w:val="28"/>
          <w:szCs w:val="28"/>
        </w:rPr>
        <w:t>%；项目支出</w:t>
      </w:r>
      <w:r>
        <w:rPr>
          <w:rFonts w:hint="eastAsia" w:ascii="仿宋" w:hAnsi="仿宋" w:eastAsia="仿宋" w:cs="仿宋"/>
          <w:color w:val="000000"/>
          <w:sz w:val="28"/>
          <w:szCs w:val="28"/>
          <w:lang w:val="en-US" w:eastAsia="zh-CN"/>
        </w:rPr>
        <w:t>1379.80</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71.35</w:t>
      </w:r>
      <w:r>
        <w:rPr>
          <w:rFonts w:hint="eastAsia" w:ascii="仿宋" w:hAnsi="仿宋" w:eastAsia="仿宋" w:cs="仿宋"/>
          <w:color w:val="000000"/>
          <w:sz w:val="28"/>
          <w:szCs w:val="28"/>
        </w:rPr>
        <w:t>%；上缴上级支出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%；经营支出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%；对附属单位补助支出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w:t>
      </w:r>
    </w:p>
    <w:p>
      <w:pPr>
        <w:pageBreakBefore w:val="0"/>
        <w:kinsoku/>
        <w:wordWrap/>
        <w:overflowPunct/>
        <w:topLinePunct w:val="0"/>
        <w:bidi w:val="0"/>
        <w:adjustRightInd/>
        <w:snapToGrid/>
        <w:spacing w:line="640" w:lineRule="exact"/>
        <w:outlineLvl w:val="1"/>
        <w:rPr>
          <w:rFonts w:hint="eastAsia" w:ascii="仿宋" w:hAnsi="仿宋" w:eastAsia="仿宋" w:cs="仿宋"/>
          <w:color w:val="FF0000"/>
          <w:sz w:val="28"/>
          <w:szCs w:val="28"/>
        </w:rPr>
      </w:pPr>
      <w:r>
        <w:rPr>
          <w:rFonts w:hint="eastAsia" w:ascii="仿宋" w:hAnsi="仿宋" w:eastAsia="仿宋" w:cs="仿宋"/>
          <w:color w:val="000000"/>
          <w:sz w:val="28"/>
          <w:szCs w:val="28"/>
          <w:lang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194945</wp:posOffset>
            </wp:positionV>
            <wp:extent cx="5080000" cy="2752725"/>
            <wp:effectExtent l="4445" t="4445" r="20955" b="50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560" w:firstLineChars="200"/>
        <w:rPr>
          <w:rFonts w:hint="eastAsia" w:ascii="黑体" w:hAnsi="黑体" w:eastAsia="黑体" w:cs="黑体"/>
          <w:color w:val="000000"/>
          <w:sz w:val="28"/>
          <w:szCs w:val="28"/>
          <w:lang w:val="en-US" w:eastAsia="zh-CN"/>
        </w:rPr>
      </w:pPr>
      <w:bookmarkStart w:id="68" w:name="_Toc30196_WPSOffice_Level2"/>
      <w:r>
        <w:rPr>
          <w:rFonts w:hint="eastAsia" w:ascii="黑体" w:hAnsi="黑体" w:eastAsia="黑体" w:cs="黑体"/>
          <w:color w:val="000000"/>
          <w:sz w:val="28"/>
          <w:szCs w:val="28"/>
          <w:lang w:val="en-US" w:eastAsia="zh-CN"/>
        </w:rPr>
        <w:t>四、财政拨款收入支出决算总体情况说明</w:t>
      </w:r>
      <w:bookmarkEnd w:id="68"/>
    </w:p>
    <w:p>
      <w:pPr>
        <w:pageBreakBefore w:val="0"/>
        <w:kinsoku/>
        <w:wordWrap/>
        <w:overflowPunct/>
        <w:topLinePunct w:val="0"/>
        <w:bidi w:val="0"/>
        <w:adjustRightInd/>
        <w:snapToGrid/>
        <w:spacing w:line="640" w:lineRule="exa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drawing>
          <wp:anchor distT="0" distB="0" distL="114300" distR="114300" simplePos="0" relativeHeight="251661312" behindDoc="0" locked="0" layoutInCell="1" allowOverlap="1">
            <wp:simplePos x="0" y="0"/>
            <wp:positionH relativeFrom="column">
              <wp:posOffset>120650</wp:posOffset>
            </wp:positionH>
            <wp:positionV relativeFrom="paragraph">
              <wp:posOffset>1600835</wp:posOffset>
            </wp:positionV>
            <wp:extent cx="4898390" cy="2954655"/>
            <wp:effectExtent l="4445" t="4445" r="12065" b="1270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s="仿宋"/>
          <w:color w:val="000000"/>
          <w:sz w:val="28"/>
          <w:szCs w:val="28"/>
          <w:lang w:val="en-US" w:eastAsia="zh-CN"/>
        </w:rPr>
        <w:t>2020</w:t>
      </w:r>
      <w:r>
        <w:rPr>
          <w:rFonts w:hint="eastAsia" w:ascii="仿宋" w:hAnsi="仿宋" w:eastAsia="仿宋" w:cs="仿宋"/>
          <w:color w:val="000000"/>
          <w:sz w:val="28"/>
          <w:szCs w:val="28"/>
        </w:rPr>
        <w:t>年财政拨款</w:t>
      </w:r>
      <w:r>
        <w:rPr>
          <w:rFonts w:hint="eastAsia" w:ascii="仿宋" w:hAnsi="仿宋" w:eastAsia="仿宋" w:cs="仿宋"/>
          <w:color w:val="000000"/>
          <w:sz w:val="28"/>
          <w:szCs w:val="28"/>
          <w:lang w:eastAsia="zh-CN"/>
        </w:rPr>
        <w:t>支出</w:t>
      </w:r>
      <w:r>
        <w:rPr>
          <w:rFonts w:hint="eastAsia" w:ascii="仿宋" w:hAnsi="仿宋" w:eastAsia="仿宋" w:cs="仿宋"/>
          <w:color w:val="000000"/>
          <w:sz w:val="28"/>
          <w:szCs w:val="28"/>
        </w:rPr>
        <w:t>总计</w:t>
      </w:r>
      <w:r>
        <w:rPr>
          <w:rFonts w:hint="eastAsia" w:ascii="仿宋" w:hAnsi="仿宋" w:eastAsia="仿宋" w:cs="仿宋"/>
          <w:color w:val="000000"/>
          <w:sz w:val="28"/>
          <w:szCs w:val="28"/>
          <w:lang w:val="en-US" w:eastAsia="zh-CN"/>
        </w:rPr>
        <w:t>1933.85</w:t>
      </w:r>
      <w:r>
        <w:rPr>
          <w:rFonts w:hint="eastAsia" w:ascii="仿宋" w:hAnsi="仿宋" w:eastAsia="仿宋" w:cs="仿宋"/>
          <w:color w:val="000000"/>
          <w:sz w:val="28"/>
          <w:szCs w:val="28"/>
        </w:rPr>
        <w:t>万元。与</w:t>
      </w:r>
      <w:r>
        <w:rPr>
          <w:rFonts w:hint="eastAsia" w:ascii="仿宋" w:hAnsi="仿宋" w:eastAsia="仿宋" w:cs="仿宋"/>
          <w:color w:val="000000"/>
          <w:sz w:val="28"/>
          <w:szCs w:val="28"/>
          <w:lang w:val="en-US" w:eastAsia="zh-CN"/>
        </w:rPr>
        <w:t>2019</w:t>
      </w:r>
      <w:r>
        <w:rPr>
          <w:rFonts w:hint="eastAsia" w:ascii="仿宋" w:hAnsi="仿宋" w:eastAsia="仿宋" w:cs="仿宋"/>
          <w:color w:val="000000"/>
          <w:sz w:val="28"/>
          <w:szCs w:val="28"/>
        </w:rPr>
        <w:t>年本年支出合计</w:t>
      </w:r>
      <w:r>
        <w:rPr>
          <w:rFonts w:hint="eastAsia" w:ascii="仿宋" w:hAnsi="仿宋" w:eastAsia="仿宋" w:cs="仿宋"/>
          <w:color w:val="000000"/>
          <w:sz w:val="28"/>
          <w:szCs w:val="28"/>
          <w:lang w:val="en-US" w:eastAsia="zh-CN"/>
        </w:rPr>
        <w:t>2409.39万元</w:t>
      </w:r>
      <w:r>
        <w:rPr>
          <w:rFonts w:hint="eastAsia" w:ascii="仿宋" w:hAnsi="仿宋" w:eastAsia="仿宋" w:cs="仿宋"/>
          <w:color w:val="000000"/>
          <w:sz w:val="28"/>
          <w:szCs w:val="28"/>
          <w:lang w:eastAsia="zh-CN"/>
        </w:rPr>
        <w:t>减少</w:t>
      </w:r>
      <w:r>
        <w:rPr>
          <w:rFonts w:hint="eastAsia" w:ascii="仿宋" w:hAnsi="仿宋" w:eastAsia="仿宋" w:cs="仿宋"/>
          <w:color w:val="000000"/>
          <w:sz w:val="28"/>
          <w:szCs w:val="28"/>
          <w:lang w:val="en-US" w:eastAsia="zh-CN"/>
        </w:rPr>
        <w:t>475.54万元，下降24.59%。</w:t>
      </w:r>
      <w:r>
        <w:rPr>
          <w:rFonts w:hint="eastAsia" w:ascii="仿宋" w:hAnsi="仿宋" w:eastAsia="仿宋" w:cs="仿宋"/>
          <w:color w:val="000000"/>
          <w:sz w:val="28"/>
          <w:szCs w:val="28"/>
        </w:rPr>
        <w:t>主要变动原因是</w:t>
      </w:r>
      <w:r>
        <w:rPr>
          <w:rFonts w:hint="eastAsia" w:ascii="仿宋" w:hAnsi="仿宋" w:eastAsia="仿宋" w:cs="仿宋"/>
          <w:color w:val="000000"/>
          <w:sz w:val="28"/>
          <w:szCs w:val="28"/>
          <w:lang w:val="en-US" w:eastAsia="zh-CN"/>
        </w:rPr>
        <w:t>:</w:t>
      </w:r>
      <w:r>
        <w:rPr>
          <w:rFonts w:hint="eastAsia" w:ascii="仿宋" w:hAnsi="仿宋" w:eastAsia="仿宋" w:cs="仿宋"/>
          <w:b w:val="0"/>
          <w:bCs w:val="0"/>
          <w:kern w:val="2"/>
          <w:sz w:val="28"/>
          <w:szCs w:val="28"/>
          <w:lang w:val="en-US" w:eastAsia="zh-CN" w:bidi="ar-SA"/>
        </w:rPr>
        <w:t>原</w:t>
      </w:r>
      <w:r>
        <w:rPr>
          <w:rFonts w:hint="eastAsia" w:ascii="仿宋" w:hAnsi="仿宋" w:eastAsia="仿宋" w:cs="仿宋"/>
          <w:color w:val="000000"/>
          <w:sz w:val="28"/>
          <w:szCs w:val="28"/>
        </w:rPr>
        <w:t>为贫困人口</w:t>
      </w:r>
      <w:r>
        <w:rPr>
          <w:rFonts w:hint="eastAsia" w:ascii="仿宋" w:hAnsi="仿宋" w:eastAsia="仿宋" w:cs="仿宋"/>
          <w:color w:val="000000"/>
          <w:sz w:val="28"/>
          <w:szCs w:val="28"/>
          <w:lang w:eastAsia="zh-CN"/>
        </w:rPr>
        <w:t>、特困人员、低保对象、残疾人代缴医疗保险费工作现交由医保局负责，项目资金减少。</w:t>
      </w:r>
    </w:p>
    <w:p>
      <w:pPr>
        <w:pageBreakBefore w:val="0"/>
        <w:kinsoku/>
        <w:wordWrap/>
        <w:overflowPunct/>
        <w:topLinePunct w:val="0"/>
        <w:bidi w:val="0"/>
        <w:adjustRightInd/>
        <w:snapToGrid/>
        <w:spacing w:line="640" w:lineRule="exact"/>
        <w:ind w:firstLine="560" w:firstLineChars="200"/>
        <w:rPr>
          <w:rFonts w:hint="eastAsia" w:ascii="黑体" w:hAnsi="黑体" w:eastAsia="黑体" w:cs="黑体"/>
          <w:color w:val="000000"/>
          <w:sz w:val="28"/>
          <w:szCs w:val="28"/>
        </w:rPr>
      </w:pPr>
      <w:bookmarkStart w:id="69" w:name="_Toc20661_WPSOffice_Level2"/>
      <w:r>
        <w:rPr>
          <w:rFonts w:hint="eastAsia" w:ascii="黑体" w:hAnsi="黑体" w:eastAsia="黑体" w:cs="黑体"/>
          <w:color w:val="000000"/>
          <w:sz w:val="28"/>
          <w:szCs w:val="28"/>
        </w:rPr>
        <w:t>五、一般公共预算财政拨款支出决算情况说明</w:t>
      </w:r>
      <w:bookmarkEnd w:id="69"/>
    </w:p>
    <w:p>
      <w:pPr>
        <w:spacing w:line="6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28"/>
          <w:szCs w:val="28"/>
        </w:rPr>
        <w:t>20</w:t>
      </w:r>
      <w:r>
        <w:rPr>
          <w:rFonts w:hint="eastAsia" w:ascii="仿宋" w:hAnsi="仿宋" w:eastAsia="仿宋" w:cs="仿宋"/>
          <w:color w:val="000000"/>
          <w:sz w:val="28"/>
          <w:szCs w:val="28"/>
          <w:lang w:val="en-US" w:eastAsia="zh-CN"/>
        </w:rPr>
        <w:t>20</w:t>
      </w:r>
      <w:r>
        <w:rPr>
          <w:rFonts w:hint="eastAsia" w:ascii="仿宋" w:hAnsi="仿宋" w:eastAsia="仿宋" w:cs="仿宋"/>
          <w:color w:val="000000"/>
          <w:sz w:val="28"/>
          <w:szCs w:val="28"/>
        </w:rPr>
        <w:t>年度收、支总计</w:t>
      </w:r>
      <w:r>
        <w:rPr>
          <w:rFonts w:hint="eastAsia" w:ascii="仿宋" w:hAnsi="仿宋" w:eastAsia="仿宋" w:cs="仿宋"/>
          <w:color w:val="000000"/>
          <w:sz w:val="28"/>
          <w:szCs w:val="28"/>
          <w:lang w:val="en-US" w:eastAsia="zh-CN"/>
        </w:rPr>
        <w:t>1933.85</w:t>
      </w:r>
      <w:r>
        <w:rPr>
          <w:rFonts w:hint="eastAsia" w:ascii="仿宋" w:hAnsi="仿宋" w:eastAsia="仿宋" w:cs="仿宋"/>
          <w:color w:val="000000"/>
          <w:sz w:val="28"/>
          <w:szCs w:val="28"/>
        </w:rPr>
        <w:t>万元。与</w:t>
      </w:r>
      <w:r>
        <w:rPr>
          <w:rFonts w:hint="eastAsia" w:ascii="仿宋" w:hAnsi="仿宋" w:eastAsia="仿宋" w:cs="仿宋"/>
          <w:color w:val="000000"/>
          <w:sz w:val="28"/>
          <w:szCs w:val="28"/>
          <w:lang w:eastAsia="zh-CN"/>
        </w:rPr>
        <w:t>2019</w:t>
      </w:r>
      <w:r>
        <w:rPr>
          <w:rFonts w:hint="eastAsia" w:ascii="仿宋" w:hAnsi="仿宋" w:eastAsia="仿宋" w:cs="仿宋"/>
          <w:color w:val="000000"/>
          <w:sz w:val="28"/>
          <w:szCs w:val="28"/>
        </w:rPr>
        <w:t>年相比</w:t>
      </w:r>
      <w:r>
        <w:rPr>
          <w:rFonts w:hint="eastAsia" w:ascii="仿宋" w:hAnsi="仿宋" w:eastAsia="仿宋" w:cs="仿宋"/>
          <w:color w:val="000000"/>
          <w:sz w:val="28"/>
          <w:szCs w:val="28"/>
          <w:lang w:eastAsia="zh-CN"/>
        </w:rPr>
        <w:t>支出总计</w:t>
      </w:r>
      <w:r>
        <w:rPr>
          <w:rFonts w:hint="eastAsia" w:ascii="仿宋" w:hAnsi="仿宋" w:eastAsia="仿宋" w:cs="仿宋"/>
          <w:color w:val="000000"/>
          <w:sz w:val="28"/>
          <w:szCs w:val="28"/>
          <w:lang w:val="en-US" w:eastAsia="zh-CN"/>
        </w:rPr>
        <w:t>2409.39万元</w:t>
      </w:r>
      <w:r>
        <w:rPr>
          <w:rFonts w:hint="eastAsia" w:ascii="仿宋" w:hAnsi="仿宋" w:eastAsia="仿宋" w:cs="仿宋"/>
          <w:color w:val="000000"/>
          <w:sz w:val="28"/>
          <w:szCs w:val="28"/>
          <w:lang w:eastAsia="zh-CN"/>
        </w:rPr>
        <w:t>减少</w:t>
      </w:r>
      <w:r>
        <w:rPr>
          <w:rFonts w:hint="eastAsia" w:ascii="仿宋" w:hAnsi="仿宋" w:eastAsia="仿宋" w:cs="仿宋"/>
          <w:color w:val="000000"/>
          <w:sz w:val="28"/>
          <w:szCs w:val="28"/>
          <w:lang w:val="en-US" w:eastAsia="zh-CN"/>
        </w:rPr>
        <w:t>475.54万元，下降24.59%。</w:t>
      </w:r>
      <w:r>
        <w:rPr>
          <w:rFonts w:hint="eastAsia" w:ascii="仿宋" w:hAnsi="仿宋" w:eastAsia="仿宋" w:cs="仿宋"/>
          <w:color w:val="000000"/>
          <w:sz w:val="28"/>
          <w:szCs w:val="28"/>
        </w:rPr>
        <w:t>主要变动原因是</w:t>
      </w:r>
      <w:r>
        <w:rPr>
          <w:rFonts w:hint="eastAsia" w:ascii="仿宋" w:hAnsi="仿宋" w:eastAsia="仿宋" w:cs="仿宋"/>
          <w:color w:val="000000"/>
          <w:sz w:val="28"/>
          <w:szCs w:val="28"/>
          <w:lang w:val="en-US" w:eastAsia="zh-CN"/>
        </w:rPr>
        <w:t>:</w:t>
      </w:r>
      <w:r>
        <w:rPr>
          <w:rFonts w:hint="eastAsia" w:ascii="仿宋" w:hAnsi="仿宋" w:eastAsia="仿宋" w:cs="仿宋"/>
          <w:b w:val="0"/>
          <w:bCs w:val="0"/>
          <w:kern w:val="2"/>
          <w:sz w:val="28"/>
          <w:szCs w:val="28"/>
          <w:lang w:val="en-US" w:eastAsia="zh-CN" w:bidi="ar-SA"/>
        </w:rPr>
        <w:t>原</w:t>
      </w:r>
      <w:r>
        <w:rPr>
          <w:rFonts w:hint="eastAsia" w:ascii="仿宋" w:hAnsi="仿宋" w:eastAsia="仿宋" w:cs="仿宋"/>
          <w:color w:val="000000"/>
          <w:sz w:val="28"/>
          <w:szCs w:val="28"/>
        </w:rPr>
        <w:t>为贫困人口</w:t>
      </w:r>
      <w:r>
        <w:rPr>
          <w:rFonts w:hint="eastAsia" w:ascii="仿宋" w:hAnsi="仿宋" w:eastAsia="仿宋" w:cs="仿宋"/>
          <w:color w:val="000000"/>
          <w:sz w:val="28"/>
          <w:szCs w:val="28"/>
          <w:lang w:eastAsia="zh-CN"/>
        </w:rPr>
        <w:t>、特困人员、低保对象、残疾人代缴医疗保险费工作现交由医保局负责，项目资金减少。</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color w:val="000000"/>
          <w:sz w:val="28"/>
          <w:szCs w:val="28"/>
        </w:rPr>
      </w:pPr>
      <w:r>
        <w:rPr>
          <w:rFonts w:hint="eastAsia" w:ascii="仿宋" w:hAnsi="仿宋" w:eastAsia="仿宋" w:cs="仿宋"/>
          <w:color w:val="000000"/>
          <w:sz w:val="28"/>
          <w:szCs w:val="28"/>
          <w:lang w:val="en-US" w:eastAsia="zh-CN"/>
        </w:rPr>
        <w:drawing>
          <wp:inline distT="0" distB="0" distL="114300" distR="114300">
            <wp:extent cx="4898390" cy="3620770"/>
            <wp:effectExtent l="4445" t="4445" r="12065" b="1333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adjustRightInd/>
        <w:snapToGrid/>
        <w:spacing w:line="6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（二）一般</w:t>
      </w:r>
      <w:r>
        <w:rPr>
          <w:rFonts w:hint="eastAsia" w:ascii="仿宋" w:hAnsi="仿宋" w:eastAsia="仿宋" w:cs="仿宋"/>
          <w:color w:val="000000"/>
          <w:sz w:val="28"/>
          <w:szCs w:val="28"/>
        </w:rPr>
        <w:t>公共预算财政拨款支出决算结构情况</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年一般公共预算财政拨款支出</w:t>
      </w:r>
      <w:r>
        <w:rPr>
          <w:rFonts w:hint="eastAsia" w:ascii="仿宋" w:hAnsi="仿宋" w:eastAsia="仿宋" w:cs="仿宋"/>
          <w:color w:val="000000"/>
          <w:sz w:val="28"/>
          <w:szCs w:val="28"/>
          <w:lang w:val="en-US" w:eastAsia="zh-CN"/>
        </w:rPr>
        <w:t>1933.85</w:t>
      </w:r>
      <w:r>
        <w:rPr>
          <w:rFonts w:hint="eastAsia" w:ascii="仿宋" w:hAnsi="仿宋" w:eastAsia="仿宋" w:cs="仿宋"/>
          <w:color w:val="000000"/>
          <w:sz w:val="28"/>
          <w:szCs w:val="28"/>
        </w:rPr>
        <w:t>万元，主要用于以下方面:</w:t>
      </w:r>
      <w:r>
        <w:rPr>
          <w:rFonts w:hint="eastAsia" w:ascii="仿宋" w:hAnsi="仿宋" w:eastAsia="仿宋" w:cs="仿宋"/>
          <w:color w:val="000000"/>
          <w:sz w:val="28"/>
          <w:szCs w:val="28"/>
          <w:lang w:eastAsia="zh-CN"/>
        </w:rPr>
        <w:t>社会保障和就业支出</w:t>
      </w:r>
      <w:r>
        <w:rPr>
          <w:rFonts w:hint="eastAsia" w:ascii="仿宋" w:hAnsi="仿宋" w:eastAsia="仿宋" w:cs="仿宋"/>
          <w:color w:val="000000"/>
          <w:sz w:val="28"/>
          <w:szCs w:val="28"/>
          <w:lang w:val="en-US" w:eastAsia="zh-CN"/>
        </w:rPr>
        <w:t>1805.73</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93.27</w:t>
      </w:r>
      <w:r>
        <w:rPr>
          <w:rFonts w:hint="eastAsia" w:ascii="仿宋" w:hAnsi="仿宋" w:eastAsia="仿宋" w:cs="仿宋"/>
          <w:color w:val="000000"/>
          <w:sz w:val="28"/>
          <w:szCs w:val="28"/>
        </w:rPr>
        <w:t>%；卫生健康支出</w:t>
      </w:r>
      <w:r>
        <w:rPr>
          <w:rFonts w:hint="eastAsia" w:ascii="仿宋" w:hAnsi="仿宋" w:eastAsia="仿宋" w:cs="仿宋"/>
          <w:color w:val="000000"/>
          <w:sz w:val="28"/>
          <w:szCs w:val="28"/>
          <w:lang w:val="en-US" w:eastAsia="zh-CN"/>
        </w:rPr>
        <w:t>11.38</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0.59</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农林水（扶贫）支出</w:t>
      </w:r>
      <w:r>
        <w:rPr>
          <w:rFonts w:hint="eastAsia" w:ascii="仿宋" w:hAnsi="仿宋" w:eastAsia="仿宋" w:cs="仿宋"/>
          <w:color w:val="000000"/>
          <w:sz w:val="28"/>
          <w:szCs w:val="28"/>
          <w:lang w:val="en-US" w:eastAsia="zh-CN"/>
        </w:rPr>
        <w:t>85</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4.39</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住房保障支出</w:t>
      </w:r>
      <w:r>
        <w:rPr>
          <w:rFonts w:hint="eastAsia" w:ascii="仿宋" w:hAnsi="仿宋" w:eastAsia="仿宋" w:cs="仿宋"/>
          <w:color w:val="000000"/>
          <w:sz w:val="28"/>
          <w:szCs w:val="28"/>
          <w:lang w:val="en-US" w:eastAsia="zh-CN"/>
        </w:rPr>
        <w:t>31.74</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1.65</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drawing>
          <wp:anchor distT="0" distB="0" distL="114300" distR="114300" simplePos="0" relativeHeight="251662336" behindDoc="0" locked="0" layoutInCell="1" allowOverlap="1">
            <wp:simplePos x="0" y="0"/>
            <wp:positionH relativeFrom="column">
              <wp:posOffset>125095</wp:posOffset>
            </wp:positionH>
            <wp:positionV relativeFrom="paragraph">
              <wp:posOffset>-9130030</wp:posOffset>
            </wp:positionV>
            <wp:extent cx="5080000" cy="3810000"/>
            <wp:effectExtent l="4445" t="4445" r="20955" b="1460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562" w:firstLineChars="200"/>
        <w:outlineLvl w:val="2"/>
        <w:rPr>
          <w:rFonts w:hint="eastAsia" w:ascii="仿宋" w:hAnsi="仿宋" w:eastAsia="仿宋" w:cs="仿宋"/>
          <w:color w:val="000000"/>
          <w:sz w:val="28"/>
          <w:szCs w:val="28"/>
          <w:lang w:eastAsia="zh-CN"/>
        </w:rPr>
      </w:pPr>
      <w:bookmarkStart w:id="70" w:name="_Toc15377212"/>
      <w:r>
        <w:rPr>
          <w:rFonts w:hint="eastAsia" w:ascii="仿宋" w:hAnsi="仿宋" w:eastAsia="仿宋" w:cs="仿宋"/>
          <w:b/>
          <w:color w:val="000000"/>
          <w:sz w:val="28"/>
          <w:szCs w:val="28"/>
        </w:rPr>
        <w:t>（三）</w:t>
      </w:r>
      <w:r>
        <w:rPr>
          <w:rFonts w:hint="eastAsia" w:ascii="仿宋" w:hAnsi="仿宋" w:eastAsia="仿宋" w:cs="仿宋"/>
          <w:color w:val="000000"/>
          <w:sz w:val="28"/>
          <w:szCs w:val="28"/>
          <w:lang w:eastAsia="zh-CN"/>
        </w:rPr>
        <w:t>一般公共预算财政拨款支出决算具体情况</w:t>
      </w:r>
      <w:bookmarkEnd w:id="70"/>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bookmarkStart w:id="71" w:name="_Toc15377213"/>
      <w:bookmarkStart w:id="72" w:name="_Toc15378460"/>
      <w:bookmarkStart w:id="73" w:name="_Toc15377444"/>
      <w:r>
        <w:rPr>
          <w:rFonts w:hint="eastAsia" w:ascii="仿宋" w:hAnsi="仿宋" w:eastAsia="仿宋" w:cs="仿宋"/>
          <w:color w:val="000000"/>
          <w:sz w:val="28"/>
          <w:szCs w:val="28"/>
          <w:lang w:eastAsia="zh-CN"/>
        </w:rPr>
        <w:t>2020年般公共预算支出决算数为</w:t>
      </w:r>
      <w:r>
        <w:rPr>
          <w:rFonts w:hint="eastAsia" w:ascii="仿宋" w:hAnsi="仿宋" w:eastAsia="仿宋" w:cs="仿宋"/>
          <w:color w:val="000000"/>
          <w:sz w:val="28"/>
          <w:szCs w:val="28"/>
          <w:lang w:val="en-US" w:eastAsia="zh-CN"/>
        </w:rPr>
        <w:t>1933.85</w:t>
      </w:r>
      <w:r>
        <w:rPr>
          <w:rFonts w:hint="eastAsia" w:ascii="仿宋" w:hAnsi="仿宋" w:eastAsia="仿宋" w:cs="仿宋"/>
          <w:color w:val="000000"/>
          <w:sz w:val="28"/>
          <w:szCs w:val="28"/>
          <w:lang w:eastAsia="zh-CN"/>
        </w:rPr>
        <w:t>，完成预算</w:t>
      </w:r>
      <w:r>
        <w:rPr>
          <w:rFonts w:hint="eastAsia" w:ascii="仿宋" w:hAnsi="仿宋" w:eastAsia="仿宋" w:cs="仿宋"/>
          <w:color w:val="000000"/>
          <w:sz w:val="28"/>
          <w:szCs w:val="28"/>
          <w:lang w:val="en-US" w:eastAsia="zh-CN"/>
        </w:rPr>
        <w:t>99.99</w:t>
      </w:r>
      <w:r>
        <w:rPr>
          <w:rFonts w:hint="eastAsia" w:ascii="仿宋" w:hAnsi="仿宋" w:eastAsia="仿宋" w:cs="仿宋"/>
          <w:color w:val="000000"/>
          <w:sz w:val="28"/>
          <w:szCs w:val="28"/>
          <w:lang w:eastAsia="zh-CN"/>
        </w:rPr>
        <w:t>%。其中：</w:t>
      </w:r>
      <w:bookmarkEnd w:id="71"/>
      <w:bookmarkEnd w:id="72"/>
      <w:bookmarkEnd w:id="73"/>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lang w:eastAsia="zh-CN"/>
        </w:rPr>
        <w:t>社会保障和就业（类）人力资源和社会保障（款）社会保险经办机构（项） 支出决算为</w:t>
      </w:r>
      <w:r>
        <w:rPr>
          <w:rFonts w:hint="eastAsia" w:ascii="仿宋" w:hAnsi="仿宋" w:eastAsia="仿宋" w:cs="仿宋"/>
          <w:color w:val="000000"/>
          <w:sz w:val="28"/>
          <w:szCs w:val="28"/>
          <w:lang w:val="en-US" w:eastAsia="zh-CN"/>
        </w:rPr>
        <w:t>344.97</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99.42</w:t>
      </w:r>
      <w:r>
        <w:rPr>
          <w:rFonts w:hint="eastAsia" w:ascii="仿宋" w:hAnsi="仿宋" w:eastAsia="仿宋" w:cs="仿宋"/>
          <w:color w:val="000000"/>
          <w:sz w:val="28"/>
          <w:szCs w:val="28"/>
          <w:lang w:eastAsia="zh-CN"/>
        </w:rPr>
        <w:t>%；决算数小于预算数的主要原因是川财社【2020】45号下达人社公共服务能力建设资金没用完。</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lang w:eastAsia="zh-CN"/>
        </w:rPr>
        <w:t>社会保障和就业（类）人力资源和社会保障（款）其他人力资源和社会保障管理事务支出（项） 支出决算为</w:t>
      </w:r>
      <w:r>
        <w:rPr>
          <w:rFonts w:hint="eastAsia" w:ascii="仿宋" w:hAnsi="仿宋" w:eastAsia="仿宋" w:cs="仿宋"/>
          <w:color w:val="000000"/>
          <w:sz w:val="28"/>
          <w:szCs w:val="28"/>
          <w:lang w:val="en-US" w:eastAsia="zh-CN"/>
        </w:rPr>
        <w:t>12.22</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lang w:eastAsia="zh-CN"/>
        </w:rPr>
        <w:t>社会保障和就业（类）行政事业单位养老支出（款）机关事业单位基本养老保险缴费支出（项）支出决算为</w:t>
      </w:r>
      <w:r>
        <w:rPr>
          <w:rFonts w:hint="eastAsia" w:ascii="仿宋" w:hAnsi="仿宋" w:eastAsia="仿宋" w:cs="仿宋"/>
          <w:color w:val="000000"/>
          <w:sz w:val="28"/>
          <w:szCs w:val="28"/>
          <w:lang w:val="en-US" w:eastAsia="zh-CN"/>
        </w:rPr>
        <w:t>27.98</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lang w:eastAsia="zh-CN"/>
        </w:rPr>
        <w:t>社会保障和就业（类）行政事业单位养老支出（款） 机关事业单位职业年金缴费支出（项）:支出决算为</w:t>
      </w:r>
      <w:r>
        <w:rPr>
          <w:rFonts w:hint="eastAsia" w:ascii="仿宋" w:hAnsi="仿宋" w:eastAsia="仿宋" w:cs="仿宋"/>
          <w:color w:val="000000"/>
          <w:sz w:val="28"/>
          <w:szCs w:val="28"/>
          <w:lang w:val="en-US" w:eastAsia="zh-CN"/>
        </w:rPr>
        <w:t>137.99</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lang w:eastAsia="zh-CN"/>
        </w:rPr>
        <w:t>社会保障和就业（类）就业补助（款）其他就业补助支出（项）: 支出决算为</w:t>
      </w:r>
      <w:r>
        <w:rPr>
          <w:rFonts w:hint="eastAsia" w:ascii="仿宋" w:hAnsi="仿宋" w:eastAsia="仿宋" w:cs="仿宋"/>
          <w:color w:val="000000"/>
          <w:sz w:val="28"/>
          <w:szCs w:val="28"/>
          <w:lang w:val="en-US" w:eastAsia="zh-CN"/>
        </w:rPr>
        <w:t>5.9</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97.84</w:t>
      </w:r>
      <w:r>
        <w:rPr>
          <w:rFonts w:hint="eastAsia" w:ascii="仿宋" w:hAnsi="仿宋" w:eastAsia="仿宋" w:cs="仿宋"/>
          <w:color w:val="000000"/>
          <w:sz w:val="28"/>
          <w:szCs w:val="28"/>
          <w:lang w:eastAsia="zh-CN"/>
        </w:rPr>
        <w:t>%，决算数小于预算数的主要原因是公益性人员费用未支付完。</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lang w:eastAsia="zh-CN"/>
        </w:rPr>
        <w:t>社会保障和就业（类）抚恤（款）死亡抚恤 （项）:支出决算为</w:t>
      </w:r>
      <w:r>
        <w:rPr>
          <w:rFonts w:hint="eastAsia" w:ascii="仿宋" w:hAnsi="仿宋" w:eastAsia="仿宋" w:cs="仿宋"/>
          <w:color w:val="000000"/>
          <w:sz w:val="28"/>
          <w:szCs w:val="28"/>
          <w:lang w:val="en-US" w:eastAsia="zh-CN"/>
        </w:rPr>
        <w:t>560.56</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lang w:eastAsia="zh-CN"/>
        </w:rPr>
        <w:t>社会保障和就业（类）财政代缴社会保险费支出（款） 财政代缴城乡居民基本养老保险费（项）:支出决算为</w:t>
      </w:r>
      <w:r>
        <w:rPr>
          <w:rFonts w:hint="eastAsia" w:ascii="仿宋" w:hAnsi="仿宋" w:eastAsia="仿宋" w:cs="仿宋"/>
          <w:color w:val="000000"/>
          <w:sz w:val="28"/>
          <w:szCs w:val="28"/>
          <w:lang w:val="en-US" w:eastAsia="zh-CN"/>
        </w:rPr>
        <w:t>85.2</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lang w:eastAsia="zh-CN"/>
        </w:rPr>
        <w:t>社会保障和就业（类）其他社会保障和就业支出（款）其他社会保障和就业支出（项）:支出决算为</w:t>
      </w:r>
      <w:r>
        <w:rPr>
          <w:rFonts w:hint="eastAsia" w:ascii="仿宋" w:hAnsi="仿宋" w:eastAsia="仿宋" w:cs="仿宋"/>
          <w:color w:val="000000"/>
          <w:sz w:val="28"/>
          <w:szCs w:val="28"/>
          <w:lang w:val="en-US" w:eastAsia="zh-CN"/>
        </w:rPr>
        <w:t>630.92</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9.</w:t>
      </w:r>
      <w:r>
        <w:rPr>
          <w:rFonts w:hint="eastAsia" w:ascii="仿宋" w:hAnsi="仿宋" w:eastAsia="仿宋" w:cs="仿宋"/>
          <w:color w:val="000000"/>
          <w:sz w:val="28"/>
          <w:szCs w:val="28"/>
          <w:lang w:eastAsia="zh-CN"/>
        </w:rPr>
        <w:t>卫生健康（类）行政事业单位医疗（款）事业单位医疗（项）:支出决算为</w:t>
      </w:r>
      <w:r>
        <w:rPr>
          <w:rFonts w:hint="eastAsia" w:ascii="仿宋" w:hAnsi="仿宋" w:eastAsia="仿宋" w:cs="仿宋"/>
          <w:color w:val="000000"/>
          <w:sz w:val="28"/>
          <w:szCs w:val="28"/>
          <w:lang w:val="en-US" w:eastAsia="zh-CN"/>
        </w:rPr>
        <w:t>11.38</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lang w:eastAsia="zh-CN"/>
        </w:rPr>
        <w:t>农林水（类）扶贫（款）社会发展（项）: 支出决算为</w:t>
      </w:r>
      <w:r>
        <w:rPr>
          <w:rFonts w:hint="eastAsia" w:ascii="仿宋" w:hAnsi="仿宋" w:eastAsia="仿宋" w:cs="仿宋"/>
          <w:color w:val="000000"/>
          <w:sz w:val="28"/>
          <w:szCs w:val="28"/>
          <w:lang w:val="en-US" w:eastAsia="zh-CN"/>
        </w:rPr>
        <w:t>85</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lang w:eastAsia="zh-CN"/>
        </w:rPr>
        <w:t>%。</w:t>
      </w:r>
    </w:p>
    <w:p>
      <w:pPr>
        <w:pageBreakBefore w:val="0"/>
        <w:kinsoku/>
        <w:wordWrap/>
        <w:overflowPunct/>
        <w:topLinePunct w:val="0"/>
        <w:bidi w:val="0"/>
        <w:adjustRightInd/>
        <w:snapToGrid/>
        <w:spacing w:line="640" w:lineRule="exact"/>
        <w:ind w:firstLine="64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11.</w:t>
      </w:r>
      <w:r>
        <w:rPr>
          <w:rFonts w:hint="eastAsia" w:ascii="仿宋" w:hAnsi="仿宋" w:eastAsia="仿宋" w:cs="仿宋"/>
          <w:color w:val="000000"/>
          <w:sz w:val="28"/>
          <w:szCs w:val="28"/>
          <w:lang w:eastAsia="zh-CN"/>
        </w:rPr>
        <w:t>住房保障（类）住房保障支出（款）住房公积金（项）:支出决算为</w:t>
      </w:r>
      <w:r>
        <w:rPr>
          <w:rFonts w:hint="eastAsia" w:ascii="仿宋" w:hAnsi="仿宋" w:eastAsia="仿宋" w:cs="仿宋"/>
          <w:color w:val="000000"/>
          <w:sz w:val="28"/>
          <w:szCs w:val="28"/>
          <w:lang w:val="en-US" w:eastAsia="zh-CN"/>
        </w:rPr>
        <w:t>31.74</w:t>
      </w:r>
      <w:r>
        <w:rPr>
          <w:rFonts w:hint="eastAsia" w:ascii="仿宋" w:hAnsi="仿宋" w:eastAsia="仿宋" w:cs="仿宋"/>
          <w:color w:val="000000"/>
          <w:sz w:val="28"/>
          <w:szCs w:val="28"/>
          <w:lang w:eastAsia="zh-CN"/>
        </w:rPr>
        <w:t>万元，完成预算</w:t>
      </w:r>
      <w:r>
        <w:rPr>
          <w:rFonts w:hint="eastAsia" w:ascii="仿宋" w:hAnsi="仿宋" w:eastAsia="仿宋" w:cs="仿宋"/>
          <w:color w:val="000000"/>
          <w:sz w:val="28"/>
          <w:szCs w:val="28"/>
          <w:lang w:val="en-US" w:eastAsia="zh-CN"/>
        </w:rPr>
        <w:t>100%。</w:t>
      </w:r>
    </w:p>
    <w:p>
      <w:pPr>
        <w:tabs>
          <w:tab w:val="right" w:pos="8306"/>
        </w:tabs>
        <w:spacing w:line="600" w:lineRule="exact"/>
        <w:ind w:firstLine="640"/>
        <w:outlineLvl w:val="1"/>
        <w:rPr>
          <w:rStyle w:val="29"/>
          <w:rFonts w:hint="eastAsia" w:ascii="仿宋" w:hAnsi="仿宋" w:eastAsia="仿宋" w:cs="仿宋"/>
          <w:sz w:val="28"/>
          <w:szCs w:val="28"/>
        </w:rPr>
      </w:pPr>
      <w:bookmarkStart w:id="74" w:name="_Toc15396608"/>
      <w:bookmarkStart w:id="75" w:name="_Toc15377214"/>
      <w:bookmarkStart w:id="76" w:name="_Toc11702_WPSOffice_Level2"/>
      <w:r>
        <w:rPr>
          <w:rFonts w:hint="eastAsia" w:ascii="黑体" w:hAnsi="黑体" w:eastAsia="黑体" w:cs="黑体"/>
          <w:color w:val="000000"/>
          <w:sz w:val="28"/>
          <w:szCs w:val="28"/>
        </w:rPr>
        <w:t>六</w:t>
      </w:r>
      <w:r>
        <w:rPr>
          <w:rFonts w:hint="eastAsia" w:ascii="黑体" w:hAnsi="黑体" w:eastAsia="黑体" w:cs="黑体"/>
          <w:b/>
          <w:color w:val="000000"/>
          <w:sz w:val="28"/>
          <w:szCs w:val="28"/>
        </w:rPr>
        <w:t>、一</w:t>
      </w:r>
      <w:r>
        <w:rPr>
          <w:rStyle w:val="29"/>
          <w:rFonts w:hint="eastAsia" w:ascii="黑体" w:hAnsi="黑体" w:eastAsia="黑体" w:cs="黑体"/>
          <w:b w:val="0"/>
          <w:sz w:val="28"/>
          <w:szCs w:val="28"/>
        </w:rPr>
        <w:t>般公共预算财政拨款基本支出决算情况说明</w:t>
      </w:r>
      <w:bookmarkEnd w:id="74"/>
      <w:bookmarkEnd w:id="75"/>
      <w:bookmarkEnd w:id="76"/>
      <w:r>
        <w:rPr>
          <w:rStyle w:val="29"/>
          <w:rFonts w:hint="eastAsia" w:ascii="仿宋" w:hAnsi="仿宋" w:eastAsia="仿宋" w:cs="仿宋"/>
          <w:b w:val="0"/>
          <w:sz w:val="28"/>
          <w:szCs w:val="28"/>
        </w:rPr>
        <w:tab/>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年一般公共预算财政拨款基本支出</w:t>
      </w:r>
      <w:r>
        <w:rPr>
          <w:rFonts w:hint="eastAsia" w:ascii="仿宋" w:hAnsi="仿宋" w:eastAsia="仿宋" w:cs="仿宋"/>
          <w:color w:val="000000"/>
          <w:sz w:val="28"/>
          <w:szCs w:val="28"/>
          <w:lang w:val="en-US" w:eastAsia="zh-CN"/>
        </w:rPr>
        <w:t>554.06</w:t>
      </w:r>
      <w:r>
        <w:rPr>
          <w:rFonts w:hint="eastAsia" w:ascii="仿宋" w:hAnsi="仿宋" w:eastAsia="仿宋" w:cs="仿宋"/>
          <w:color w:val="000000"/>
          <w:sz w:val="28"/>
          <w:szCs w:val="28"/>
        </w:rPr>
        <w:t>万元，其中：</w:t>
      </w:r>
    </w:p>
    <w:p>
      <w:pPr>
        <w:spacing w:line="6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人员经费</w:t>
      </w:r>
      <w:r>
        <w:rPr>
          <w:rFonts w:hint="eastAsia" w:ascii="仿宋" w:hAnsi="仿宋" w:eastAsia="仿宋" w:cs="仿宋"/>
          <w:color w:val="000000"/>
          <w:sz w:val="28"/>
          <w:szCs w:val="28"/>
          <w:lang w:val="en-US" w:eastAsia="zh-CN"/>
        </w:rPr>
        <w:t>404.98</w:t>
      </w:r>
      <w:r>
        <w:rPr>
          <w:rFonts w:hint="eastAsia" w:ascii="仿宋" w:hAnsi="仿宋" w:eastAsia="仿宋" w:cs="仿宋"/>
          <w:color w:val="000000"/>
          <w:sz w:val="28"/>
          <w:szCs w:val="28"/>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日常公用经费</w:t>
      </w:r>
      <w:r>
        <w:rPr>
          <w:rFonts w:hint="eastAsia" w:ascii="仿宋" w:hAnsi="仿宋" w:eastAsia="仿宋" w:cs="仿宋"/>
          <w:color w:val="000000"/>
          <w:sz w:val="28"/>
          <w:szCs w:val="28"/>
          <w:lang w:val="en-US" w:eastAsia="zh-CN"/>
        </w:rPr>
        <w:t>144.2</w:t>
      </w:r>
      <w:r>
        <w:rPr>
          <w:rFonts w:hint="eastAsia" w:ascii="仿宋" w:hAnsi="仿宋" w:eastAsia="仿宋" w:cs="仿宋"/>
          <w:color w:val="000000"/>
          <w:sz w:val="28"/>
          <w:szCs w:val="28"/>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hint="eastAsia" w:ascii="黑体" w:hAnsi="黑体" w:eastAsia="黑体" w:cs="黑体"/>
          <w:b w:val="0"/>
          <w:sz w:val="28"/>
          <w:szCs w:val="28"/>
        </w:rPr>
      </w:pPr>
      <w:bookmarkStart w:id="77" w:name="_Toc22294_WPSOffice_Level2"/>
      <w:bookmarkStart w:id="78" w:name="_Toc15377215"/>
      <w:bookmarkStart w:id="79" w:name="_Toc15396609"/>
      <w:r>
        <w:rPr>
          <w:rFonts w:hint="eastAsia" w:ascii="黑体" w:hAnsi="黑体" w:eastAsia="黑体" w:cs="黑体"/>
          <w:color w:val="000000"/>
          <w:sz w:val="28"/>
          <w:szCs w:val="28"/>
        </w:rPr>
        <w:t>七、</w:t>
      </w:r>
      <w:r>
        <w:rPr>
          <w:rStyle w:val="29"/>
          <w:rFonts w:hint="eastAsia" w:ascii="黑体" w:hAnsi="黑体" w:eastAsia="黑体" w:cs="黑体"/>
          <w:sz w:val="28"/>
          <w:szCs w:val="28"/>
        </w:rPr>
        <w:t>“</w:t>
      </w:r>
      <w:r>
        <w:rPr>
          <w:rStyle w:val="29"/>
          <w:rFonts w:hint="eastAsia" w:ascii="黑体" w:hAnsi="黑体" w:eastAsia="黑体" w:cs="黑体"/>
          <w:b w:val="0"/>
          <w:sz w:val="28"/>
          <w:szCs w:val="28"/>
        </w:rPr>
        <w:t>三公”经费财政拨款支出决算情况说明</w:t>
      </w:r>
      <w:bookmarkEnd w:id="77"/>
      <w:bookmarkEnd w:id="78"/>
      <w:bookmarkEnd w:id="79"/>
    </w:p>
    <w:p>
      <w:pPr>
        <w:spacing w:line="600" w:lineRule="exact"/>
        <w:ind w:firstLine="645"/>
        <w:rPr>
          <w:rFonts w:hint="eastAsia" w:ascii="仿宋" w:hAnsi="仿宋" w:eastAsia="仿宋" w:cs="仿宋"/>
          <w:color w:val="000000"/>
          <w:sz w:val="28"/>
          <w:szCs w:val="28"/>
        </w:rPr>
      </w:pPr>
      <w:bookmarkStart w:id="80" w:name="_Toc15377216"/>
      <w:r>
        <w:rPr>
          <w:rFonts w:hint="eastAsia" w:ascii="仿宋" w:hAnsi="仿宋" w:eastAsia="仿宋" w:cs="仿宋"/>
          <w:color w:val="000000"/>
          <w:sz w:val="28"/>
          <w:szCs w:val="28"/>
        </w:rPr>
        <w:t>（一）“三公”经费财政拨款支出决算总体情况说明</w:t>
      </w:r>
      <w:bookmarkEnd w:id="80"/>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年“三公”经费财政拨款支出决算为</w:t>
      </w:r>
      <w:r>
        <w:rPr>
          <w:rFonts w:hint="eastAsia" w:ascii="仿宋" w:hAnsi="仿宋" w:eastAsia="仿宋" w:cs="仿宋"/>
          <w:color w:val="000000"/>
          <w:sz w:val="28"/>
          <w:szCs w:val="28"/>
          <w:lang w:val="en-US" w:eastAsia="zh-CN"/>
        </w:rPr>
        <w:t>0.16</w:t>
      </w:r>
      <w:r>
        <w:rPr>
          <w:rFonts w:hint="eastAsia" w:ascii="仿宋" w:hAnsi="仿宋" w:eastAsia="仿宋" w:cs="仿宋"/>
          <w:color w:val="000000"/>
          <w:sz w:val="28"/>
          <w:szCs w:val="28"/>
        </w:rPr>
        <w:t>万元，完成预算</w:t>
      </w:r>
      <w:r>
        <w:rPr>
          <w:rFonts w:hint="eastAsia" w:ascii="仿宋" w:hAnsi="仿宋" w:eastAsia="仿宋" w:cs="仿宋"/>
          <w:color w:val="000000"/>
          <w:sz w:val="28"/>
          <w:szCs w:val="28"/>
          <w:lang w:val="en-US" w:eastAsia="zh-CN"/>
        </w:rPr>
        <w:t>53.33</w:t>
      </w:r>
      <w:r>
        <w:rPr>
          <w:rFonts w:hint="eastAsia" w:ascii="仿宋" w:hAnsi="仿宋" w:eastAsia="仿宋" w:cs="仿宋"/>
          <w:color w:val="000000"/>
          <w:sz w:val="28"/>
          <w:szCs w:val="28"/>
        </w:rPr>
        <w:t>%，决算数小于预算数的原因是</w:t>
      </w:r>
      <w:r>
        <w:rPr>
          <w:rFonts w:hint="eastAsia" w:ascii="仿宋" w:hAnsi="仿宋" w:eastAsia="仿宋" w:cs="仿宋"/>
          <w:color w:val="000000"/>
          <w:sz w:val="28"/>
          <w:szCs w:val="28"/>
          <w:lang w:eastAsia="zh-CN"/>
        </w:rPr>
        <w:t>严控公务接待</w:t>
      </w:r>
      <w:r>
        <w:rPr>
          <w:rFonts w:hint="eastAsia" w:ascii="仿宋" w:hAnsi="仿宋" w:eastAsia="仿宋" w:cs="仿宋"/>
          <w:color w:val="000000"/>
          <w:sz w:val="28"/>
          <w:szCs w:val="28"/>
        </w:rPr>
        <w:t>。</w:t>
      </w:r>
    </w:p>
    <w:p>
      <w:pPr>
        <w:spacing w:line="600" w:lineRule="exact"/>
        <w:ind w:firstLine="645"/>
        <w:rPr>
          <w:rFonts w:hint="eastAsia" w:ascii="仿宋" w:hAnsi="仿宋" w:eastAsia="仿宋" w:cs="仿宋"/>
          <w:color w:val="000000"/>
          <w:sz w:val="28"/>
          <w:szCs w:val="28"/>
        </w:rPr>
      </w:pPr>
      <w:bookmarkStart w:id="81" w:name="_Toc15377217"/>
      <w:r>
        <w:rPr>
          <w:rFonts w:hint="eastAsia" w:ascii="仿宋" w:hAnsi="仿宋" w:eastAsia="仿宋" w:cs="仿宋"/>
          <w:color w:val="000000"/>
          <w:sz w:val="28"/>
          <w:szCs w:val="28"/>
        </w:rPr>
        <w:t>（二）“三公”经费财政拨款支出决算具体情况说明</w:t>
      </w:r>
      <w:bookmarkEnd w:id="81"/>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年“三公”经费财政拨款支出决算中，因公出国（境）费支出决算</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万元；公务用车购置及运行维护费支出决算</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万元；公务接待费支出决算</w:t>
      </w:r>
      <w:r>
        <w:rPr>
          <w:rFonts w:hint="eastAsia" w:ascii="仿宋" w:hAnsi="仿宋" w:eastAsia="仿宋" w:cs="仿宋"/>
          <w:color w:val="000000"/>
          <w:sz w:val="28"/>
          <w:szCs w:val="28"/>
          <w:lang w:val="en-US" w:eastAsia="zh-CN"/>
        </w:rPr>
        <w:t>0.16</w:t>
      </w:r>
      <w:r>
        <w:rPr>
          <w:rFonts w:hint="eastAsia" w:ascii="仿宋" w:hAnsi="仿宋" w:eastAsia="仿宋" w:cs="仿宋"/>
          <w:color w:val="000000"/>
          <w:sz w:val="28"/>
          <w:szCs w:val="28"/>
        </w:rPr>
        <w:t>万元，占</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rPr>
        <w:t>%。</w:t>
      </w:r>
    </w:p>
    <w:p>
      <w:pPr>
        <w:spacing w:line="600" w:lineRule="exact"/>
        <w:ind w:firstLine="645"/>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因公出国（境）经费支出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万元。全年安排因公出国（境）团组</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次，出国（境）</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人</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因公出国（境）支出决算比</w:t>
      </w:r>
      <w:r>
        <w:rPr>
          <w:rFonts w:hint="eastAsia" w:ascii="仿宋" w:hAnsi="仿宋" w:eastAsia="仿宋" w:cs="仿宋"/>
          <w:color w:val="000000"/>
          <w:sz w:val="28"/>
          <w:szCs w:val="28"/>
          <w:lang w:eastAsia="zh-CN"/>
        </w:rPr>
        <w:t>2019</w:t>
      </w:r>
      <w:r>
        <w:rPr>
          <w:rFonts w:hint="eastAsia" w:ascii="仿宋" w:hAnsi="仿宋" w:eastAsia="仿宋" w:cs="仿宋"/>
          <w:color w:val="000000"/>
          <w:sz w:val="28"/>
          <w:szCs w:val="28"/>
        </w:rPr>
        <w:t>年</w:t>
      </w:r>
      <w:r>
        <w:rPr>
          <w:rFonts w:hint="eastAsia" w:ascii="仿宋" w:hAnsi="仿宋" w:eastAsia="仿宋" w:cs="仿宋"/>
          <w:color w:val="000000"/>
          <w:sz w:val="28"/>
          <w:szCs w:val="28"/>
          <w:lang w:eastAsia="zh-CN"/>
        </w:rPr>
        <w:t>无增减。</w:t>
      </w:r>
    </w:p>
    <w:p>
      <w:pPr>
        <w:spacing w:line="600" w:lineRule="exact"/>
        <w:ind w:firstLine="645"/>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运行维护费支出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元。公务用车购置及运行维护费支出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万元因公出国（境）支出决算比</w:t>
      </w:r>
      <w:r>
        <w:rPr>
          <w:rFonts w:hint="eastAsia" w:ascii="仿宋" w:hAnsi="仿宋" w:eastAsia="仿宋" w:cs="仿宋"/>
          <w:color w:val="000000"/>
          <w:sz w:val="28"/>
          <w:szCs w:val="28"/>
          <w:lang w:eastAsia="zh-CN"/>
        </w:rPr>
        <w:t>2019</w:t>
      </w:r>
      <w:r>
        <w:rPr>
          <w:rFonts w:hint="eastAsia" w:ascii="仿宋" w:hAnsi="仿宋" w:eastAsia="仿宋" w:cs="仿宋"/>
          <w:color w:val="000000"/>
          <w:sz w:val="28"/>
          <w:szCs w:val="28"/>
        </w:rPr>
        <w:t>年</w:t>
      </w:r>
      <w:r>
        <w:rPr>
          <w:rFonts w:hint="eastAsia" w:ascii="仿宋" w:hAnsi="仿宋" w:eastAsia="仿宋" w:cs="仿宋"/>
          <w:color w:val="000000"/>
          <w:sz w:val="28"/>
          <w:szCs w:val="28"/>
          <w:lang w:eastAsia="zh-CN"/>
        </w:rPr>
        <w:t>无增减。</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其中：公务用车购置支出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元。全年按规定更新购置公务用车</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辆，金额</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元。截至</w:t>
      </w: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年12月底，单位共有公务用车</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辆，</w:t>
      </w:r>
    </w:p>
    <w:p>
      <w:pPr>
        <w:spacing w:line="600" w:lineRule="exact"/>
        <w:ind w:firstLine="645"/>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公务用车运行维护费支出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w:t>
      </w:r>
      <w:r>
        <w:rPr>
          <w:rFonts w:hint="eastAsia" w:ascii="仿宋" w:hAnsi="仿宋" w:eastAsia="仿宋" w:cs="仿宋"/>
          <w:color w:val="000000"/>
          <w:sz w:val="28"/>
          <w:szCs w:val="28"/>
          <w:lang w:eastAsia="zh-CN"/>
        </w:rPr>
        <w:t>。</w:t>
      </w:r>
    </w:p>
    <w:p>
      <w:pPr>
        <w:spacing w:line="600" w:lineRule="exact"/>
        <w:ind w:firstLine="645"/>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3.公务接待费支出</w:t>
      </w:r>
      <w:r>
        <w:rPr>
          <w:rFonts w:hint="eastAsia" w:ascii="仿宋" w:hAnsi="仿宋" w:eastAsia="仿宋" w:cs="仿宋"/>
          <w:color w:val="000000"/>
          <w:sz w:val="28"/>
          <w:szCs w:val="28"/>
          <w:lang w:val="en-US" w:eastAsia="zh-CN"/>
        </w:rPr>
        <w:t>0.16</w:t>
      </w:r>
      <w:r>
        <w:rPr>
          <w:rFonts w:hint="eastAsia" w:ascii="仿宋" w:hAnsi="仿宋" w:eastAsia="仿宋" w:cs="仿宋"/>
          <w:color w:val="000000"/>
          <w:sz w:val="28"/>
          <w:szCs w:val="28"/>
        </w:rPr>
        <w:t>万元，</w:t>
      </w:r>
      <w:r>
        <w:rPr>
          <w:rFonts w:hint="eastAsia" w:ascii="仿宋" w:hAnsi="仿宋" w:eastAsia="仿宋" w:cs="仿宋"/>
          <w:color w:val="000000"/>
          <w:sz w:val="28"/>
          <w:szCs w:val="28"/>
          <w:lang w:eastAsia="zh-CN"/>
        </w:rPr>
        <w:t>上级部门来研检查调研、</w:t>
      </w:r>
      <w:r>
        <w:rPr>
          <w:rFonts w:hint="eastAsia" w:ascii="仿宋" w:hAnsi="仿宋" w:eastAsia="仿宋" w:cs="仿宋"/>
          <w:color w:val="000000"/>
          <w:sz w:val="28"/>
          <w:szCs w:val="28"/>
        </w:rPr>
        <w:t>执行公务、开展业务活动</w:t>
      </w:r>
      <w:r>
        <w:rPr>
          <w:rFonts w:hint="eastAsia" w:ascii="仿宋" w:hAnsi="仿宋" w:eastAsia="仿宋" w:cs="仿宋"/>
          <w:color w:val="000000"/>
          <w:sz w:val="28"/>
          <w:szCs w:val="28"/>
          <w:lang w:eastAsia="zh-CN"/>
        </w:rPr>
        <w:t>等</w:t>
      </w:r>
      <w:r>
        <w:rPr>
          <w:rFonts w:hint="eastAsia" w:ascii="仿宋" w:hAnsi="仿宋" w:eastAsia="仿宋" w:cs="仿宋"/>
          <w:color w:val="000000"/>
          <w:sz w:val="28"/>
          <w:szCs w:val="28"/>
        </w:rPr>
        <w:t>开支用餐费</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完成预算</w:t>
      </w:r>
      <w:r>
        <w:rPr>
          <w:rFonts w:hint="eastAsia" w:ascii="仿宋" w:hAnsi="仿宋" w:eastAsia="仿宋" w:cs="仿宋"/>
          <w:color w:val="000000"/>
          <w:sz w:val="28"/>
          <w:szCs w:val="28"/>
          <w:lang w:val="en-US" w:eastAsia="zh-CN"/>
        </w:rPr>
        <w:t>53.33</w:t>
      </w:r>
      <w:r>
        <w:rPr>
          <w:rFonts w:hint="eastAsia" w:ascii="仿宋" w:hAnsi="仿宋" w:eastAsia="仿宋" w:cs="仿宋"/>
          <w:color w:val="000000"/>
          <w:sz w:val="28"/>
          <w:szCs w:val="28"/>
        </w:rPr>
        <w:t>%。公务接待费支出决算比</w:t>
      </w:r>
      <w:r>
        <w:rPr>
          <w:rFonts w:hint="eastAsia" w:ascii="仿宋" w:hAnsi="仿宋" w:eastAsia="仿宋" w:cs="仿宋"/>
          <w:color w:val="000000"/>
          <w:sz w:val="28"/>
          <w:szCs w:val="28"/>
          <w:lang w:eastAsia="zh-CN"/>
        </w:rPr>
        <w:t>2019</w:t>
      </w:r>
      <w:r>
        <w:rPr>
          <w:rFonts w:hint="eastAsia" w:ascii="仿宋" w:hAnsi="仿宋" w:eastAsia="仿宋" w:cs="仿宋"/>
          <w:color w:val="000000"/>
          <w:sz w:val="28"/>
          <w:szCs w:val="28"/>
        </w:rPr>
        <w:t>年增加</w:t>
      </w:r>
      <w:r>
        <w:rPr>
          <w:rFonts w:hint="eastAsia" w:ascii="仿宋" w:hAnsi="仿宋" w:eastAsia="仿宋" w:cs="仿宋"/>
          <w:color w:val="000000"/>
          <w:sz w:val="28"/>
          <w:szCs w:val="28"/>
          <w:lang w:val="en-US" w:eastAsia="zh-CN"/>
        </w:rPr>
        <w:t>0.04</w:t>
      </w:r>
      <w:r>
        <w:rPr>
          <w:rFonts w:hint="eastAsia" w:ascii="仿宋" w:hAnsi="仿宋" w:eastAsia="仿宋" w:cs="仿宋"/>
          <w:color w:val="000000"/>
          <w:sz w:val="28"/>
          <w:szCs w:val="28"/>
        </w:rPr>
        <w:t>万元，增长</w:t>
      </w:r>
      <w:r>
        <w:rPr>
          <w:rFonts w:hint="eastAsia" w:ascii="仿宋" w:hAnsi="仿宋" w:eastAsia="仿宋" w:cs="仿宋"/>
          <w:color w:val="000000"/>
          <w:sz w:val="28"/>
          <w:szCs w:val="28"/>
          <w:lang w:val="en-US" w:eastAsia="zh-CN"/>
        </w:rPr>
        <w:t>30</w:t>
      </w:r>
      <w:r>
        <w:rPr>
          <w:rFonts w:hint="eastAsia" w:ascii="仿宋" w:hAnsi="仿宋" w:eastAsia="仿宋" w:cs="仿宋"/>
          <w:color w:val="000000"/>
          <w:sz w:val="28"/>
          <w:szCs w:val="28"/>
        </w:rPr>
        <w:t>%。主要原因：</w:t>
      </w:r>
      <w:r>
        <w:rPr>
          <w:rFonts w:hint="eastAsia" w:ascii="仿宋" w:hAnsi="仿宋" w:eastAsia="仿宋" w:cs="仿宋"/>
          <w:color w:val="000000"/>
          <w:sz w:val="28"/>
          <w:szCs w:val="28"/>
          <w:lang w:eastAsia="zh-CN"/>
        </w:rPr>
        <w:t>疫情发生交流接待增多。</w:t>
      </w:r>
    </w:p>
    <w:p>
      <w:pPr>
        <w:spacing w:line="600" w:lineRule="exact"/>
        <w:ind w:firstLine="645"/>
        <w:rPr>
          <w:rFonts w:hint="eastAsia" w:ascii="黑体" w:hAnsi="黑体" w:eastAsia="黑体" w:cs="黑体"/>
          <w:color w:val="000000"/>
          <w:sz w:val="28"/>
          <w:szCs w:val="28"/>
        </w:rPr>
      </w:pPr>
      <w:bookmarkStart w:id="82" w:name="_Toc15396610"/>
      <w:bookmarkStart w:id="83" w:name="_Toc15377218"/>
      <w:bookmarkStart w:id="84" w:name="_Toc16701_WPSOffice_Level2"/>
      <w:r>
        <w:rPr>
          <w:rFonts w:hint="eastAsia" w:ascii="黑体" w:hAnsi="黑体" w:eastAsia="黑体" w:cs="黑体"/>
          <w:color w:val="000000"/>
          <w:sz w:val="28"/>
          <w:szCs w:val="28"/>
        </w:rPr>
        <w:t>八、政府性基金预算支出决算情况说明</w:t>
      </w:r>
      <w:bookmarkEnd w:id="82"/>
      <w:bookmarkEnd w:id="83"/>
      <w:bookmarkEnd w:id="84"/>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年政府性基金预算拨款支出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w:t>
      </w:r>
    </w:p>
    <w:p>
      <w:pPr>
        <w:spacing w:line="600" w:lineRule="exact"/>
        <w:ind w:firstLine="645"/>
        <w:rPr>
          <w:rFonts w:hint="eastAsia" w:ascii="黑体" w:hAnsi="黑体" w:eastAsia="黑体" w:cs="黑体"/>
          <w:color w:val="000000"/>
          <w:sz w:val="28"/>
          <w:szCs w:val="28"/>
        </w:rPr>
      </w:pPr>
      <w:bookmarkStart w:id="85" w:name="_Toc15377219"/>
      <w:bookmarkStart w:id="86" w:name="_Toc15396611"/>
      <w:bookmarkStart w:id="87" w:name="_Toc6562_WPSOffice_Level2"/>
      <w:r>
        <w:rPr>
          <w:rFonts w:hint="eastAsia" w:ascii="黑体" w:hAnsi="黑体" w:eastAsia="黑体" w:cs="黑体"/>
          <w:color w:val="000000"/>
          <w:sz w:val="28"/>
          <w:szCs w:val="28"/>
          <w:lang w:eastAsia="zh-CN"/>
        </w:rPr>
        <w:t>九、</w:t>
      </w:r>
      <w:r>
        <w:rPr>
          <w:rFonts w:hint="eastAsia" w:ascii="黑体" w:hAnsi="黑体" w:eastAsia="黑体" w:cs="黑体"/>
          <w:color w:val="000000"/>
          <w:sz w:val="28"/>
          <w:szCs w:val="28"/>
        </w:rPr>
        <w:t>国有资本经营预算支出决算情况说明</w:t>
      </w:r>
      <w:bookmarkEnd w:id="85"/>
      <w:bookmarkEnd w:id="86"/>
      <w:bookmarkEnd w:id="87"/>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年国有资本经营预算拨款支出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w:t>
      </w:r>
    </w:p>
    <w:p>
      <w:pPr>
        <w:spacing w:line="600" w:lineRule="exact"/>
        <w:ind w:firstLine="560" w:firstLineChars="200"/>
        <w:rPr>
          <w:rFonts w:hint="eastAsia" w:ascii="黑体" w:hAnsi="黑体" w:eastAsia="黑体" w:cs="黑体"/>
          <w:color w:val="000000"/>
          <w:sz w:val="28"/>
          <w:szCs w:val="28"/>
        </w:rPr>
      </w:pPr>
      <w:bookmarkStart w:id="88" w:name="_Toc15396612"/>
      <w:bookmarkStart w:id="89" w:name="_Toc11984_WPSOffice_Level2"/>
      <w:bookmarkStart w:id="90" w:name="_Toc15377221"/>
      <w:r>
        <w:rPr>
          <w:rFonts w:hint="eastAsia" w:ascii="黑体" w:hAnsi="黑体" w:eastAsia="黑体" w:cs="黑体"/>
          <w:color w:val="000000"/>
          <w:sz w:val="28"/>
          <w:szCs w:val="28"/>
        </w:rPr>
        <w:t>十、其他重要事项的情况说明</w:t>
      </w:r>
      <w:bookmarkEnd w:id="88"/>
      <w:bookmarkEnd w:id="89"/>
      <w:bookmarkEnd w:id="90"/>
    </w:p>
    <w:p>
      <w:pPr>
        <w:spacing w:line="600" w:lineRule="exact"/>
        <w:ind w:firstLine="645"/>
        <w:rPr>
          <w:rFonts w:hint="eastAsia" w:ascii="仿宋" w:hAnsi="仿宋" w:eastAsia="仿宋" w:cs="仿宋"/>
          <w:color w:val="000000"/>
          <w:sz w:val="28"/>
          <w:szCs w:val="28"/>
        </w:rPr>
      </w:pPr>
      <w:bookmarkStart w:id="91" w:name="_Toc15377222"/>
      <w:r>
        <w:rPr>
          <w:rFonts w:hint="eastAsia" w:ascii="仿宋" w:hAnsi="仿宋" w:eastAsia="仿宋" w:cs="仿宋"/>
          <w:color w:val="000000"/>
          <w:sz w:val="28"/>
          <w:szCs w:val="28"/>
        </w:rPr>
        <w:t>（一）机关运行经费支出情况</w:t>
      </w:r>
      <w:bookmarkEnd w:id="91"/>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w:t>
      </w:r>
      <w:r>
        <w:rPr>
          <w:rFonts w:hint="eastAsia" w:ascii="仿宋" w:hAnsi="仿宋" w:eastAsia="仿宋" w:cs="仿宋"/>
          <w:color w:val="000000"/>
          <w:sz w:val="28"/>
          <w:szCs w:val="28"/>
          <w:lang w:eastAsia="zh-CN"/>
        </w:rPr>
        <w:t>社会保险事务中心</w:t>
      </w:r>
      <w:r>
        <w:rPr>
          <w:rFonts w:hint="eastAsia" w:ascii="仿宋" w:hAnsi="仿宋" w:eastAsia="仿宋" w:cs="仿宋"/>
          <w:color w:val="000000"/>
          <w:sz w:val="28"/>
          <w:szCs w:val="28"/>
        </w:rPr>
        <w:t>机关运行经费支出</w:t>
      </w:r>
      <w:r>
        <w:rPr>
          <w:rFonts w:hint="eastAsia" w:ascii="仿宋" w:hAnsi="仿宋" w:eastAsia="仿宋" w:cs="仿宋"/>
          <w:color w:val="000000"/>
          <w:sz w:val="28"/>
          <w:szCs w:val="28"/>
          <w:lang w:val="en-US" w:eastAsia="zh-CN"/>
        </w:rPr>
        <w:t>148.75</w:t>
      </w:r>
      <w:r>
        <w:rPr>
          <w:rFonts w:hint="eastAsia" w:ascii="仿宋" w:hAnsi="仿宋" w:eastAsia="仿宋" w:cs="仿宋"/>
          <w:color w:val="000000"/>
          <w:sz w:val="28"/>
          <w:szCs w:val="28"/>
        </w:rPr>
        <w:t>元，比</w:t>
      </w:r>
      <w:r>
        <w:rPr>
          <w:rFonts w:hint="eastAsia" w:ascii="仿宋" w:hAnsi="仿宋" w:eastAsia="仿宋" w:cs="仿宋"/>
          <w:color w:val="000000"/>
          <w:sz w:val="28"/>
          <w:szCs w:val="28"/>
          <w:lang w:eastAsia="zh-CN"/>
        </w:rPr>
        <w:t>2019</w:t>
      </w:r>
      <w:r>
        <w:rPr>
          <w:rFonts w:hint="eastAsia" w:ascii="仿宋" w:hAnsi="仿宋" w:eastAsia="仿宋" w:cs="仿宋"/>
          <w:color w:val="000000"/>
          <w:sz w:val="28"/>
          <w:szCs w:val="28"/>
        </w:rPr>
        <w:t>年减少</w:t>
      </w:r>
      <w:r>
        <w:rPr>
          <w:rFonts w:hint="eastAsia" w:ascii="仿宋" w:hAnsi="仿宋" w:eastAsia="仿宋" w:cs="仿宋"/>
          <w:color w:val="000000"/>
          <w:sz w:val="28"/>
          <w:szCs w:val="28"/>
          <w:lang w:val="en-US" w:eastAsia="zh-CN"/>
        </w:rPr>
        <w:t>4.93</w:t>
      </w:r>
      <w:r>
        <w:rPr>
          <w:rFonts w:hint="eastAsia" w:ascii="仿宋" w:hAnsi="仿宋" w:eastAsia="仿宋" w:cs="仿宋"/>
          <w:color w:val="000000"/>
          <w:sz w:val="28"/>
          <w:szCs w:val="28"/>
        </w:rPr>
        <w:t>万元，增长/下降</w:t>
      </w:r>
      <w:r>
        <w:rPr>
          <w:rFonts w:hint="eastAsia" w:ascii="仿宋" w:hAnsi="仿宋" w:eastAsia="仿宋" w:cs="仿宋"/>
          <w:color w:val="000000"/>
          <w:sz w:val="28"/>
          <w:szCs w:val="28"/>
          <w:lang w:val="en-US" w:eastAsia="zh-CN"/>
        </w:rPr>
        <w:t>3.2</w:t>
      </w:r>
      <w:r>
        <w:rPr>
          <w:rFonts w:hint="eastAsia" w:ascii="仿宋" w:hAnsi="仿宋" w:eastAsia="仿宋" w:cs="仿宋"/>
          <w:color w:val="000000"/>
          <w:sz w:val="28"/>
          <w:szCs w:val="28"/>
        </w:rPr>
        <w:t>%。主要原因</w:t>
      </w:r>
      <w:r>
        <w:rPr>
          <w:rFonts w:hint="eastAsia" w:ascii="仿宋" w:hAnsi="仿宋" w:eastAsia="仿宋" w:cs="仿宋"/>
          <w:color w:val="000000"/>
          <w:sz w:val="28"/>
          <w:szCs w:val="28"/>
          <w:lang w:eastAsia="zh-CN"/>
        </w:rPr>
        <w:t>是压缩单位</w:t>
      </w:r>
      <w:r>
        <w:rPr>
          <w:rFonts w:hint="eastAsia" w:ascii="仿宋" w:hAnsi="仿宋" w:eastAsia="仿宋" w:cs="仿宋"/>
          <w:color w:val="000000"/>
          <w:sz w:val="28"/>
          <w:szCs w:val="28"/>
        </w:rPr>
        <w:t>运行经费支出</w:t>
      </w:r>
      <w:r>
        <w:rPr>
          <w:rFonts w:hint="eastAsia" w:ascii="仿宋" w:hAnsi="仿宋" w:eastAsia="仿宋" w:cs="仿宋"/>
          <w:color w:val="000000"/>
          <w:sz w:val="28"/>
          <w:szCs w:val="28"/>
          <w:lang w:eastAsia="zh-CN"/>
        </w:rPr>
        <w:t>。</w:t>
      </w:r>
    </w:p>
    <w:p>
      <w:pPr>
        <w:spacing w:line="600" w:lineRule="exact"/>
        <w:ind w:firstLine="645"/>
        <w:rPr>
          <w:rFonts w:hint="eastAsia" w:ascii="仿宋" w:hAnsi="仿宋" w:eastAsia="仿宋" w:cs="仿宋"/>
          <w:color w:val="000000"/>
          <w:sz w:val="28"/>
          <w:szCs w:val="28"/>
        </w:rPr>
      </w:pPr>
      <w:bookmarkStart w:id="92" w:name="_Toc15377223"/>
      <w:r>
        <w:rPr>
          <w:rFonts w:hint="eastAsia" w:ascii="仿宋" w:hAnsi="仿宋" w:eastAsia="仿宋" w:cs="仿宋"/>
          <w:color w:val="000000"/>
          <w:sz w:val="28"/>
          <w:szCs w:val="28"/>
        </w:rPr>
        <w:t>（二）政府采购支出情况</w:t>
      </w:r>
      <w:bookmarkEnd w:id="92"/>
    </w:p>
    <w:p>
      <w:pPr>
        <w:spacing w:line="600" w:lineRule="exact"/>
        <w:ind w:firstLine="645"/>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w:t>
      </w:r>
      <w:r>
        <w:rPr>
          <w:rFonts w:hint="eastAsia" w:ascii="仿宋" w:hAnsi="仿宋" w:eastAsia="仿宋" w:cs="仿宋"/>
          <w:color w:val="000000"/>
          <w:sz w:val="28"/>
          <w:szCs w:val="28"/>
          <w:lang w:eastAsia="zh-CN"/>
        </w:rPr>
        <w:t>社会保险事务中心</w:t>
      </w:r>
      <w:r>
        <w:rPr>
          <w:rFonts w:hint="eastAsia" w:ascii="仿宋" w:hAnsi="仿宋" w:eastAsia="仿宋" w:cs="仿宋"/>
          <w:color w:val="000000"/>
          <w:sz w:val="28"/>
          <w:szCs w:val="28"/>
        </w:rPr>
        <w:t>政府采购支出总额</w:t>
      </w:r>
      <w:r>
        <w:rPr>
          <w:rFonts w:hint="eastAsia" w:ascii="仿宋" w:hAnsi="仿宋" w:eastAsia="仿宋" w:cs="仿宋"/>
          <w:color w:val="000000"/>
          <w:sz w:val="28"/>
          <w:szCs w:val="28"/>
          <w:lang w:val="en-US" w:eastAsia="zh-CN"/>
        </w:rPr>
        <w:t>4.53</w:t>
      </w:r>
      <w:r>
        <w:rPr>
          <w:rFonts w:hint="eastAsia" w:ascii="仿宋" w:hAnsi="仿宋" w:eastAsia="仿宋" w:cs="仿宋"/>
          <w:color w:val="000000"/>
          <w:sz w:val="28"/>
          <w:szCs w:val="28"/>
        </w:rPr>
        <w:t>万元，其中：政府采购货物支出</w:t>
      </w:r>
      <w:r>
        <w:rPr>
          <w:rFonts w:hint="eastAsia" w:ascii="仿宋" w:hAnsi="仿宋" w:eastAsia="仿宋" w:cs="仿宋"/>
          <w:color w:val="000000"/>
          <w:sz w:val="28"/>
          <w:szCs w:val="28"/>
          <w:lang w:val="en-US" w:eastAsia="zh-CN"/>
        </w:rPr>
        <w:t>4.53</w:t>
      </w:r>
      <w:r>
        <w:rPr>
          <w:rFonts w:hint="eastAsia" w:ascii="仿宋" w:hAnsi="仿宋" w:eastAsia="仿宋" w:cs="仿宋"/>
          <w:color w:val="000000"/>
          <w:sz w:val="28"/>
          <w:szCs w:val="28"/>
        </w:rPr>
        <w:t>万元、政府采购工程支出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万元、政府采购服务支出</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万元。主要用于</w:t>
      </w:r>
      <w:r>
        <w:rPr>
          <w:rFonts w:hint="eastAsia" w:ascii="仿宋" w:hAnsi="仿宋" w:eastAsia="仿宋" w:cs="仿宋"/>
          <w:color w:val="000000"/>
          <w:sz w:val="28"/>
          <w:szCs w:val="28"/>
          <w:lang w:eastAsia="zh-CN"/>
        </w:rPr>
        <w:t>办公设备购置。</w:t>
      </w:r>
    </w:p>
    <w:p>
      <w:pPr>
        <w:spacing w:line="600" w:lineRule="exact"/>
        <w:ind w:firstLine="645"/>
        <w:rPr>
          <w:rFonts w:hint="eastAsia" w:ascii="仿宋" w:hAnsi="仿宋" w:eastAsia="仿宋" w:cs="仿宋"/>
          <w:color w:val="000000"/>
          <w:sz w:val="28"/>
          <w:szCs w:val="28"/>
        </w:rPr>
      </w:pPr>
      <w:bookmarkStart w:id="93" w:name="_Toc15377224"/>
      <w:r>
        <w:rPr>
          <w:rFonts w:hint="eastAsia" w:ascii="仿宋" w:hAnsi="仿宋" w:eastAsia="仿宋" w:cs="仿宋"/>
          <w:color w:val="000000"/>
          <w:sz w:val="28"/>
          <w:szCs w:val="28"/>
        </w:rPr>
        <w:t>（三）国有资产占有使用情况</w:t>
      </w:r>
      <w:bookmarkEnd w:id="93"/>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截至</w:t>
      </w: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年12月31日，</w:t>
      </w:r>
      <w:r>
        <w:rPr>
          <w:rFonts w:hint="eastAsia" w:ascii="仿宋" w:hAnsi="仿宋" w:eastAsia="仿宋" w:cs="仿宋"/>
          <w:color w:val="000000"/>
          <w:sz w:val="28"/>
          <w:szCs w:val="28"/>
          <w:lang w:eastAsia="zh-CN"/>
        </w:rPr>
        <w:t>社会保险事务中心</w:t>
      </w:r>
      <w:r>
        <w:rPr>
          <w:rFonts w:hint="eastAsia" w:ascii="仿宋" w:hAnsi="仿宋" w:eastAsia="仿宋" w:cs="仿宋"/>
          <w:color w:val="000000"/>
          <w:sz w:val="28"/>
          <w:szCs w:val="28"/>
        </w:rPr>
        <w:t>共有车辆</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辆</w:t>
      </w:r>
      <w:r>
        <w:rPr>
          <w:rFonts w:hint="eastAsia" w:ascii="仿宋" w:hAnsi="仿宋" w:eastAsia="仿宋" w:cs="仿宋"/>
          <w:color w:val="000000"/>
          <w:sz w:val="28"/>
          <w:szCs w:val="28"/>
          <w:lang w:eastAsia="zh-CN"/>
        </w:rPr>
        <w:t>。</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（四）预算绩效管理情况。</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根据预算绩效管理要求，本部门（单位）在年初预算编制阶段，组织对</w:t>
      </w:r>
      <w:r>
        <w:rPr>
          <w:rFonts w:hint="eastAsia" w:ascii="仿宋" w:hAnsi="仿宋" w:eastAsia="仿宋" w:cs="仿宋"/>
          <w:color w:val="000000"/>
          <w:sz w:val="28"/>
          <w:szCs w:val="28"/>
          <w:lang w:val="en-US" w:eastAsia="zh-CN"/>
        </w:rPr>
        <w:t>10个</w:t>
      </w:r>
      <w:r>
        <w:rPr>
          <w:rFonts w:hint="eastAsia" w:ascii="仿宋" w:hAnsi="仿宋" w:eastAsia="仿宋" w:cs="仿宋"/>
          <w:color w:val="000000"/>
          <w:sz w:val="28"/>
          <w:szCs w:val="28"/>
        </w:rPr>
        <w:t>项目开展了预算事前绩效评估，对</w:t>
      </w: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个项目编制了绩效目标，预算执行过程中，</w:t>
      </w:r>
      <w:r>
        <w:rPr>
          <w:rFonts w:hint="eastAsia" w:ascii="仿宋" w:hAnsi="仿宋" w:eastAsia="仿宋" w:cs="仿宋"/>
          <w:color w:val="000000"/>
          <w:sz w:val="28"/>
          <w:szCs w:val="28"/>
          <w:lang w:eastAsia="zh-CN"/>
        </w:rPr>
        <w:t>对</w:t>
      </w: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个项目开展绩效监控，年终执行完毕后，对</w:t>
      </w: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个项目开展了绩效目标完成情况自评。从评价情况来看，总体情况完成较好，通过绩效评价目标导向功促进</w:t>
      </w:r>
      <w:r>
        <w:rPr>
          <w:rFonts w:hint="eastAsia" w:ascii="仿宋" w:hAnsi="仿宋" w:eastAsia="仿宋" w:cs="仿宋"/>
          <w:color w:val="000000"/>
          <w:sz w:val="28"/>
          <w:szCs w:val="28"/>
          <w:lang w:eastAsia="zh-CN"/>
        </w:rPr>
        <w:t>我院</w:t>
      </w:r>
      <w:r>
        <w:rPr>
          <w:rFonts w:hint="eastAsia" w:ascii="仿宋" w:hAnsi="仿宋" w:eastAsia="仿宋" w:cs="仿宋"/>
          <w:color w:val="000000"/>
          <w:sz w:val="28"/>
          <w:szCs w:val="28"/>
        </w:rPr>
        <w:t>顺利完成20</w:t>
      </w:r>
      <w:r>
        <w:rPr>
          <w:rFonts w:hint="eastAsia" w:ascii="仿宋" w:hAnsi="仿宋" w:eastAsia="仿宋" w:cs="仿宋"/>
          <w:color w:val="000000"/>
          <w:sz w:val="28"/>
          <w:szCs w:val="28"/>
          <w:lang w:val="en-US" w:eastAsia="zh-CN"/>
        </w:rPr>
        <w:t>20</w:t>
      </w:r>
      <w:r>
        <w:rPr>
          <w:rFonts w:hint="eastAsia" w:ascii="仿宋" w:hAnsi="仿宋" w:eastAsia="仿宋" w:cs="仿宋"/>
          <w:color w:val="000000"/>
          <w:sz w:val="28"/>
          <w:szCs w:val="28"/>
        </w:rPr>
        <w:t>年度工作目标任务，提升了本县群众就</w:t>
      </w:r>
      <w:r>
        <w:rPr>
          <w:rFonts w:hint="eastAsia" w:ascii="仿宋" w:hAnsi="仿宋" w:eastAsia="仿宋" w:cs="仿宋"/>
          <w:color w:val="000000"/>
          <w:sz w:val="28"/>
          <w:szCs w:val="28"/>
          <w:lang w:eastAsia="zh-CN"/>
        </w:rPr>
        <w:t>“满意</w:t>
      </w:r>
      <w:r>
        <w:rPr>
          <w:rFonts w:hint="eastAsia" w:ascii="仿宋" w:hAnsi="仿宋" w:eastAsia="仿宋" w:cs="仿宋"/>
          <w:color w:val="000000"/>
          <w:sz w:val="28"/>
          <w:szCs w:val="28"/>
        </w:rPr>
        <w:t>感”。</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从评价情况来看总体情况完成较好，资金资支付和目标任务都能按照要求按时保质保量完成，且社会效益和群众满意方面反响不错，成效突出。</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项目绩效目标完成情况。</w:t>
      </w:r>
    </w:p>
    <w:p>
      <w:pPr>
        <w:spacing w:line="600" w:lineRule="exact"/>
        <w:ind w:firstLine="645"/>
        <w:rPr>
          <w:rFonts w:hint="eastAsia" w:ascii="仿宋" w:hAnsi="仿宋" w:eastAsia="仿宋" w:cs="仿宋"/>
          <w:color w:val="000000"/>
          <w:sz w:val="28"/>
          <w:szCs w:val="28"/>
          <w:lang w:val="en-US"/>
        </w:rPr>
      </w:pPr>
      <w:r>
        <w:rPr>
          <w:rFonts w:hint="eastAsia" w:ascii="仿宋" w:hAnsi="仿宋" w:eastAsia="仿宋" w:cs="仿宋"/>
          <w:color w:val="000000"/>
          <w:sz w:val="28"/>
          <w:szCs w:val="28"/>
        </w:rPr>
        <w:t>本部门在</w:t>
      </w:r>
      <w:r>
        <w:rPr>
          <w:rFonts w:hint="eastAsia" w:ascii="仿宋" w:hAnsi="仿宋" w:eastAsia="仿宋" w:cs="仿宋"/>
          <w:color w:val="000000"/>
          <w:sz w:val="28"/>
          <w:szCs w:val="28"/>
          <w:lang w:eastAsia="zh-CN"/>
        </w:rPr>
        <w:t>2020</w:t>
      </w:r>
      <w:r>
        <w:rPr>
          <w:rFonts w:hint="eastAsia" w:ascii="仿宋" w:hAnsi="仿宋" w:eastAsia="仿宋" w:cs="仿宋"/>
          <w:color w:val="000000"/>
          <w:sz w:val="28"/>
          <w:szCs w:val="28"/>
        </w:rPr>
        <w:t>年度部门决算中反映“机保丧葬费、抚恤金”</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城乡居民基本养老保险县级配套资金”</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“特殊政策军龄认定财政补差</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财政为贫困人口代缴城乡居民养老保险费</w:t>
      </w:r>
      <w:r>
        <w:rPr>
          <w:rFonts w:hint="eastAsia" w:ascii="仿宋" w:hAnsi="仿宋" w:eastAsia="仿宋" w:cs="仿宋"/>
          <w:color w:val="000000"/>
          <w:sz w:val="28"/>
          <w:szCs w:val="28"/>
          <w:lang w:eastAsia="zh-CN"/>
        </w:rPr>
        <w:t>”、“财政为特困人员、低保对象、残疾人（1－2级重残、精神智力3－4级残疾人）代缴城乡居民养老保险费”等</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个项目绩效目标实际完成情况。</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（1）财政为贫困人口代缴城乡居民养老保险费</w:t>
      </w:r>
      <w:r>
        <w:rPr>
          <w:rFonts w:hint="eastAsia" w:ascii="仿宋" w:hAnsi="仿宋" w:eastAsia="仿宋" w:cs="仿宋"/>
          <w:color w:val="000000"/>
          <w:sz w:val="28"/>
          <w:szCs w:val="28"/>
          <w:lang w:val="zh-CN"/>
        </w:rPr>
        <w:t>项目</w:t>
      </w:r>
      <w:r>
        <w:rPr>
          <w:rFonts w:hint="eastAsia" w:ascii="仿宋" w:hAnsi="仿宋" w:eastAsia="仿宋" w:cs="仿宋"/>
          <w:color w:val="000000"/>
          <w:sz w:val="28"/>
          <w:szCs w:val="28"/>
        </w:rPr>
        <w:t>项目绩效目标完成情况综述。项目全年预算数</w:t>
      </w:r>
      <w:r>
        <w:rPr>
          <w:rFonts w:hint="eastAsia" w:ascii="仿宋" w:hAnsi="仿宋" w:eastAsia="仿宋" w:cs="仿宋"/>
          <w:color w:val="000000"/>
          <w:sz w:val="28"/>
          <w:szCs w:val="28"/>
          <w:lang w:val="en-US" w:eastAsia="zh-CN"/>
        </w:rPr>
        <w:t>87.42</w:t>
      </w:r>
      <w:r>
        <w:rPr>
          <w:rFonts w:hint="eastAsia" w:ascii="仿宋" w:hAnsi="仿宋" w:eastAsia="仿宋" w:cs="仿宋"/>
          <w:color w:val="000000"/>
          <w:sz w:val="28"/>
          <w:szCs w:val="28"/>
        </w:rPr>
        <w:t>万元，执行数为</w:t>
      </w:r>
      <w:r>
        <w:rPr>
          <w:rFonts w:hint="eastAsia" w:ascii="仿宋" w:hAnsi="仿宋" w:eastAsia="仿宋" w:cs="仿宋"/>
          <w:color w:val="000000"/>
          <w:sz w:val="28"/>
          <w:szCs w:val="28"/>
          <w:lang w:val="en-US" w:eastAsia="zh-CN"/>
        </w:rPr>
        <w:t>33.37</w:t>
      </w:r>
      <w:r>
        <w:rPr>
          <w:rFonts w:hint="eastAsia" w:ascii="仿宋" w:hAnsi="仿宋" w:eastAsia="仿宋" w:cs="仿宋"/>
          <w:color w:val="000000"/>
          <w:sz w:val="28"/>
          <w:szCs w:val="28"/>
        </w:rPr>
        <w:t>万元，完成预算的</w:t>
      </w:r>
      <w:r>
        <w:rPr>
          <w:rFonts w:hint="eastAsia" w:ascii="仿宋" w:hAnsi="仿宋" w:eastAsia="仿宋" w:cs="仿宋"/>
          <w:color w:val="000000"/>
          <w:sz w:val="28"/>
          <w:szCs w:val="28"/>
          <w:lang w:val="en-US" w:eastAsia="zh-CN"/>
        </w:rPr>
        <w:t>38</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，实际完成代缴</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rPr>
        <w:t>。通过项目实施，</w:t>
      </w:r>
      <w:r>
        <w:rPr>
          <w:rFonts w:hint="eastAsia" w:ascii="仿宋" w:hAnsi="仿宋" w:eastAsia="仿宋" w:cs="仿宋"/>
          <w:color w:val="000000"/>
          <w:sz w:val="28"/>
          <w:szCs w:val="28"/>
          <w:lang w:eastAsia="zh-CN"/>
        </w:rPr>
        <w:t>确保贫困人员老有所养。</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eastAsia="zh-CN"/>
        </w:rPr>
        <w:t>财政为特困人员、低保对象、残疾人（1－2级重残、精神智力3－4级残疾人）代缴城乡居民养老保险费</w:t>
      </w:r>
      <w:r>
        <w:rPr>
          <w:rFonts w:hint="eastAsia" w:ascii="仿宋" w:hAnsi="仿宋" w:eastAsia="仿宋" w:cs="仿宋"/>
          <w:color w:val="000000"/>
          <w:sz w:val="28"/>
          <w:szCs w:val="28"/>
          <w:lang w:val="zh-CN"/>
        </w:rPr>
        <w:t>项目</w:t>
      </w:r>
      <w:r>
        <w:rPr>
          <w:rFonts w:hint="eastAsia" w:ascii="仿宋" w:hAnsi="仿宋" w:eastAsia="仿宋" w:cs="仿宋"/>
          <w:color w:val="000000"/>
          <w:sz w:val="28"/>
          <w:szCs w:val="28"/>
        </w:rPr>
        <w:t>项目绩效目标完成情况综述。项目全年预算数</w:t>
      </w:r>
      <w:r>
        <w:rPr>
          <w:rFonts w:hint="eastAsia" w:ascii="仿宋" w:hAnsi="仿宋" w:eastAsia="仿宋" w:cs="仿宋"/>
          <w:color w:val="000000"/>
          <w:sz w:val="28"/>
          <w:szCs w:val="28"/>
          <w:lang w:val="en-US" w:eastAsia="zh-CN"/>
        </w:rPr>
        <w:t>139.28</w:t>
      </w:r>
      <w:r>
        <w:rPr>
          <w:rFonts w:hint="eastAsia" w:ascii="仿宋" w:hAnsi="仿宋" w:eastAsia="仿宋" w:cs="仿宋"/>
          <w:color w:val="000000"/>
          <w:sz w:val="28"/>
          <w:szCs w:val="28"/>
        </w:rPr>
        <w:t>万元，执行数为</w:t>
      </w:r>
      <w:r>
        <w:rPr>
          <w:rFonts w:hint="eastAsia" w:ascii="仿宋" w:hAnsi="仿宋" w:eastAsia="仿宋" w:cs="仿宋"/>
          <w:color w:val="000000"/>
          <w:sz w:val="28"/>
          <w:szCs w:val="28"/>
          <w:lang w:val="en-US" w:eastAsia="zh-CN"/>
        </w:rPr>
        <w:t>85.2</w:t>
      </w:r>
      <w:r>
        <w:rPr>
          <w:rFonts w:hint="eastAsia" w:ascii="仿宋" w:hAnsi="仿宋" w:eastAsia="仿宋" w:cs="仿宋"/>
          <w:color w:val="000000"/>
          <w:sz w:val="28"/>
          <w:szCs w:val="28"/>
        </w:rPr>
        <w:t>万元，完成预算的</w:t>
      </w:r>
      <w:r>
        <w:rPr>
          <w:rFonts w:hint="eastAsia" w:ascii="仿宋" w:hAnsi="仿宋" w:eastAsia="仿宋" w:cs="仿宋"/>
          <w:color w:val="000000"/>
          <w:sz w:val="28"/>
          <w:szCs w:val="28"/>
          <w:lang w:val="en-US" w:eastAsia="zh-CN"/>
        </w:rPr>
        <w:t>61</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，实际完成代缴</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rPr>
        <w:t>。通过项目实施，</w:t>
      </w:r>
      <w:r>
        <w:rPr>
          <w:rFonts w:hint="eastAsia" w:ascii="仿宋" w:hAnsi="仿宋" w:eastAsia="仿宋" w:cs="仿宋"/>
          <w:color w:val="000000"/>
          <w:sz w:val="28"/>
          <w:szCs w:val="28"/>
          <w:lang w:eastAsia="zh-CN"/>
        </w:rPr>
        <w:t>确保特困人员、低保对象、残疾人人员老有所养。</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⑶机保丧葬费、抚恤金</w:t>
      </w:r>
      <w:r>
        <w:rPr>
          <w:rFonts w:hint="eastAsia" w:ascii="仿宋" w:hAnsi="仿宋" w:eastAsia="仿宋" w:cs="仿宋"/>
          <w:color w:val="000000"/>
          <w:sz w:val="28"/>
          <w:szCs w:val="28"/>
          <w:lang w:val="zh-CN"/>
        </w:rPr>
        <w:t>项目</w:t>
      </w:r>
      <w:r>
        <w:rPr>
          <w:rFonts w:hint="eastAsia" w:ascii="仿宋" w:hAnsi="仿宋" w:eastAsia="仿宋" w:cs="仿宋"/>
          <w:color w:val="000000"/>
          <w:sz w:val="28"/>
          <w:szCs w:val="28"/>
        </w:rPr>
        <w:t>项目绩效目标完成情况综述。项目全年预算数</w:t>
      </w:r>
      <w:r>
        <w:rPr>
          <w:rFonts w:hint="eastAsia" w:ascii="仿宋" w:hAnsi="仿宋" w:eastAsia="仿宋" w:cs="仿宋"/>
          <w:color w:val="000000"/>
          <w:sz w:val="28"/>
          <w:szCs w:val="28"/>
          <w:lang w:val="en-US" w:eastAsia="zh-CN"/>
        </w:rPr>
        <w:t>400</w:t>
      </w:r>
      <w:r>
        <w:rPr>
          <w:rFonts w:hint="eastAsia" w:ascii="仿宋" w:hAnsi="仿宋" w:eastAsia="仿宋" w:cs="仿宋"/>
          <w:color w:val="000000"/>
          <w:sz w:val="28"/>
          <w:szCs w:val="28"/>
        </w:rPr>
        <w:t>万元，执行数为</w:t>
      </w:r>
      <w:r>
        <w:rPr>
          <w:rFonts w:hint="eastAsia" w:ascii="仿宋" w:hAnsi="仿宋" w:eastAsia="仿宋" w:cs="仿宋"/>
          <w:color w:val="000000"/>
          <w:sz w:val="28"/>
          <w:szCs w:val="28"/>
          <w:lang w:val="en-US" w:eastAsia="zh-CN"/>
        </w:rPr>
        <w:t>560.56</w:t>
      </w:r>
      <w:r>
        <w:rPr>
          <w:rFonts w:hint="eastAsia" w:ascii="仿宋" w:hAnsi="仿宋" w:eastAsia="仿宋" w:cs="仿宋"/>
          <w:color w:val="000000"/>
          <w:sz w:val="28"/>
          <w:szCs w:val="28"/>
        </w:rPr>
        <w:t>万元，完成预算的</w:t>
      </w:r>
      <w:r>
        <w:rPr>
          <w:rFonts w:hint="eastAsia" w:ascii="仿宋" w:hAnsi="仿宋" w:eastAsia="仿宋" w:cs="仿宋"/>
          <w:color w:val="000000"/>
          <w:sz w:val="28"/>
          <w:szCs w:val="28"/>
          <w:lang w:val="en-US" w:eastAsia="zh-CN"/>
        </w:rPr>
        <w:t>140.14</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，实际完成发放</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rPr>
        <w:t>。通过项目实施，</w:t>
      </w:r>
      <w:r>
        <w:rPr>
          <w:rFonts w:hint="eastAsia" w:ascii="仿宋" w:hAnsi="仿宋" w:eastAsia="仿宋" w:cs="仿宋"/>
          <w:color w:val="000000"/>
          <w:sz w:val="28"/>
          <w:szCs w:val="28"/>
          <w:lang w:eastAsia="zh-CN"/>
        </w:rPr>
        <w:t>确保</w:t>
      </w:r>
      <w:r>
        <w:rPr>
          <w:rFonts w:hint="eastAsia" w:ascii="仿宋" w:hAnsi="仿宋" w:eastAsia="仿宋" w:cs="仿宋"/>
          <w:color w:val="000000"/>
          <w:sz w:val="28"/>
          <w:szCs w:val="28"/>
        </w:rPr>
        <w:t>机保丧葬费、抚恤金</w:t>
      </w:r>
      <w:r>
        <w:rPr>
          <w:rFonts w:hint="eastAsia" w:ascii="仿宋" w:hAnsi="仿宋" w:eastAsia="仿宋" w:cs="仿宋"/>
          <w:color w:val="000000"/>
          <w:sz w:val="28"/>
          <w:szCs w:val="28"/>
          <w:lang w:eastAsia="zh-CN"/>
        </w:rPr>
        <w:t>及时到帐</w:t>
      </w:r>
      <w:r>
        <w:rPr>
          <w:rFonts w:hint="eastAsia" w:ascii="仿宋" w:hAnsi="仿宋" w:eastAsia="仿宋" w:cs="仿宋"/>
          <w:color w:val="000000"/>
          <w:sz w:val="28"/>
          <w:szCs w:val="28"/>
        </w:rPr>
        <w:t>。</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⑷城乡居民基本养老保险县级配套资金</w:t>
      </w:r>
      <w:r>
        <w:rPr>
          <w:rFonts w:hint="eastAsia" w:ascii="仿宋" w:hAnsi="仿宋" w:eastAsia="仿宋" w:cs="仿宋"/>
          <w:color w:val="000000"/>
          <w:sz w:val="28"/>
          <w:szCs w:val="28"/>
          <w:lang w:val="zh-CN"/>
        </w:rPr>
        <w:t>项目</w:t>
      </w:r>
      <w:r>
        <w:rPr>
          <w:rFonts w:hint="eastAsia" w:ascii="仿宋" w:hAnsi="仿宋" w:eastAsia="仿宋" w:cs="仿宋"/>
          <w:color w:val="000000"/>
          <w:sz w:val="28"/>
          <w:szCs w:val="28"/>
        </w:rPr>
        <w:t>项目绩效目标完成情况综述。项目全年预算数</w:t>
      </w:r>
      <w:r>
        <w:rPr>
          <w:rFonts w:hint="eastAsia" w:ascii="仿宋" w:hAnsi="仿宋" w:eastAsia="仿宋" w:cs="仿宋"/>
          <w:color w:val="000000"/>
          <w:sz w:val="28"/>
          <w:szCs w:val="28"/>
          <w:lang w:val="en-US" w:eastAsia="zh-CN"/>
        </w:rPr>
        <w:t>506.48</w:t>
      </w:r>
      <w:r>
        <w:rPr>
          <w:rFonts w:hint="eastAsia" w:ascii="仿宋" w:hAnsi="仿宋" w:eastAsia="仿宋" w:cs="仿宋"/>
          <w:color w:val="000000"/>
          <w:sz w:val="28"/>
          <w:szCs w:val="28"/>
        </w:rPr>
        <w:t>万元，执行数为</w:t>
      </w:r>
      <w:r>
        <w:rPr>
          <w:rFonts w:hint="eastAsia" w:ascii="仿宋" w:hAnsi="仿宋" w:eastAsia="仿宋" w:cs="仿宋"/>
          <w:color w:val="000000"/>
          <w:sz w:val="28"/>
          <w:szCs w:val="28"/>
          <w:lang w:val="en-US" w:eastAsia="zh-CN"/>
        </w:rPr>
        <w:t>506.48</w:t>
      </w:r>
      <w:r>
        <w:rPr>
          <w:rFonts w:hint="eastAsia" w:ascii="仿宋" w:hAnsi="仿宋" w:eastAsia="仿宋" w:cs="仿宋"/>
          <w:color w:val="000000"/>
          <w:sz w:val="28"/>
          <w:szCs w:val="28"/>
        </w:rPr>
        <w:t>万元，完成预算的</w:t>
      </w:r>
      <w:r>
        <w:rPr>
          <w:rFonts w:hint="eastAsia" w:ascii="仿宋" w:hAnsi="仿宋" w:eastAsia="仿宋" w:cs="仿宋"/>
          <w:color w:val="000000"/>
          <w:sz w:val="28"/>
          <w:szCs w:val="28"/>
          <w:lang w:val="en-US" w:eastAsia="zh-CN"/>
        </w:rPr>
        <w:t>100</w:t>
      </w:r>
      <w:r>
        <w:rPr>
          <w:rFonts w:hint="eastAsia" w:ascii="仿宋" w:hAnsi="仿宋" w:eastAsia="仿宋" w:cs="仿宋"/>
          <w:color w:val="000000"/>
          <w:sz w:val="28"/>
          <w:szCs w:val="28"/>
        </w:rPr>
        <w:t>%。通过项目实施，</w:t>
      </w:r>
      <w:r>
        <w:rPr>
          <w:rFonts w:hint="eastAsia" w:ascii="仿宋" w:hAnsi="仿宋" w:eastAsia="仿宋" w:cs="仿宋"/>
          <w:color w:val="000000"/>
          <w:sz w:val="28"/>
          <w:szCs w:val="28"/>
          <w:lang w:eastAsia="zh-CN"/>
        </w:rPr>
        <w:t>确保</w:t>
      </w:r>
      <w:r>
        <w:rPr>
          <w:rFonts w:hint="eastAsia" w:ascii="仿宋" w:hAnsi="仿宋" w:eastAsia="仿宋" w:cs="仿宋"/>
          <w:color w:val="000000"/>
          <w:sz w:val="28"/>
          <w:szCs w:val="28"/>
        </w:rPr>
        <w:t>城乡居民基本养老保险</w:t>
      </w:r>
      <w:r>
        <w:rPr>
          <w:rFonts w:hint="eastAsia" w:ascii="仿宋" w:hAnsi="仿宋" w:eastAsia="仿宋" w:cs="仿宋"/>
          <w:color w:val="000000"/>
          <w:sz w:val="28"/>
          <w:szCs w:val="28"/>
          <w:lang w:eastAsia="zh-CN"/>
        </w:rPr>
        <w:t>参保人员补贴及待遇到帐</w:t>
      </w:r>
      <w:r>
        <w:rPr>
          <w:rFonts w:hint="eastAsia" w:ascii="仿宋" w:hAnsi="仿宋" w:eastAsia="仿宋" w:cs="仿宋"/>
          <w:color w:val="000000"/>
          <w:sz w:val="28"/>
          <w:szCs w:val="28"/>
        </w:rPr>
        <w:t>。</w:t>
      </w:r>
    </w:p>
    <w:p>
      <w:pPr>
        <w:spacing w:line="600" w:lineRule="exact"/>
        <w:ind w:firstLine="645"/>
        <w:rPr>
          <w:rFonts w:hint="eastAsia" w:ascii="仿宋" w:hAnsi="仿宋" w:eastAsia="仿宋" w:cs="仿宋"/>
          <w:color w:val="000000"/>
          <w:sz w:val="28"/>
          <w:szCs w:val="28"/>
        </w:rPr>
      </w:pPr>
      <w:r>
        <w:rPr>
          <w:rFonts w:hint="eastAsia" w:ascii="仿宋" w:hAnsi="仿宋" w:eastAsia="仿宋" w:cs="仿宋"/>
          <w:color w:val="000000"/>
          <w:sz w:val="28"/>
          <w:szCs w:val="28"/>
        </w:rPr>
        <w:t>⑸特殊政策军龄认定财政补差</w:t>
      </w:r>
      <w:r>
        <w:rPr>
          <w:rFonts w:hint="eastAsia" w:ascii="仿宋" w:hAnsi="仿宋" w:eastAsia="仿宋" w:cs="仿宋"/>
          <w:color w:val="000000"/>
          <w:sz w:val="28"/>
          <w:szCs w:val="28"/>
          <w:lang w:val="zh-CN"/>
        </w:rPr>
        <w:t>项目</w:t>
      </w:r>
      <w:r>
        <w:rPr>
          <w:rFonts w:hint="eastAsia" w:ascii="仿宋" w:hAnsi="仿宋" w:eastAsia="仿宋" w:cs="仿宋"/>
          <w:color w:val="000000"/>
          <w:sz w:val="28"/>
          <w:szCs w:val="28"/>
        </w:rPr>
        <w:t>项目绩效目标完成情况综述。项目全年预算数</w:t>
      </w:r>
      <w:r>
        <w:rPr>
          <w:rFonts w:hint="eastAsia" w:ascii="仿宋" w:hAnsi="仿宋" w:eastAsia="仿宋" w:cs="仿宋"/>
          <w:color w:val="000000"/>
          <w:sz w:val="28"/>
          <w:szCs w:val="28"/>
          <w:lang w:val="en-US" w:eastAsia="zh-CN"/>
        </w:rPr>
        <w:t>383.18</w:t>
      </w:r>
      <w:r>
        <w:rPr>
          <w:rFonts w:hint="eastAsia" w:ascii="仿宋" w:hAnsi="仿宋" w:eastAsia="仿宋" w:cs="仿宋"/>
          <w:color w:val="000000"/>
          <w:sz w:val="28"/>
          <w:szCs w:val="28"/>
        </w:rPr>
        <w:t>万元，执行数为</w:t>
      </w:r>
      <w:r>
        <w:rPr>
          <w:rFonts w:hint="eastAsia" w:ascii="仿宋" w:hAnsi="仿宋" w:eastAsia="仿宋" w:cs="仿宋"/>
          <w:color w:val="000000"/>
          <w:sz w:val="28"/>
          <w:szCs w:val="28"/>
          <w:lang w:val="en-US" w:eastAsia="zh-CN"/>
        </w:rPr>
        <w:t>380.76</w:t>
      </w:r>
      <w:r>
        <w:rPr>
          <w:rFonts w:hint="eastAsia" w:ascii="仿宋" w:hAnsi="仿宋" w:eastAsia="仿宋" w:cs="仿宋"/>
          <w:color w:val="000000"/>
          <w:sz w:val="28"/>
          <w:szCs w:val="28"/>
        </w:rPr>
        <w:t>万元，完成预算的</w:t>
      </w:r>
      <w:r>
        <w:rPr>
          <w:rFonts w:hint="eastAsia" w:ascii="仿宋" w:hAnsi="仿宋" w:eastAsia="仿宋" w:cs="仿宋"/>
          <w:color w:val="000000"/>
          <w:sz w:val="28"/>
          <w:szCs w:val="28"/>
          <w:lang w:val="en-US" w:eastAsia="zh-CN"/>
        </w:rPr>
        <w:t>38</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，实际完成代缴</w:t>
      </w:r>
      <w:r>
        <w:rPr>
          <w:rFonts w:hint="eastAsia" w:ascii="仿宋" w:hAnsi="仿宋" w:eastAsia="仿宋" w:cs="仿宋"/>
          <w:color w:val="000000"/>
          <w:sz w:val="28"/>
          <w:szCs w:val="28"/>
          <w:lang w:val="en-US" w:eastAsia="zh-CN"/>
        </w:rPr>
        <w:t>99.37%</w:t>
      </w:r>
      <w:r>
        <w:rPr>
          <w:rFonts w:hint="eastAsia" w:ascii="仿宋" w:hAnsi="仿宋" w:eastAsia="仿宋" w:cs="仿宋"/>
          <w:color w:val="000000"/>
          <w:sz w:val="28"/>
          <w:szCs w:val="28"/>
        </w:rPr>
        <w:t>。通过项目实施，</w:t>
      </w:r>
      <w:r>
        <w:rPr>
          <w:rFonts w:hint="eastAsia" w:ascii="仿宋" w:hAnsi="仿宋" w:eastAsia="仿宋" w:cs="仿宋"/>
          <w:color w:val="000000"/>
          <w:sz w:val="28"/>
          <w:szCs w:val="28"/>
          <w:lang w:eastAsia="zh-CN"/>
        </w:rPr>
        <w:t>确保</w:t>
      </w:r>
      <w:r>
        <w:rPr>
          <w:rFonts w:hint="eastAsia" w:ascii="仿宋" w:hAnsi="仿宋" w:eastAsia="仿宋" w:cs="仿宋"/>
          <w:color w:val="000000"/>
          <w:sz w:val="28"/>
          <w:szCs w:val="28"/>
        </w:rPr>
        <w:t>特殊政策军龄</w:t>
      </w:r>
      <w:r>
        <w:rPr>
          <w:rFonts w:hint="eastAsia" w:ascii="仿宋" w:hAnsi="仿宋" w:eastAsia="仿宋" w:cs="仿宋"/>
          <w:color w:val="000000"/>
          <w:sz w:val="28"/>
          <w:szCs w:val="28"/>
          <w:lang w:eastAsia="zh-CN"/>
        </w:rPr>
        <w:t>人员待遇及时到帐。</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财政为贫困人口代缴城乡居民养老保险费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井研县社保事务中心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87.42</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189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保证建档立卡贫困人员应保尽保</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100%</w:t>
            </w:r>
            <w:r>
              <w:rPr>
                <w:rFonts w:hint="eastAsia" w:ascii="宋体" w:hAnsi="宋体" w:cs="宋体"/>
                <w:color w:val="000000"/>
                <w:kern w:val="0"/>
                <w:szCs w:val="21"/>
                <w:lang w:eastAsia="zh-CN"/>
              </w:rPr>
              <w:t>完成</w:t>
            </w:r>
            <w:r>
              <w:rPr>
                <w:rFonts w:hint="eastAsia" w:ascii="宋体" w:hAnsi="宋体" w:cs="宋体"/>
                <w:color w:val="000000"/>
                <w:kern w:val="0"/>
                <w:sz w:val="24"/>
                <w:lang w:val="en-US" w:eastAsia="zh-CN"/>
              </w:rPr>
              <w:t>贫困人口代缴城乡居民养老保险费</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宋体" w:hAnsi="宋体" w:cs="宋体"/>
                <w:color w:val="000000"/>
                <w:szCs w:val="21"/>
              </w:rPr>
            </w:pPr>
            <w:r>
              <w:rPr>
                <w:rFonts w:hint="eastAsia" w:ascii="宋体" w:hAnsi="宋体" w:cs="宋体"/>
                <w:color w:val="000000"/>
                <w:szCs w:val="21"/>
              </w:rPr>
              <w:t>财政为建档立卡贫困人员代缴医疗保险费人数</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33.37万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lang w:val="en-US" w:eastAsia="zh-CN"/>
              </w:rPr>
              <w:t>33.37</w:t>
            </w:r>
            <w:r>
              <w:rPr>
                <w:rFonts w:hint="eastAsia" w:ascii="宋体" w:hAnsi="宋体" w:cs="宋体"/>
                <w:color w:val="000000"/>
                <w:szCs w:val="21"/>
              </w:rPr>
              <w:t>万人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确保各项参保数据准确无误</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2020年度按期完成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按时办结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按时办结</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加强业务学习</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提高工作效益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提高工作效益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经济效益指标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加强参保监督管理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维护参保安全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维护参保安全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确保资金及时到位，保证群众利益</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群众待遇足额到位，群众满意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群众待遇足额到位，群众满意</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生态效益指标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日常节能降耗、减少污染</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服务对象满意度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r>
    </w:tbl>
    <w:p>
      <w:pPr>
        <w:spacing w:line="580"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财政为特困人员、低保对象、残疾人（1－2级重残、精神智力3－4级残疾人）代缴城乡居民养老保险费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井研县社保事务中心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139.28</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85.2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85.2</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85.2</w:t>
            </w:r>
          </w:p>
        </w:tc>
      </w:tr>
      <w:tr>
        <w:tblPrEx>
          <w:tblCellMar>
            <w:top w:w="0" w:type="dxa"/>
            <w:left w:w="0" w:type="dxa"/>
            <w:bottom w:w="0" w:type="dxa"/>
            <w:right w:w="0" w:type="dxa"/>
          </w:tblCellMar>
        </w:tblPrEx>
        <w:trPr>
          <w:trHeight w:val="189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保证特困人员、低保对象、残疾人（1－2级重残、精神智力3－4级残疾人）人员应保尽保</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100%</w:t>
            </w:r>
            <w:r>
              <w:rPr>
                <w:rFonts w:hint="eastAsia" w:ascii="宋体" w:hAnsi="宋体" w:cs="宋体"/>
                <w:color w:val="000000"/>
                <w:kern w:val="0"/>
                <w:szCs w:val="21"/>
                <w:lang w:eastAsia="zh-CN"/>
              </w:rPr>
              <w:t>完成</w:t>
            </w:r>
            <w:r>
              <w:rPr>
                <w:rFonts w:hint="eastAsia" w:ascii="宋体" w:hAnsi="宋体" w:cs="宋体"/>
                <w:color w:val="000000"/>
                <w:kern w:val="0"/>
                <w:sz w:val="24"/>
                <w:lang w:val="en-US" w:eastAsia="zh-CN"/>
              </w:rPr>
              <w:t>财政为特困人员、低保对象、残疾人（1－2级重残、精神智力3－4级残疾人）代缴城乡居民养老保险费</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宋体" w:hAnsi="宋体" w:cs="宋体"/>
                <w:color w:val="000000"/>
                <w:szCs w:val="21"/>
              </w:rPr>
            </w:pPr>
            <w:r>
              <w:rPr>
                <w:rFonts w:hint="eastAsia" w:ascii="宋体" w:hAnsi="宋体" w:cs="宋体"/>
                <w:color w:val="000000"/>
                <w:szCs w:val="21"/>
              </w:rPr>
              <w:t>财政为特困人员、低保对象、残疾人（1－2级重残、精神智力3－4级残疾人）代缴城乡居民养老保险费</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85.2万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lang w:val="en-US" w:eastAsia="zh-CN"/>
              </w:rPr>
              <w:t>85.2</w:t>
            </w:r>
            <w:r>
              <w:rPr>
                <w:rFonts w:hint="eastAsia" w:ascii="宋体" w:hAnsi="宋体" w:cs="宋体"/>
                <w:color w:val="000000"/>
                <w:szCs w:val="21"/>
              </w:rPr>
              <w:t>万人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确保各项参保数据准确无误</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2020年度按期完成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按时办结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按时办结</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加强业务学习</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提高工作效益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提高工作效益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经济效益指标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加强参保监督管理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维护参保安全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维护参保安全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确保资金及时到位，保证群众利益</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群众待遇足额到位，群众满意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群众待遇足额到位，群众满意</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生态效益指标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日常节能降耗、减少污染</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服务对象满意度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r>
    </w:tbl>
    <w:p>
      <w:pPr>
        <w:spacing w:line="580"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 xml:space="preserve">全县丧葬费、抚恤金发放工作 </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井研县社保事务中心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87.42</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189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保证公全县丧葬费、抚恤金发放工作 落实到位</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100%</w:t>
            </w:r>
            <w:r>
              <w:rPr>
                <w:rFonts w:hint="eastAsia" w:ascii="宋体" w:hAnsi="宋体" w:cs="宋体"/>
                <w:color w:val="000000"/>
                <w:kern w:val="0"/>
                <w:szCs w:val="21"/>
                <w:lang w:eastAsia="zh-CN"/>
              </w:rPr>
              <w:t>完成</w:t>
            </w:r>
            <w:r>
              <w:rPr>
                <w:rFonts w:hint="eastAsia" w:ascii="宋体" w:hAnsi="宋体" w:cs="宋体"/>
                <w:color w:val="000000"/>
                <w:kern w:val="0"/>
                <w:sz w:val="24"/>
                <w:lang w:val="en-US" w:eastAsia="zh-CN"/>
              </w:rPr>
              <w:t>公全县丧葬费、抚恤金发放工作</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ascii="宋体" w:hAnsi="宋体" w:cs="宋体"/>
                <w:color w:val="000000"/>
                <w:szCs w:val="21"/>
              </w:rPr>
            </w:pPr>
            <w:r>
              <w:rPr>
                <w:rFonts w:hint="eastAsia" w:ascii="宋体" w:hAnsi="宋体" w:cs="宋体"/>
                <w:color w:val="000000"/>
                <w:szCs w:val="21"/>
              </w:rPr>
              <w:t>全县丧葬费、抚恤金发放</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确保各项参保数据准确无误</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2020年度按期完成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按时办结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按时办结</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加强业务学习</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提高工作效益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提高工作效益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经济效益指标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加强参保监督管理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维护参保安全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维护参保安全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确保资金及时到位，保证群众利益</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群众待遇足额到位，群众满意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群众待遇足额到位，群众满意</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生态效益指标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日常节能降耗、减少污染</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服务对象满意度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r>
    </w:tbl>
    <w:p>
      <w:pPr>
        <w:spacing w:line="580"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城乡居民基本养老保险县级配套资金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井研县社保事务中心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87.42</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122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 w:val="24"/>
                <w:lang w:eastAsia="zh-CN"/>
              </w:rPr>
              <w:t>确保</w:t>
            </w:r>
            <w:r>
              <w:rPr>
                <w:rFonts w:hint="eastAsia" w:ascii="宋体" w:hAnsi="宋体" w:cs="宋体"/>
                <w:color w:val="000000"/>
                <w:kern w:val="0"/>
                <w:sz w:val="24"/>
              </w:rPr>
              <w:t>城乡居民基本养老保险</w:t>
            </w:r>
            <w:r>
              <w:rPr>
                <w:rFonts w:hint="eastAsia" w:ascii="宋体" w:hAnsi="宋体" w:cs="宋体"/>
                <w:color w:val="000000"/>
                <w:kern w:val="0"/>
                <w:sz w:val="24"/>
                <w:lang w:eastAsia="zh-CN"/>
              </w:rPr>
              <w:t>参保人员补贴及待遇到帐</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000000"/>
                <w:kern w:val="0"/>
                <w:szCs w:val="21"/>
                <w:lang w:eastAsia="zh-CN"/>
              </w:rPr>
            </w:pPr>
            <w:r>
              <w:rPr>
                <w:rFonts w:hint="eastAsia" w:ascii="宋体" w:hAnsi="宋体" w:cs="宋体"/>
                <w:color w:val="000000"/>
                <w:kern w:val="0"/>
                <w:sz w:val="24"/>
              </w:rPr>
              <w:t>100%</w:t>
            </w:r>
            <w:r>
              <w:rPr>
                <w:rFonts w:hint="eastAsia" w:ascii="宋体" w:hAnsi="宋体" w:cs="宋体"/>
                <w:color w:val="000000"/>
                <w:kern w:val="0"/>
                <w:sz w:val="24"/>
                <w:lang w:eastAsia="zh-CN"/>
              </w:rPr>
              <w:t>完成确保</w:t>
            </w:r>
            <w:r>
              <w:rPr>
                <w:rFonts w:hint="eastAsia" w:ascii="宋体" w:hAnsi="宋体" w:cs="宋体"/>
                <w:color w:val="000000"/>
                <w:kern w:val="0"/>
                <w:sz w:val="24"/>
              </w:rPr>
              <w:t>城乡居民基本养老保险</w:t>
            </w:r>
            <w:r>
              <w:rPr>
                <w:rFonts w:hint="eastAsia" w:ascii="宋体" w:hAnsi="宋体" w:cs="宋体"/>
                <w:color w:val="000000"/>
                <w:kern w:val="0"/>
                <w:sz w:val="24"/>
                <w:lang w:eastAsia="zh-CN"/>
              </w:rPr>
              <w:t>参保人员补贴及待遇到帐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default" w:ascii="宋体" w:hAnsi="宋体" w:eastAsia="宋体" w:cs="宋体"/>
                <w:color w:val="000000"/>
                <w:szCs w:val="21"/>
                <w:lang w:val="en-US" w:eastAsia="zh-CN"/>
              </w:rPr>
            </w:pPr>
            <w:r>
              <w:rPr>
                <w:rFonts w:hint="eastAsia" w:ascii="宋体" w:hAnsi="宋体" w:cs="宋体"/>
                <w:color w:val="000000"/>
                <w:szCs w:val="21"/>
              </w:rPr>
              <w:t>全县城乡居民养老保险</w:t>
            </w:r>
            <w:r>
              <w:rPr>
                <w:rFonts w:hint="eastAsia" w:ascii="宋体" w:hAnsi="宋体" w:cs="宋体"/>
                <w:color w:val="000000"/>
                <w:szCs w:val="21"/>
                <w:lang w:eastAsia="zh-CN"/>
              </w:rPr>
              <w:t>补贴到帐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确保各项参保数据准确无误</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2020年度按期完成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按时办结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按时办结</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加强业务学习</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提高工作效益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提高工作效益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经济效益指标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加强参保监督管理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维护参保安全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维护参保安全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确保资金及时到位，保证群众利益</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群众待遇足额到位，群众满意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群众待遇足额到位，群众满意</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生态效益指标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日常节能降耗、减少污染</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服务对象满意度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r>
    </w:tbl>
    <w:p>
      <w:pPr>
        <w:spacing w:line="580" w:lineRule="exact"/>
        <w:ind w:firstLine="640" w:firstLineChars="200"/>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278"/>
        <w:gridCol w:w="1479"/>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特殊政策军龄认定财政补差资金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井研县社保事务中心</w:t>
            </w:r>
          </w:p>
        </w:tc>
      </w:tr>
      <w:tr>
        <w:tblPrEx>
          <w:tblCellMar>
            <w:top w:w="0" w:type="dxa"/>
            <w:left w:w="0" w:type="dxa"/>
            <w:bottom w:w="0" w:type="dxa"/>
            <w:right w:w="0" w:type="dxa"/>
          </w:tblCellMar>
        </w:tblPrEx>
        <w:trPr>
          <w:trHeight w:val="276" w:hRule="atLeast"/>
          <w:jc w:val="center"/>
        </w:trPr>
        <w:tc>
          <w:tcPr>
            <w:tcW w:w="2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5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87.42</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276" w:hRule="atLeast"/>
          <w:jc w:val="center"/>
        </w:trPr>
        <w:tc>
          <w:tcPr>
            <w:tcW w:w="2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5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33.37</w:t>
            </w:r>
          </w:p>
        </w:tc>
      </w:tr>
      <w:tr>
        <w:tblPrEx>
          <w:tblCellMar>
            <w:top w:w="0" w:type="dxa"/>
            <w:left w:w="0" w:type="dxa"/>
            <w:bottom w:w="0" w:type="dxa"/>
            <w:right w:w="0" w:type="dxa"/>
          </w:tblCellMar>
        </w:tblPrEx>
        <w:trPr>
          <w:trHeight w:val="1892" w:hRule="atLeast"/>
          <w:jc w:val="center"/>
        </w:trPr>
        <w:tc>
          <w:tcPr>
            <w:tcW w:w="2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250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2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8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2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48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 w:val="24"/>
                <w:lang w:eastAsia="zh-CN"/>
              </w:rPr>
              <w:t>确保</w:t>
            </w:r>
            <w:r>
              <w:rPr>
                <w:rFonts w:hint="eastAsia" w:ascii="宋体" w:hAnsi="宋体" w:cs="宋体"/>
                <w:color w:val="000000"/>
                <w:kern w:val="0"/>
                <w:sz w:val="24"/>
              </w:rPr>
              <w:t>特殊政策军龄</w:t>
            </w:r>
            <w:r>
              <w:rPr>
                <w:rFonts w:hint="eastAsia" w:ascii="宋体" w:hAnsi="宋体" w:cs="宋体"/>
                <w:color w:val="000000"/>
                <w:kern w:val="0"/>
                <w:sz w:val="24"/>
                <w:lang w:eastAsia="zh-CN"/>
              </w:rPr>
              <w:t>人员待遇及时到帐</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宋体" w:hAnsi="宋体" w:eastAsia="宋体" w:cs="宋体"/>
                <w:color w:val="000000"/>
                <w:kern w:val="0"/>
                <w:szCs w:val="21"/>
                <w:lang w:eastAsia="zh-CN"/>
              </w:rPr>
            </w:pPr>
            <w:r>
              <w:rPr>
                <w:rFonts w:hint="eastAsia" w:ascii="宋体" w:hAnsi="宋体" w:cs="宋体"/>
                <w:color w:val="000000"/>
                <w:kern w:val="0"/>
                <w:sz w:val="24"/>
              </w:rPr>
              <w:t>100%</w:t>
            </w:r>
            <w:r>
              <w:rPr>
                <w:rFonts w:hint="eastAsia" w:ascii="宋体" w:hAnsi="宋体" w:cs="宋体"/>
                <w:color w:val="000000"/>
                <w:kern w:val="0"/>
                <w:sz w:val="24"/>
                <w:lang w:eastAsia="zh-CN"/>
              </w:rPr>
              <w:t>完成</w:t>
            </w:r>
            <w:r>
              <w:rPr>
                <w:rFonts w:hint="eastAsia" w:ascii="宋体" w:hAnsi="宋体" w:cs="宋体"/>
                <w:color w:val="000000"/>
                <w:kern w:val="0"/>
                <w:sz w:val="24"/>
              </w:rPr>
              <w:t>特殊政策军龄</w:t>
            </w:r>
            <w:r>
              <w:rPr>
                <w:rFonts w:hint="eastAsia" w:ascii="宋体" w:hAnsi="宋体" w:cs="宋体"/>
                <w:color w:val="000000"/>
                <w:kern w:val="0"/>
                <w:sz w:val="24"/>
                <w:lang w:eastAsia="zh-CN"/>
              </w:rPr>
              <w:t>人员待遇发放</w:t>
            </w:r>
          </w:p>
        </w:tc>
      </w:tr>
      <w:tr>
        <w:tblPrEx>
          <w:tblCellMar>
            <w:top w:w="0" w:type="dxa"/>
            <w:left w:w="0" w:type="dxa"/>
            <w:bottom w:w="0" w:type="dxa"/>
            <w:right w:w="0" w:type="dxa"/>
          </w:tblCellMar>
        </w:tblPrEx>
        <w:trPr>
          <w:trHeight w:val="1042" w:hRule="atLeast"/>
          <w:jc w:val="center"/>
        </w:trPr>
        <w:tc>
          <w:tcPr>
            <w:tcW w:w="27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数</w:t>
            </w:r>
            <w:r>
              <w:rPr>
                <w:rFonts w:hint="eastAsia" w:ascii="宋体" w:hAnsi="宋体" w:cs="宋体"/>
                <w:color w:val="000000"/>
                <w:kern w:val="0"/>
                <w:szCs w:val="21"/>
              </w:rPr>
              <w:t>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hAnsi="宋体" w:eastAsia="宋体" w:cs="宋体"/>
                <w:color w:val="000000"/>
                <w:szCs w:val="21"/>
                <w:lang w:val="en-US" w:eastAsia="zh-CN"/>
              </w:rPr>
            </w:pPr>
            <w:r>
              <w:rPr>
                <w:rFonts w:hint="eastAsia" w:ascii="宋体" w:hAnsi="宋体" w:cs="宋体"/>
                <w:color w:val="000000"/>
                <w:kern w:val="0"/>
                <w:szCs w:val="21"/>
              </w:rPr>
              <w:t>特殊政策军龄</w:t>
            </w:r>
            <w:r>
              <w:rPr>
                <w:rFonts w:hint="eastAsia" w:ascii="宋体" w:hAnsi="宋体" w:cs="宋体"/>
                <w:color w:val="000000"/>
                <w:kern w:val="0"/>
                <w:szCs w:val="21"/>
                <w:lang w:eastAsia="zh-CN"/>
              </w:rPr>
              <w:t>人员待遇发放</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cs="宋体"/>
                <w:color w:val="000000"/>
                <w:szCs w:val="21"/>
                <w:lang w:val="en-US"/>
              </w:rPr>
            </w:pPr>
            <w:r>
              <w:rPr>
                <w:rFonts w:hint="eastAsia" w:ascii="宋体" w:hAnsi="宋体" w:cs="宋体"/>
                <w:color w:val="000000"/>
                <w:szCs w:val="21"/>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lang w:val="en-US" w:eastAsia="zh-CN"/>
              </w:rPr>
              <w:t>100%</w:t>
            </w:r>
          </w:p>
        </w:tc>
      </w:tr>
      <w:tr>
        <w:tblPrEx>
          <w:tblCellMar>
            <w:top w:w="0" w:type="dxa"/>
            <w:left w:w="0" w:type="dxa"/>
            <w:bottom w:w="0" w:type="dxa"/>
            <w:right w:w="0" w:type="dxa"/>
          </w:tblCellMar>
        </w:tblPrEx>
        <w:trPr>
          <w:trHeight w:val="1297"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确保各项参保数据准确无误</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数据准确</w:t>
            </w:r>
          </w:p>
        </w:tc>
      </w:tr>
      <w:tr>
        <w:tblPrEx>
          <w:tblCellMar>
            <w:top w:w="0" w:type="dxa"/>
            <w:left w:w="0" w:type="dxa"/>
            <w:bottom w:w="0" w:type="dxa"/>
            <w:right w:w="0" w:type="dxa"/>
          </w:tblCellMar>
        </w:tblPrEx>
        <w:trPr>
          <w:trHeight w:val="1042"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2020年度按期完成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按时办结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按时办结</w:t>
            </w:r>
          </w:p>
        </w:tc>
      </w:tr>
      <w:tr>
        <w:tblPrEx>
          <w:tblCellMar>
            <w:top w:w="0" w:type="dxa"/>
            <w:left w:w="0" w:type="dxa"/>
            <w:bottom w:w="0" w:type="dxa"/>
            <w:right w:w="0" w:type="dxa"/>
          </w:tblCellMar>
        </w:tblPrEx>
        <w:trPr>
          <w:trHeight w:val="1042"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加强业务学习</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提高工作效益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提高工作效益</w:t>
            </w:r>
          </w:p>
        </w:tc>
      </w:tr>
      <w:tr>
        <w:tblPrEx>
          <w:tblCellMar>
            <w:top w:w="0" w:type="dxa"/>
            <w:left w:w="0" w:type="dxa"/>
            <w:bottom w:w="0" w:type="dxa"/>
            <w:right w:w="0" w:type="dxa"/>
          </w:tblCellMar>
        </w:tblPrEx>
        <w:trPr>
          <w:trHeight w:val="1042"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经济效益指标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加强参保监督管理</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维护参保安全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维护参保安全</w:t>
            </w:r>
          </w:p>
        </w:tc>
      </w:tr>
      <w:tr>
        <w:tblPrEx>
          <w:tblCellMar>
            <w:top w:w="0" w:type="dxa"/>
            <w:left w:w="0" w:type="dxa"/>
            <w:bottom w:w="0" w:type="dxa"/>
            <w:right w:w="0" w:type="dxa"/>
          </w:tblCellMar>
        </w:tblPrEx>
        <w:trPr>
          <w:trHeight w:val="1042"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确保资金及时到位，保证群众利益</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eastAsia="zh-CN"/>
              </w:rPr>
              <w:t>群众待遇足额到位，群众满意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群众待遇足额到位，群众满意</w:t>
            </w:r>
          </w:p>
        </w:tc>
      </w:tr>
      <w:tr>
        <w:tblPrEx>
          <w:tblCellMar>
            <w:top w:w="0" w:type="dxa"/>
            <w:left w:w="0" w:type="dxa"/>
            <w:bottom w:w="0" w:type="dxa"/>
            <w:right w:w="0" w:type="dxa"/>
          </w:tblCellMar>
        </w:tblPrEx>
        <w:trPr>
          <w:trHeight w:val="1042" w:hRule="atLeast"/>
          <w:jc w:val="center"/>
        </w:trPr>
        <w:tc>
          <w:tcPr>
            <w:tcW w:w="278" w:type="dxa"/>
            <w:vMerge w:val="continue"/>
            <w:tcBorders>
              <w:left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生态效益指标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日常节能降耗、减少污染</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做好日常能耗管理</w:t>
            </w:r>
          </w:p>
        </w:tc>
      </w:tr>
      <w:tr>
        <w:tblPrEx>
          <w:tblCellMar>
            <w:top w:w="0" w:type="dxa"/>
            <w:left w:w="0" w:type="dxa"/>
            <w:bottom w:w="0" w:type="dxa"/>
            <w:right w:w="0" w:type="dxa"/>
          </w:tblCellMar>
        </w:tblPrEx>
        <w:trPr>
          <w:trHeight w:val="1050" w:hRule="atLeast"/>
          <w:jc w:val="center"/>
        </w:trPr>
        <w:tc>
          <w:tcPr>
            <w:tcW w:w="27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服务对象满意度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rPr>
              <w:t>98%</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2.部门绩效评价结果。</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本部门按要求对2020年部门整体支出绩效评价情况开展自评，《井研县社会保险事务中心部门2020年部门整体支出绩效评价报告》见附件（附件1）。</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br w:type="page"/>
      </w:r>
      <w:r>
        <w:rPr>
          <w:rFonts w:hint="eastAsia" w:ascii="仿宋" w:hAnsi="仿宋" w:eastAsia="仿宋" w:cs="仿宋"/>
          <w:color w:val="000000"/>
          <w:sz w:val="28"/>
          <w:szCs w:val="28"/>
          <w:lang w:val="en-US" w:eastAsia="zh-CN"/>
        </w:rPr>
        <w:t>本部门按要求组织对2020年</w:t>
      </w:r>
      <w:r>
        <w:rPr>
          <w:rFonts w:hint="eastAsia" w:ascii="仿宋" w:hAnsi="仿宋" w:eastAsia="仿宋" w:cs="仿宋"/>
          <w:color w:val="000000"/>
          <w:sz w:val="28"/>
          <w:szCs w:val="28"/>
          <w:lang w:val="zh-CN" w:eastAsia="zh-CN"/>
        </w:rPr>
        <w:t>项目</w:t>
      </w:r>
      <w:r>
        <w:rPr>
          <w:rFonts w:hint="eastAsia" w:ascii="仿宋" w:hAnsi="仿宋" w:eastAsia="仿宋" w:cs="仿宋"/>
          <w:color w:val="000000"/>
          <w:sz w:val="28"/>
          <w:szCs w:val="28"/>
          <w:lang w:val="en-US" w:eastAsia="zh-CN"/>
        </w:rPr>
        <w:t>开展了绩效评价:</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⑴《财政为贫困人口代缴城乡居民养老保险费》见附件（附件2）。</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⑵《财政为特困人员、低保对象、残疾人（1－2级重残、精神智力3－4级残疾人）代缴城乡居民养老保险费》见附件（附件3）。</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⑶《“机保丧葬费、抚恤金”》见附件（附件4）。</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⑷《城乡居民基本养老保险县级配套资金》见附件（附件5）。</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⑸《特殊政策军龄认定财政补差》见附件（附件6）。</w:t>
      </w:r>
    </w:p>
    <w:p>
      <w:pPr>
        <w:spacing w:line="600" w:lineRule="exact"/>
        <w:ind w:firstLine="645"/>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br w:type="page"/>
      </w:r>
    </w:p>
    <w:p>
      <w:pPr>
        <w:pStyle w:val="2"/>
        <w:bidi w:val="0"/>
        <w:jc w:val="center"/>
        <w:rPr>
          <w:rFonts w:hint="eastAsia" w:ascii="黑体" w:hAnsi="黑体" w:eastAsia="黑体" w:cs="黑体"/>
          <w:b w:val="0"/>
          <w:bCs w:val="0"/>
          <w:lang w:val="en-US" w:eastAsia="zh-CN"/>
        </w:rPr>
      </w:pPr>
      <w:bookmarkStart w:id="94" w:name="_Toc15377225"/>
      <w:bookmarkStart w:id="95" w:name="_Toc15396613"/>
      <w:bookmarkStart w:id="96" w:name="_Toc29645_WPSOffice_Level1"/>
      <w:r>
        <w:rPr>
          <w:rFonts w:hint="eastAsia" w:ascii="黑体" w:hAnsi="黑体" w:eastAsia="黑体" w:cs="黑体"/>
          <w:b w:val="0"/>
          <w:bCs w:val="0"/>
          <w:lang w:val="en-US" w:eastAsia="zh-CN"/>
        </w:rPr>
        <w:t>第三部分 名词解释</w:t>
      </w:r>
      <w:bookmarkEnd w:id="94"/>
      <w:bookmarkEnd w:id="95"/>
      <w:bookmarkEnd w:id="96"/>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9.社会保障和就业（类）人力资源和社会保障（款）社会保险经办机构（项）：指社会保险经办机构开展业务工作的支出。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10.社会保障和就业（类）人力资源和社会保障（款）其他人力资源和社会保障管理事务支出（项）：指其他用于人力资源和社会保障管理事务方面的支出。 </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11.社会保障和就业（类）行政事业单位养老支出（款）机关事业单位基本养老保险缴费支出（项）：指机关事业单位实施养老保险制度由单位缴纳的基本养老保险费支出。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12.社会保障和就业（类）行政事业单位养老支出（款） 机关事业单位职业年金缴费支出（项）:指机关事业单位实施养老保险制度由单位实际缴纳的职业年金的支出。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13.社会保障和就业（类）就业补助（款）其他就业补助支出（项）: 指按规定确定的其他用于促进就业的补助支出。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14.社会保障和就业（类）抚恤（款）死亡抚恤 （项）:指按规定用于烈士和牺牲、病故人员家属的一次性和定期抚恤金计丧葬补助费。</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15.社会保障和就业（类）财政代缴社会保险费支出（款） 财政代缴城乡居民基本养老保险费（项）:指其他用于社会保障和就业的支出。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16.社会保障和就业（类）其他社会保障和就业支出（款）其他社会保障和就业支出（项）:指其他用于社会保障和就业方面的支出。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17.卫生健康（类）行政事业单位医疗（款）事业单位医疗（项）:指财政部门安排的事业单位基本医疗保险缴费经费，未参加医疗保险的事业单位的公费医疗经费，按国家规定享受离休人员待遇的医疗经费。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18.农林水（类）扶贫（款）社会发展（项）:指用于农村贫困地区中小学教育、文化、广播、电视、医疗、卫生等方面的项目支出。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19.住房保障（类）住房保障支出（款）住房公积金（项）:指行政事业单位按人力资源和社会保障部、财政部规定的基本工资和津贴补贴以及规定比例为职工缴纳的住房公积金。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21.项目支出：指在基本支出之外为完成特定行政任务和事业发展目标所发生的支出。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22.经营支出：指事业单位在专业业务活动及其辅助活动之外开展非独立核算经营活动发生的支出。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sz w:val="32"/>
          <w:szCs w:val="32"/>
          <w:lang w:val="en-US" w:eastAsia="zh-CN"/>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left"/>
        <w:rPr>
          <w:rFonts w:hint="eastAsia" w:ascii="仿宋_GB2312" w:hAnsi="Calibri" w:eastAsia="仿宋_GB2312" w:cs="仿宋"/>
          <w:color w:val="000000"/>
          <w:kern w:val="0"/>
          <w:sz w:val="32"/>
          <w:szCs w:val="32"/>
          <w:lang w:val="en-US" w:eastAsia="zh-CN" w:bidi="ar-SA"/>
        </w:rPr>
      </w:pPr>
    </w:p>
    <w:p>
      <w:pPr>
        <w:rPr>
          <w:rFonts w:hint="eastAsia" w:ascii="黑体" w:hAnsi="黑体" w:eastAsia="黑体" w:cs="黑体"/>
          <w:color w:val="000000"/>
          <w:sz w:val="44"/>
          <w:szCs w:val="44"/>
        </w:rPr>
      </w:pPr>
      <w:bookmarkStart w:id="97" w:name="_Toc15396614"/>
      <w:bookmarkStart w:id="98" w:name="_Toc15377226"/>
      <w:r>
        <w:rPr>
          <w:rFonts w:hint="eastAsia" w:ascii="黑体" w:hAnsi="黑体" w:eastAsia="黑体" w:cs="黑体"/>
          <w:color w:val="000000"/>
          <w:sz w:val="44"/>
          <w:szCs w:val="44"/>
        </w:rPr>
        <w:br w:type="page"/>
      </w:r>
    </w:p>
    <w:p>
      <w:pPr>
        <w:spacing w:line="600" w:lineRule="exact"/>
        <w:jc w:val="center"/>
        <w:outlineLvl w:val="0"/>
        <w:rPr>
          <w:rStyle w:val="23"/>
          <w:rFonts w:hint="eastAsia" w:ascii="黑体" w:hAnsi="黑体" w:eastAsia="黑体" w:cs="黑体"/>
          <w:b w:val="0"/>
        </w:rPr>
      </w:pPr>
      <w:bookmarkStart w:id="99" w:name="_Toc3020_WPSOffice_Level1"/>
      <w:r>
        <w:rPr>
          <w:rFonts w:hint="eastAsia" w:ascii="黑体" w:hAnsi="黑体" w:eastAsia="黑体" w:cs="黑体"/>
          <w:color w:val="000000"/>
          <w:sz w:val="44"/>
          <w:szCs w:val="44"/>
        </w:rPr>
        <w:t>第</w:t>
      </w:r>
      <w:r>
        <w:rPr>
          <w:rStyle w:val="23"/>
          <w:rFonts w:hint="eastAsia" w:ascii="黑体" w:hAnsi="黑体" w:eastAsia="黑体" w:cs="黑体"/>
          <w:b w:val="0"/>
        </w:rPr>
        <w:t>四部分 附件</w:t>
      </w:r>
      <w:bookmarkEnd w:id="97"/>
      <w:bookmarkEnd w:id="99"/>
    </w:p>
    <w:p>
      <w:pPr>
        <w:pageBreakBefore w:val="0"/>
        <w:kinsoku/>
        <w:wordWrap/>
        <w:overflowPunct/>
        <w:topLinePunct w:val="0"/>
        <w:autoSpaceDE/>
        <w:autoSpaceDN/>
        <w:bidi w:val="0"/>
        <w:spacing w:line="600" w:lineRule="exac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w:t>
      </w:r>
    </w:p>
    <w:p>
      <w:pPr>
        <w:pageBreakBefore w:val="0"/>
        <w:kinsoku/>
        <w:wordWrap/>
        <w:overflowPunct/>
        <w:topLinePunct w:val="0"/>
        <w:autoSpaceDE/>
        <w:autoSpaceDN/>
        <w:bidi w:val="0"/>
        <w:spacing w:line="600" w:lineRule="exact"/>
        <w:jc w:val="center"/>
        <w:textAlignment w:val="auto"/>
        <w:rPr>
          <w:rFonts w:hint="eastAsia" w:ascii="仿宋" w:hAnsi="仿宋" w:eastAsia="仿宋" w:cs="仿宋"/>
          <w:sz w:val="32"/>
          <w:szCs w:val="32"/>
        </w:rPr>
      </w:pPr>
    </w:p>
    <w:p>
      <w:pPr>
        <w:spacing w:line="600" w:lineRule="exact"/>
        <w:jc w:val="center"/>
        <w:rPr>
          <w:rFonts w:hint="eastAsia" w:ascii="方正小标宋简体" w:hAnsi="宋体" w:eastAsia="方正小标宋简体" w:cs="Times New Roman"/>
          <w:color w:val="auto"/>
          <w:kern w:val="0"/>
          <w:sz w:val="40"/>
          <w:szCs w:val="44"/>
          <w:u w:val="none"/>
          <w:lang w:val="en-US" w:eastAsia="zh-CN"/>
        </w:rPr>
      </w:pPr>
      <w:r>
        <w:rPr>
          <w:rFonts w:hint="eastAsia" w:ascii="方正小标宋简体" w:hAnsi="宋体" w:eastAsia="方正小标宋简体" w:cs="Times New Roman"/>
          <w:color w:val="auto"/>
          <w:kern w:val="0"/>
          <w:sz w:val="40"/>
          <w:szCs w:val="44"/>
          <w:u w:val="none"/>
          <w:lang w:val="en-US" w:eastAsia="zh-CN"/>
        </w:rPr>
        <w:t>井研县社会保险事务中心</w:t>
      </w:r>
    </w:p>
    <w:p>
      <w:pPr>
        <w:spacing w:line="600" w:lineRule="exact"/>
        <w:jc w:val="center"/>
        <w:rPr>
          <w:rFonts w:hint="eastAsia" w:ascii="方正小标宋简体" w:hAnsi="宋体" w:eastAsia="方正小标宋简体" w:cs="Times New Roman"/>
          <w:color w:val="auto"/>
          <w:kern w:val="0"/>
          <w:sz w:val="40"/>
          <w:szCs w:val="44"/>
          <w:u w:val="none"/>
          <w:lang w:eastAsia="zh-CN"/>
        </w:rPr>
      </w:pPr>
      <w:r>
        <w:rPr>
          <w:rFonts w:hint="eastAsia" w:ascii="方正小标宋简体" w:hAnsi="宋体" w:eastAsia="方正小标宋简体" w:cs="Times New Roman"/>
          <w:color w:val="auto"/>
          <w:kern w:val="0"/>
          <w:sz w:val="40"/>
          <w:szCs w:val="44"/>
          <w:u w:val="none"/>
          <w:lang w:val="en-US" w:eastAsia="zh-CN"/>
        </w:rPr>
        <w:t>2020</w:t>
      </w:r>
      <w:r>
        <w:rPr>
          <w:rFonts w:hint="eastAsia" w:ascii="方正小标宋简体" w:hAnsi="宋体" w:eastAsia="方正小标宋简体" w:cs="Times New Roman"/>
          <w:color w:val="auto"/>
          <w:kern w:val="0"/>
          <w:sz w:val="40"/>
          <w:szCs w:val="44"/>
          <w:u w:val="none"/>
          <w:lang w:eastAsia="zh-CN"/>
        </w:rPr>
        <w:t>年部门</w:t>
      </w:r>
      <w:r>
        <w:rPr>
          <w:rFonts w:hint="eastAsia" w:ascii="方正小标宋简体" w:hAnsi="宋体" w:eastAsia="方正小标宋简体"/>
          <w:color w:val="auto"/>
          <w:kern w:val="0"/>
          <w:sz w:val="40"/>
          <w:szCs w:val="44"/>
          <w:u w:val="none"/>
          <w:lang w:val="zh-CN"/>
        </w:rPr>
        <w:t>整体支出绩效评价报告</w:t>
      </w:r>
    </w:p>
    <w:p>
      <w:pPr>
        <w:spacing w:line="600" w:lineRule="exact"/>
        <w:jc w:val="center"/>
        <w:rPr>
          <w:rFonts w:hint="eastAsia" w:ascii="方正小标宋简体" w:hAnsi="宋体" w:eastAsia="方正小标宋简体" w:cs="Times New Roman"/>
          <w:color w:val="auto"/>
          <w:kern w:val="0"/>
          <w:sz w:val="40"/>
          <w:szCs w:val="44"/>
          <w:u w:val="none"/>
          <w:lang w:eastAsia="zh-CN"/>
        </w:rPr>
      </w:pP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zh-CN" w:eastAsia="zh-CN"/>
        </w:rPr>
      </w:pPr>
      <w:bookmarkStart w:id="100" w:name="_Toc11108_WPSOffice_Level2"/>
      <w:r>
        <w:rPr>
          <w:rFonts w:hint="eastAsia" w:ascii="仿宋" w:hAnsi="仿宋" w:eastAsia="仿宋" w:cs="仿宋"/>
          <w:color w:val="000000"/>
          <w:sz w:val="32"/>
          <w:szCs w:val="32"/>
          <w:lang w:val="en-US" w:eastAsia="zh-CN"/>
        </w:rPr>
        <w:t>一、</w:t>
      </w:r>
      <w:r>
        <w:rPr>
          <w:rFonts w:hint="eastAsia" w:ascii="仿宋" w:hAnsi="仿宋" w:eastAsia="仿宋" w:cs="仿宋"/>
          <w:color w:val="000000"/>
          <w:sz w:val="32"/>
          <w:szCs w:val="32"/>
          <w:lang w:val="zh-CN" w:eastAsia="zh-CN"/>
        </w:rPr>
        <w:t>单位概况</w:t>
      </w:r>
      <w:bookmarkEnd w:id="100"/>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（一）基本职能</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井研县社会保险事务中心提供保险服务，向企业职工和个体工商户提供养老、工伤、失业等保险服务。</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（二）机构人员情况</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井研县社会保险事务中心预算单位1个。</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（三）机构人员当年变动情况</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年终在职人员为29人。比上年减少4人（辞职1人,调出2人，退休1人）。</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bookmarkStart w:id="101" w:name="_Toc31684_WPSOffice_Level2"/>
      <w:r>
        <w:rPr>
          <w:rFonts w:hint="eastAsia" w:ascii="仿宋" w:hAnsi="仿宋" w:eastAsia="仿宋" w:cs="仿宋"/>
          <w:color w:val="000000"/>
          <w:sz w:val="32"/>
          <w:szCs w:val="32"/>
          <w:lang w:val="en-US" w:eastAsia="zh-CN"/>
        </w:rPr>
        <w:t>二、部门财政资金收支情况</w:t>
      </w:r>
      <w:bookmarkEnd w:id="101"/>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zh-CN" w:eastAsia="zh-CN"/>
        </w:rPr>
      </w:pPr>
      <w:r>
        <w:rPr>
          <w:rFonts w:hint="eastAsia" w:ascii="仿宋" w:hAnsi="仿宋" w:eastAsia="仿宋" w:cs="仿宋"/>
          <w:color w:val="000000"/>
          <w:sz w:val="32"/>
          <w:szCs w:val="32"/>
          <w:lang w:val="zh-CN" w:eastAsia="zh-CN"/>
        </w:rPr>
        <w:t>（一）部门财政资金收入情况。</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2020年财政资金收入1935.97万元。</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zh-CN" w:eastAsia="zh-CN"/>
        </w:rPr>
      </w:pPr>
      <w:r>
        <w:rPr>
          <w:rFonts w:hint="eastAsia" w:ascii="仿宋" w:hAnsi="仿宋" w:eastAsia="仿宋" w:cs="仿宋"/>
          <w:color w:val="000000"/>
          <w:sz w:val="32"/>
          <w:szCs w:val="32"/>
          <w:lang w:val="en-US" w:eastAsia="zh-CN"/>
        </w:rPr>
        <w:t>(二）</w:t>
      </w:r>
      <w:r>
        <w:rPr>
          <w:rFonts w:hint="eastAsia" w:ascii="仿宋" w:hAnsi="仿宋" w:eastAsia="仿宋" w:cs="仿宋"/>
          <w:color w:val="000000"/>
          <w:sz w:val="32"/>
          <w:szCs w:val="32"/>
          <w:lang w:val="zh-CN" w:eastAsia="zh-CN"/>
        </w:rPr>
        <w:t>部门财政资金支出情况。</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2020年财政资金支出1933.85万元。</w:t>
      </w:r>
      <w:r>
        <w:rPr>
          <w:rFonts w:hint="eastAsia" w:ascii="仿宋" w:hAnsi="仿宋" w:eastAsia="仿宋" w:cs="仿宋"/>
          <w:color w:val="000000"/>
          <w:sz w:val="32"/>
          <w:szCs w:val="32"/>
          <w:lang w:val="zh-CN" w:eastAsia="zh-CN"/>
        </w:rPr>
        <w:t>其中基本支出</w:t>
      </w:r>
      <w:r>
        <w:rPr>
          <w:rFonts w:hint="eastAsia" w:ascii="仿宋" w:hAnsi="仿宋" w:eastAsia="仿宋" w:cs="仿宋"/>
          <w:color w:val="000000"/>
          <w:sz w:val="32"/>
          <w:szCs w:val="32"/>
          <w:lang w:val="en-US" w:eastAsia="zh-CN"/>
        </w:rPr>
        <w:t>554.06万元，项目支出1379.8万元，涉及项目10个。</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bookmarkStart w:id="102" w:name="_Toc2303_WPSOffice_Level2"/>
      <w:r>
        <w:rPr>
          <w:rFonts w:hint="eastAsia" w:ascii="仿宋" w:hAnsi="仿宋" w:eastAsia="仿宋" w:cs="仿宋"/>
          <w:color w:val="000000"/>
          <w:sz w:val="32"/>
          <w:szCs w:val="32"/>
          <w:lang w:val="en-US" w:eastAsia="zh-CN"/>
        </w:rPr>
        <w:t>三、部门整体预算绩效管理情况</w:t>
      </w:r>
      <w:bookmarkEnd w:id="102"/>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zh-CN" w:eastAsia="zh-CN"/>
        </w:rPr>
      </w:pPr>
      <w:r>
        <w:rPr>
          <w:rFonts w:hint="eastAsia" w:ascii="仿宋" w:hAnsi="仿宋" w:eastAsia="仿宋" w:cs="仿宋"/>
          <w:color w:val="000000"/>
          <w:sz w:val="32"/>
          <w:szCs w:val="32"/>
          <w:lang w:val="zh-CN" w:eastAsia="zh-CN"/>
        </w:rPr>
        <w:t>（一）部门预算管理。</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1、预算目标制定要素完整，绩效指标细化量化。</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2、以绩效指标数量为核心，评价绩效目标实际完成情况达到预期目标。</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3、预算编制数据正确，编制科学。</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4、预算支出合理规范，三公经费使用、差旅费报销、津补贴严格按规定执行、发放。</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zh-CN" w:eastAsia="zh-CN"/>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val="zh-CN" w:eastAsia="zh-CN"/>
        </w:rPr>
        <w:t>包括部门绩效目标制定、目标实现、预算编制准确、支出控制、预算动态调整、执行进度、预算完成情况和违规记录等情况。</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000000"/>
          <w:sz w:val="32"/>
          <w:szCs w:val="32"/>
          <w:lang w:val="zh-CN" w:eastAsia="zh-CN"/>
        </w:rPr>
      </w:pPr>
      <w:r>
        <w:rPr>
          <w:rFonts w:hint="eastAsia" w:ascii="仿宋" w:hAnsi="仿宋" w:eastAsia="仿宋" w:cs="仿宋"/>
          <w:color w:val="000000"/>
          <w:sz w:val="32"/>
          <w:szCs w:val="32"/>
          <w:lang w:val="zh-CN" w:eastAsia="zh-CN"/>
        </w:rPr>
        <w:t>（二）结果应用情况。</w:t>
      </w:r>
    </w:p>
    <w:p>
      <w:pPr>
        <w:pageBreakBefore w:val="0"/>
        <w:kinsoku/>
        <w:wordWrap/>
        <w:overflowPunct/>
        <w:topLinePunct w:val="0"/>
        <w:autoSpaceDE/>
        <w:autoSpaceDN/>
        <w:bidi w:val="0"/>
        <w:spacing w:line="600" w:lineRule="exact"/>
        <w:ind w:firstLine="645"/>
        <w:textAlignment w:val="auto"/>
        <w:rPr>
          <w:rFonts w:hint="eastAsia" w:ascii="仿宋" w:hAnsi="仿宋" w:eastAsia="仿宋" w:cs="仿宋"/>
          <w:color w:val="auto"/>
          <w:sz w:val="32"/>
          <w:szCs w:val="32"/>
          <w:u w:val="none"/>
          <w:lang w:eastAsia="zh-CN"/>
        </w:rPr>
      </w:pPr>
      <w:r>
        <w:rPr>
          <w:rFonts w:hint="eastAsia" w:ascii="仿宋" w:hAnsi="仿宋" w:eastAsia="仿宋" w:cs="仿宋"/>
          <w:color w:val="000000"/>
          <w:sz w:val="32"/>
          <w:szCs w:val="32"/>
          <w:lang w:val="en-US" w:eastAsia="zh-CN"/>
        </w:rPr>
        <w:t>2020年，在县委、县政府的坚强领导和市局的正确指导下，全</w:t>
      </w:r>
      <w:r>
        <w:rPr>
          <w:rFonts w:hint="eastAsia" w:ascii="仿宋" w:hAnsi="仿宋" w:eastAsia="仿宋" w:cs="仿宋"/>
          <w:color w:val="auto"/>
          <w:sz w:val="32"/>
          <w:szCs w:val="32"/>
          <w:u w:val="none"/>
        </w:rPr>
        <w:t>县人社系统牢固树立以人民为中心的发展理念，围绕中心、服务大局，坚持干在实处、走在前列，圆满完成各项目标任务。</w:t>
      </w:r>
      <w:r>
        <w:rPr>
          <w:rFonts w:hint="eastAsia" w:ascii="仿宋" w:hAnsi="仿宋" w:eastAsia="仿宋" w:cs="仿宋"/>
          <w:color w:val="auto"/>
          <w:sz w:val="32"/>
          <w:szCs w:val="32"/>
          <w:u w:val="none"/>
          <w:lang w:eastAsia="zh-CN"/>
        </w:rPr>
        <w:t>年度目标考核为：优秀</w:t>
      </w:r>
    </w:p>
    <w:p>
      <w:pPr>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eastAsia" w:ascii="仿宋" w:hAnsi="仿宋" w:eastAsia="仿宋" w:cs="仿宋"/>
          <w:b w:val="0"/>
          <w:bCs w:val="0"/>
          <w:color w:val="000000"/>
          <w:kern w:val="0"/>
          <w:sz w:val="32"/>
          <w:szCs w:val="32"/>
          <w:lang w:val="en-US" w:eastAsia="zh-CN" w:bidi="ar-SA"/>
        </w:rPr>
      </w:pPr>
      <w:bookmarkStart w:id="103" w:name="_Toc13358_WPSOffice_Level2"/>
      <w:r>
        <w:rPr>
          <w:rFonts w:hint="eastAsia" w:ascii="仿宋" w:hAnsi="仿宋" w:eastAsia="仿宋" w:cs="仿宋"/>
          <w:b w:val="0"/>
          <w:bCs w:val="0"/>
          <w:color w:val="000000"/>
          <w:kern w:val="0"/>
          <w:sz w:val="32"/>
          <w:szCs w:val="32"/>
          <w:lang w:val="en-US" w:eastAsia="zh-CN" w:bidi="ar-SA"/>
        </w:rPr>
        <w:t>四、评价结论及建议</w:t>
      </w:r>
      <w:bookmarkEnd w:id="103"/>
    </w:p>
    <w:p>
      <w:pPr>
        <w:pStyle w:val="33"/>
        <w:keepNext w:val="0"/>
        <w:keepLines w:val="0"/>
        <w:pageBreakBefore w:val="0"/>
        <w:numPr>
          <w:ilvl w:val="0"/>
          <w:numId w:val="0"/>
        </w:numPr>
        <w:kinsoku/>
        <w:wordWrap/>
        <w:overflowPunct/>
        <w:topLinePunct w:val="0"/>
        <w:autoSpaceDE/>
        <w:autoSpaceDN/>
        <w:bidi w:val="0"/>
        <w:spacing w:line="600" w:lineRule="exact"/>
        <w:ind w:left="-635" w:leftChars="0" w:firstLine="1280" w:firstLineChars="400"/>
        <w:textAlignment w:val="auto"/>
        <w:rPr>
          <w:rFonts w:hint="eastAsia" w:ascii="仿宋" w:hAnsi="仿宋" w:eastAsia="仿宋" w:cs="仿宋"/>
          <w:color w:val="auto"/>
          <w:kern w:val="2"/>
          <w:sz w:val="32"/>
          <w:szCs w:val="32"/>
          <w:u w:val="none"/>
          <w:lang w:val="en-US" w:eastAsia="zh-CN" w:bidi="ar-SA"/>
        </w:rPr>
      </w:pPr>
      <w:r>
        <w:rPr>
          <w:rFonts w:hint="eastAsia" w:ascii="仿宋" w:hAnsi="仿宋" w:eastAsia="仿宋" w:cs="仿宋"/>
          <w:color w:val="auto"/>
          <w:kern w:val="2"/>
          <w:sz w:val="32"/>
          <w:szCs w:val="32"/>
          <w:u w:val="none"/>
          <w:lang w:val="en-US" w:eastAsia="zh-CN" w:bidi="ar-SA"/>
        </w:rPr>
        <w:t>（一）评价结论。</w:t>
      </w:r>
    </w:p>
    <w:p>
      <w:pPr>
        <w:pageBreakBefore w:val="0"/>
        <w:kinsoku/>
        <w:wordWrap/>
        <w:overflowPunct/>
        <w:topLinePunct w:val="0"/>
        <w:autoSpaceDE/>
        <w:autoSpaceDN/>
        <w:bidi w:val="0"/>
        <w:spacing w:line="600" w:lineRule="exact"/>
        <w:ind w:firstLine="640" w:firstLineChars="200"/>
        <w:jc w:val="left"/>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000000"/>
          <w:kern w:val="0"/>
          <w:sz w:val="32"/>
          <w:szCs w:val="32"/>
          <w:lang w:val="en-US" w:eastAsia="zh-CN" w:bidi="ar-SA"/>
        </w:rPr>
        <w:t>2020年度整体支出</w:t>
      </w:r>
      <w:r>
        <w:rPr>
          <w:rFonts w:hint="eastAsia" w:ascii="仿宋" w:hAnsi="仿宋" w:eastAsia="仿宋" w:cs="仿宋"/>
          <w:color w:val="000000"/>
          <w:kern w:val="0"/>
          <w:sz w:val="32"/>
          <w:szCs w:val="32"/>
          <w:lang w:val="zh-CN" w:eastAsia="zh-CN" w:bidi="ar-SA"/>
        </w:rPr>
        <w:t>绩效自评科学、准确、及时、完整。</w:t>
      </w:r>
    </w:p>
    <w:p>
      <w:pPr>
        <w:pStyle w:val="33"/>
        <w:keepNext w:val="0"/>
        <w:keepLines w:val="0"/>
        <w:pageBreakBefore w:val="0"/>
        <w:numPr>
          <w:ilvl w:val="0"/>
          <w:numId w:val="0"/>
        </w:numPr>
        <w:kinsoku/>
        <w:wordWrap/>
        <w:overflowPunct/>
        <w:topLinePunct w:val="0"/>
        <w:autoSpaceDE/>
        <w:autoSpaceDN/>
        <w:bidi w:val="0"/>
        <w:spacing w:line="600" w:lineRule="exact"/>
        <w:ind w:leftChars="0" w:firstLine="640" w:firstLineChars="200"/>
        <w:textAlignment w:val="auto"/>
        <w:rPr>
          <w:rFonts w:hint="eastAsia" w:ascii="仿宋" w:hAnsi="仿宋" w:eastAsia="仿宋" w:cs="仿宋"/>
          <w:b w:val="0"/>
          <w:bCs w:val="0"/>
          <w:color w:val="auto"/>
          <w:sz w:val="32"/>
          <w:szCs w:val="32"/>
          <w:u w:val="none"/>
          <w:shd w:val="clear" w:color="auto" w:fill="FFFFFF"/>
        </w:rPr>
      </w:pPr>
      <w:r>
        <w:rPr>
          <w:rFonts w:hint="eastAsia" w:ascii="仿宋" w:hAnsi="仿宋" w:eastAsia="仿宋" w:cs="仿宋"/>
          <w:b w:val="0"/>
          <w:bCs w:val="0"/>
          <w:color w:val="auto"/>
          <w:sz w:val="32"/>
          <w:szCs w:val="32"/>
          <w:u w:val="none"/>
          <w:shd w:val="clear" w:color="auto" w:fill="FFFFFF"/>
          <w:lang w:eastAsia="zh-CN"/>
        </w:rPr>
        <w:t>（二）</w:t>
      </w:r>
      <w:r>
        <w:rPr>
          <w:rFonts w:hint="eastAsia" w:ascii="仿宋" w:hAnsi="仿宋" w:eastAsia="仿宋" w:cs="仿宋"/>
          <w:b w:val="0"/>
          <w:bCs w:val="0"/>
          <w:color w:val="auto"/>
          <w:sz w:val="32"/>
          <w:szCs w:val="32"/>
          <w:u w:val="none"/>
          <w:shd w:val="clear" w:color="auto" w:fill="FFFFFF"/>
        </w:rPr>
        <w:t>存在问题。</w:t>
      </w:r>
    </w:p>
    <w:p>
      <w:pPr>
        <w:keepNext w:val="0"/>
        <w:keepLines w:val="0"/>
        <w:pageBreakBefore w:val="0"/>
        <w:kinsoku/>
        <w:wordWrap/>
        <w:overflowPunct/>
        <w:topLinePunct w:val="0"/>
        <w:autoSpaceDE/>
        <w:autoSpaceDN/>
        <w:bidi w:val="0"/>
        <w:spacing w:line="600" w:lineRule="exact"/>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 xml:space="preserve">     无。</w:t>
      </w:r>
    </w:p>
    <w:p>
      <w:pPr>
        <w:pStyle w:val="33"/>
        <w:keepNext w:val="0"/>
        <w:keepLines w:val="0"/>
        <w:pageBreakBefore w:val="0"/>
        <w:numPr>
          <w:ilvl w:val="0"/>
          <w:numId w:val="0"/>
        </w:numPr>
        <w:kinsoku/>
        <w:wordWrap/>
        <w:overflowPunct/>
        <w:topLinePunct w:val="0"/>
        <w:autoSpaceDE/>
        <w:autoSpaceDN/>
        <w:bidi w:val="0"/>
        <w:spacing w:line="600" w:lineRule="exact"/>
        <w:ind w:leftChars="0" w:firstLine="640" w:firstLineChars="200"/>
        <w:textAlignment w:val="auto"/>
        <w:rPr>
          <w:rFonts w:hint="eastAsia" w:ascii="仿宋" w:hAnsi="仿宋" w:eastAsia="仿宋" w:cs="仿宋"/>
          <w:color w:val="auto"/>
          <w:sz w:val="32"/>
          <w:szCs w:val="32"/>
          <w:u w:val="none"/>
          <w:shd w:val="clear" w:color="auto" w:fill="FFFFFF"/>
        </w:rPr>
      </w:pPr>
      <w:r>
        <w:rPr>
          <w:rFonts w:hint="eastAsia" w:ascii="仿宋" w:hAnsi="仿宋" w:eastAsia="仿宋" w:cs="仿宋"/>
          <w:color w:val="auto"/>
          <w:sz w:val="32"/>
          <w:szCs w:val="32"/>
          <w:u w:val="none"/>
          <w:shd w:val="clear" w:color="auto" w:fill="FFFFFF"/>
          <w:lang w:eastAsia="zh-CN"/>
        </w:rPr>
        <w:t>（三</w:t>
      </w:r>
      <w:r>
        <w:rPr>
          <w:rFonts w:hint="eastAsia" w:ascii="仿宋" w:hAnsi="仿宋" w:eastAsia="仿宋" w:cs="仿宋"/>
          <w:color w:val="auto"/>
          <w:sz w:val="32"/>
          <w:szCs w:val="32"/>
          <w:u w:val="none"/>
          <w:shd w:val="clear" w:color="auto" w:fill="FFFFFF"/>
          <w:lang w:val="en-US" w:eastAsia="zh-CN"/>
        </w:rPr>
        <w:t xml:space="preserve"> ）</w:t>
      </w:r>
      <w:r>
        <w:rPr>
          <w:rFonts w:hint="eastAsia" w:ascii="仿宋" w:hAnsi="仿宋" w:eastAsia="仿宋" w:cs="仿宋"/>
          <w:color w:val="auto"/>
          <w:sz w:val="32"/>
          <w:szCs w:val="32"/>
          <w:u w:val="none"/>
          <w:shd w:val="clear" w:color="auto" w:fill="FFFFFF"/>
        </w:rPr>
        <w:t>改进建议。</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仿宋"/>
          <w:color w:val="auto"/>
          <w:sz w:val="32"/>
          <w:szCs w:val="32"/>
          <w:u w:val="none"/>
          <w:shd w:val="clear" w:color="auto" w:fill="FFFFFF"/>
          <w:lang w:val="en-US" w:eastAsia="zh-CN"/>
        </w:rPr>
      </w:pPr>
      <w:r>
        <w:rPr>
          <w:rFonts w:hint="eastAsia" w:ascii="仿宋" w:hAnsi="仿宋" w:eastAsia="仿宋" w:cs="仿宋"/>
          <w:color w:val="auto"/>
          <w:sz w:val="32"/>
          <w:szCs w:val="32"/>
          <w:u w:val="none"/>
          <w:shd w:val="clear" w:color="auto" w:fill="FFFFFF"/>
          <w:lang w:val="en-US" w:eastAsia="zh-CN"/>
        </w:rPr>
        <w:t>建议财政部门加强绩效评价工作培训，以推进绩效评价工作更加真实有效。</w:t>
      </w:r>
    </w:p>
    <w:p>
      <w:pPr>
        <w:rPr>
          <w:rFonts w:hint="eastAsia" w:ascii="仿宋" w:hAnsi="仿宋" w:eastAsia="仿宋" w:cs="仿宋"/>
          <w:b w:val="0"/>
          <w:bCs w:val="0"/>
          <w:color w:val="000000"/>
          <w:kern w:val="0"/>
          <w:sz w:val="32"/>
          <w:szCs w:val="32"/>
          <w:lang w:val="en-US" w:eastAsia="zh-CN" w:bidi="ar-SA"/>
        </w:rPr>
      </w:pPr>
      <w:r>
        <w:rPr>
          <w:rFonts w:hint="eastAsia" w:ascii="仿宋" w:hAnsi="仿宋" w:eastAsia="仿宋" w:cs="仿宋"/>
          <w:b w:val="0"/>
          <w:bCs w:val="0"/>
          <w:color w:val="000000"/>
          <w:kern w:val="0"/>
          <w:sz w:val="32"/>
          <w:szCs w:val="32"/>
          <w:lang w:val="en-US" w:eastAsia="zh-CN" w:bidi="ar-SA"/>
        </w:rPr>
        <w:br w:type="page"/>
      </w:r>
    </w:p>
    <w:p>
      <w:pPr>
        <w:pStyle w:val="2"/>
        <w:pageBreakBefore w:val="0"/>
        <w:kinsoku/>
        <w:wordWrap/>
        <w:overflowPunct/>
        <w:topLinePunct w:val="0"/>
        <w:autoSpaceDE/>
        <w:autoSpaceDN/>
        <w:bidi w:val="0"/>
        <w:spacing w:line="600" w:lineRule="exact"/>
        <w:jc w:val="both"/>
        <w:textAlignment w:val="auto"/>
        <w:rPr>
          <w:rFonts w:hint="eastAsia" w:ascii="黑体" w:hAnsi="黑体" w:eastAsia="黑体" w:cs="黑体"/>
          <w:sz w:val="32"/>
          <w:szCs w:val="32"/>
        </w:rPr>
      </w:pPr>
      <w:r>
        <w:rPr>
          <w:rFonts w:hint="eastAsia" w:ascii="黑体" w:hAnsi="黑体" w:eastAsia="黑体" w:cs="黑体"/>
          <w:b w:val="0"/>
          <w:bCs w:val="0"/>
          <w:color w:val="000000"/>
          <w:kern w:val="0"/>
          <w:sz w:val="32"/>
          <w:szCs w:val="32"/>
          <w:lang w:val="en-US" w:eastAsia="zh-CN" w:bidi="ar-SA"/>
        </w:rPr>
        <w:t>附件2</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bookmarkStart w:id="104" w:name="_Toc5545_WPSOffice_Level2"/>
      <w:r>
        <w:rPr>
          <w:rFonts w:hint="eastAsia" w:ascii="方正小标宋简体" w:hAnsi="宋体" w:eastAsia="方正小标宋简体" w:cs="Times New Roman"/>
          <w:color w:val="auto"/>
          <w:kern w:val="0"/>
          <w:sz w:val="40"/>
          <w:szCs w:val="44"/>
          <w:u w:val="none"/>
          <w:lang w:val="zh-CN" w:eastAsia="zh-CN"/>
        </w:rPr>
        <w:t>财政为贫困人口代缴城乡居民养老保险费项目</w:t>
      </w:r>
      <w:r>
        <w:rPr>
          <w:rFonts w:hint="eastAsia" w:ascii="方正小标宋简体" w:hAnsi="宋体" w:eastAsia="方正小标宋简体" w:cs="Times New Roman"/>
          <w:color w:val="auto"/>
          <w:kern w:val="0"/>
          <w:sz w:val="40"/>
          <w:szCs w:val="44"/>
          <w:u w:val="none"/>
          <w:lang w:eastAsia="zh-CN"/>
        </w:rPr>
        <w:t>2020年</w:t>
      </w:r>
      <w:r>
        <w:rPr>
          <w:rFonts w:hint="eastAsia" w:ascii="方正小标宋简体" w:hAnsi="宋体" w:eastAsia="方正小标宋简体" w:cs="Times New Roman"/>
          <w:color w:val="auto"/>
          <w:kern w:val="0"/>
          <w:sz w:val="40"/>
          <w:szCs w:val="44"/>
          <w:u w:val="none"/>
          <w:lang w:val="zh-CN" w:eastAsia="zh-CN"/>
        </w:rPr>
        <w:t>绩效评价报告</w:t>
      </w:r>
      <w:bookmarkEnd w:id="104"/>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05" w:name="_Toc4144_WPSOffice_Level2"/>
      <w:bookmarkStart w:id="106" w:name="_Toc24370_WPSOffice_Level2"/>
      <w:r>
        <w:rPr>
          <w:rFonts w:hint="eastAsia" w:ascii="仿宋" w:hAnsi="仿宋" w:eastAsia="仿宋" w:cs="仿宋"/>
          <w:sz w:val="32"/>
          <w:szCs w:val="32"/>
        </w:rPr>
        <w:t>一、</w:t>
      </w:r>
      <w:r>
        <w:rPr>
          <w:rFonts w:hint="eastAsia" w:ascii="仿宋" w:hAnsi="仿宋" w:eastAsia="仿宋" w:cs="仿宋"/>
          <w:sz w:val="32"/>
          <w:szCs w:val="32"/>
          <w:lang w:val="zh-CN"/>
        </w:rPr>
        <w:t>项目概况</w:t>
      </w:r>
      <w:bookmarkEnd w:id="105"/>
      <w:bookmarkEnd w:id="106"/>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sz w:val="32"/>
          <w:szCs w:val="32"/>
          <w:lang w:val="zh-CN"/>
        </w:rPr>
        <w:t>（</w:t>
      </w:r>
      <w:r>
        <w:rPr>
          <w:rFonts w:hint="eastAsia" w:ascii="仿宋" w:hAnsi="仿宋" w:eastAsia="仿宋" w:cs="仿宋"/>
          <w:b w:val="0"/>
          <w:bCs/>
          <w:sz w:val="32"/>
          <w:szCs w:val="32"/>
          <w:lang w:val="zh-CN"/>
        </w:rPr>
        <w:t>一）项目基本情况。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kern w:val="0"/>
          <w:sz w:val="32"/>
          <w:szCs w:val="32"/>
          <w:lang w:eastAsia="zh-CN"/>
        </w:rPr>
      </w:pPr>
      <w:r>
        <w:rPr>
          <w:rFonts w:hint="eastAsia" w:ascii="仿宋" w:hAnsi="仿宋" w:eastAsia="仿宋" w:cs="仿宋"/>
          <w:sz w:val="32"/>
          <w:szCs w:val="32"/>
          <w:lang w:val="zh-CN"/>
        </w:rPr>
        <w:t>1．主管部门职能：</w:t>
      </w:r>
      <w:r>
        <w:rPr>
          <w:rFonts w:hint="eastAsia" w:ascii="仿宋" w:hAnsi="仿宋" w:eastAsia="仿宋" w:cs="仿宋"/>
          <w:kern w:val="0"/>
          <w:sz w:val="32"/>
          <w:szCs w:val="32"/>
        </w:rPr>
        <w:t>井研县社会保险事务中心提供保险服务，向企业职工和个体工商户提供养老、工伤、失业</w:t>
      </w:r>
      <w:r>
        <w:rPr>
          <w:rFonts w:hint="eastAsia" w:ascii="仿宋" w:hAnsi="仿宋" w:eastAsia="仿宋" w:cs="仿宋"/>
          <w:kern w:val="0"/>
          <w:sz w:val="32"/>
          <w:szCs w:val="32"/>
          <w:lang w:eastAsia="zh-CN"/>
        </w:rPr>
        <w:t>、</w:t>
      </w:r>
      <w:r>
        <w:rPr>
          <w:rFonts w:hint="eastAsia" w:ascii="仿宋" w:hAnsi="仿宋" w:eastAsia="仿宋" w:cs="仿宋"/>
          <w:sz w:val="32"/>
          <w:szCs w:val="32"/>
        </w:rPr>
        <w:t>城乡居民养老保险费</w:t>
      </w:r>
      <w:r>
        <w:rPr>
          <w:rFonts w:hint="eastAsia" w:ascii="仿宋" w:hAnsi="仿宋" w:eastAsia="仿宋" w:cs="仿宋"/>
          <w:kern w:val="0"/>
          <w:sz w:val="32"/>
          <w:szCs w:val="32"/>
        </w:rPr>
        <w:t>等保险</w:t>
      </w:r>
      <w:r>
        <w:rPr>
          <w:rFonts w:hint="eastAsia" w:ascii="仿宋" w:hAnsi="仿宋" w:eastAsia="仿宋" w:cs="仿宋"/>
          <w:kern w:val="0"/>
          <w:sz w:val="32"/>
          <w:szCs w:val="32"/>
          <w:lang w:eastAsia="zh-CN"/>
        </w:rPr>
        <w:t>征收、发放。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2．资金申报的依据。根据川财社（2019）128号为贫困人员社会保险脱贫攻坚代缴</w:t>
      </w:r>
      <w:r>
        <w:rPr>
          <w:rFonts w:hint="eastAsia" w:ascii="仿宋" w:hAnsi="仿宋" w:eastAsia="仿宋" w:cs="仿宋"/>
          <w:sz w:val="32"/>
          <w:szCs w:val="32"/>
        </w:rPr>
        <w:t>城乡居民养老保险费</w:t>
      </w:r>
      <w:r>
        <w:rPr>
          <w:rFonts w:hint="eastAsia" w:ascii="仿宋" w:hAnsi="仿宋" w:eastAsia="仿宋" w:cs="仿宋"/>
          <w:sz w:val="32"/>
          <w:szCs w:val="32"/>
          <w:lang w:val="zh-CN"/>
        </w:rPr>
        <w:t>，并申报资金。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3．资金管理办法制定情况，资金支持具体项目的条件、范围与支持方式概况。按照财务管理规定，制定了相关财务内控制度，项目资金的预算编制依托单位年度预算。</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4．资金分配的原则及考虑因素。根据县扶贫办提供人员明细代缴。</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（二）项目绩效目标。</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1．项目主要内容。</w:t>
      </w:r>
      <w:r>
        <w:rPr>
          <w:rFonts w:hint="eastAsia" w:ascii="仿宋" w:hAnsi="仿宋" w:eastAsia="仿宋" w:cs="仿宋"/>
          <w:sz w:val="32"/>
          <w:szCs w:val="32"/>
          <w:lang w:val="en-US" w:eastAsia="zh-CN"/>
        </w:rPr>
        <w:t>2020年，完成全县贫困人员</w:t>
      </w:r>
      <w:r>
        <w:rPr>
          <w:rFonts w:hint="eastAsia" w:ascii="仿宋" w:hAnsi="仿宋" w:eastAsia="仿宋" w:cs="仿宋"/>
          <w:sz w:val="32"/>
          <w:szCs w:val="32"/>
        </w:rPr>
        <w:t>城乡居民养老保险费</w:t>
      </w:r>
      <w:r>
        <w:rPr>
          <w:rFonts w:hint="eastAsia" w:ascii="仿宋" w:hAnsi="仿宋" w:eastAsia="仿宋" w:cs="仿宋"/>
          <w:sz w:val="32"/>
          <w:szCs w:val="32"/>
          <w:lang w:val="en-US" w:eastAsia="zh-CN"/>
        </w:rPr>
        <w:t>代缴工作。</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2．项目应实现的具体绩效目标。</w:t>
      </w:r>
      <w:r>
        <w:rPr>
          <w:rFonts w:hint="eastAsia" w:ascii="仿宋" w:hAnsi="仿宋" w:eastAsia="仿宋" w:cs="仿宋"/>
          <w:sz w:val="32"/>
          <w:szCs w:val="32"/>
          <w:lang w:val="en-US" w:eastAsia="zh-CN"/>
        </w:rPr>
        <w:t>2020年，实现贫困人员</w:t>
      </w:r>
      <w:r>
        <w:rPr>
          <w:rFonts w:hint="eastAsia" w:ascii="仿宋" w:hAnsi="仿宋" w:eastAsia="仿宋" w:cs="仿宋"/>
          <w:sz w:val="32"/>
          <w:szCs w:val="32"/>
        </w:rPr>
        <w:t>城乡居民养老保险费</w:t>
      </w:r>
      <w:r>
        <w:rPr>
          <w:rFonts w:hint="eastAsia" w:ascii="仿宋" w:hAnsi="仿宋" w:eastAsia="仿宋" w:cs="仿宋"/>
          <w:sz w:val="32"/>
          <w:szCs w:val="32"/>
          <w:lang w:val="en-US" w:eastAsia="zh-CN"/>
        </w:rPr>
        <w:t>代缴完成100%。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3．申报内容与实际相符，申报目标合理可行。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（三）项目自评步骤及方法。</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项目绩效自评采用中期考察与年终绩效考核报告相结合的方式进行。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rPr>
      </w:pPr>
      <w:bookmarkStart w:id="107" w:name="_Toc8425_WPSOffice_Level2"/>
      <w:bookmarkStart w:id="108" w:name="_Toc558_WPSOffice_Level2"/>
      <w:r>
        <w:rPr>
          <w:rFonts w:hint="eastAsia" w:ascii="仿宋" w:hAnsi="仿宋" w:eastAsia="仿宋" w:cs="仿宋"/>
          <w:sz w:val="32"/>
          <w:szCs w:val="32"/>
        </w:rPr>
        <w:t>二、项目资金申报及使用情况</w:t>
      </w:r>
      <w:bookmarkEnd w:id="107"/>
      <w:bookmarkEnd w:id="108"/>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（一）项目资金申报及批复情况。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该项目经年初预算，报政府批准。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（二）资金计划、到位及使用情况。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1．资金计划。该项目资金为县财政资金。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zh-CN"/>
        </w:rPr>
        <w:t>2．资金到位。截至</w:t>
      </w:r>
      <w:r>
        <w:rPr>
          <w:rFonts w:hint="eastAsia" w:ascii="仿宋" w:hAnsi="仿宋" w:eastAsia="仿宋" w:cs="仿宋"/>
          <w:color w:val="auto"/>
          <w:sz w:val="32"/>
          <w:szCs w:val="32"/>
          <w:lang w:val="en-US" w:eastAsia="zh-CN"/>
        </w:rPr>
        <w:t>2020年底，该项目资金均及时下达。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3．资金使用。截至</w:t>
      </w:r>
      <w:r>
        <w:rPr>
          <w:rFonts w:hint="eastAsia" w:ascii="仿宋" w:hAnsi="仿宋" w:eastAsia="仿宋" w:cs="仿宋"/>
          <w:color w:val="auto"/>
          <w:sz w:val="32"/>
          <w:szCs w:val="32"/>
          <w:lang w:val="en-US" w:eastAsia="zh-CN"/>
        </w:rPr>
        <w:t>2020年底，该项目资金均及时支付，</w:t>
      </w:r>
      <w:r>
        <w:rPr>
          <w:rFonts w:hint="eastAsia" w:ascii="仿宋" w:hAnsi="仿宋" w:eastAsia="仿宋" w:cs="仿宋"/>
          <w:color w:val="auto"/>
          <w:sz w:val="32"/>
          <w:szCs w:val="32"/>
          <w:lang w:val="zh-CN"/>
        </w:rPr>
        <w:t>资金支付范围、支付标准、支付进度、支付依据等合规合法、与预算相符，自评中未发现的问题。</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（三）项目财务管理情况。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该项目实施单位财务管理制度健全，严格执行财务管理制度，账务处理及时，会计核算规范。</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rPr>
      </w:pPr>
      <w:bookmarkStart w:id="109" w:name="_Toc2100_WPSOffice_Level2"/>
      <w:bookmarkStart w:id="110" w:name="_Toc32674_WPSOffice_Level2"/>
      <w:r>
        <w:rPr>
          <w:rFonts w:hint="eastAsia" w:ascii="仿宋" w:hAnsi="仿宋" w:eastAsia="仿宋" w:cs="仿宋"/>
          <w:sz w:val="32"/>
          <w:szCs w:val="32"/>
        </w:rPr>
        <w:t>三、项目实施及管理情况</w:t>
      </w:r>
      <w:bookmarkEnd w:id="109"/>
      <w:bookmarkEnd w:id="110"/>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color w:val="auto"/>
          <w:sz w:val="32"/>
          <w:szCs w:val="32"/>
          <w:lang w:val="zh-CN" w:eastAsia="zh-CN"/>
        </w:rPr>
      </w:pPr>
      <w:r>
        <w:rPr>
          <w:rFonts w:hint="eastAsia" w:ascii="仿宋" w:hAnsi="仿宋" w:eastAsia="仿宋" w:cs="仿宋"/>
          <w:b w:val="0"/>
          <w:bCs/>
          <w:color w:val="auto"/>
          <w:sz w:val="32"/>
          <w:szCs w:val="32"/>
          <w:lang w:val="zh-CN"/>
        </w:rPr>
        <w:t>（一）项目组织架构及实施流程。</w:t>
      </w:r>
      <w:r>
        <w:rPr>
          <w:rFonts w:hint="eastAsia" w:ascii="仿宋" w:hAnsi="仿宋" w:eastAsia="仿宋" w:cs="仿宋"/>
          <w:sz w:val="32"/>
          <w:szCs w:val="32"/>
          <w:lang w:val="en-US" w:eastAsia="zh-CN"/>
        </w:rPr>
        <w:t>贫困人员</w:t>
      </w:r>
      <w:r>
        <w:rPr>
          <w:rFonts w:hint="eastAsia" w:ascii="仿宋" w:hAnsi="仿宋" w:eastAsia="仿宋" w:cs="仿宋"/>
          <w:sz w:val="32"/>
          <w:szCs w:val="32"/>
        </w:rPr>
        <w:t>城乡居民养老保险费</w:t>
      </w:r>
      <w:r>
        <w:rPr>
          <w:rFonts w:hint="eastAsia" w:ascii="仿宋" w:hAnsi="仿宋" w:eastAsia="仿宋" w:cs="仿宋"/>
          <w:sz w:val="32"/>
          <w:szCs w:val="32"/>
          <w:lang w:val="en-US" w:eastAsia="zh-CN"/>
        </w:rPr>
        <w:t>代缴工作</w:t>
      </w:r>
      <w:r>
        <w:rPr>
          <w:rFonts w:hint="eastAsia" w:ascii="仿宋" w:hAnsi="仿宋" w:eastAsia="仿宋" w:cs="仿宋"/>
          <w:color w:val="auto"/>
          <w:sz w:val="32"/>
          <w:szCs w:val="32"/>
          <w:lang w:eastAsia="zh-CN"/>
        </w:rPr>
        <w:t>项目，</w:t>
      </w:r>
      <w:r>
        <w:rPr>
          <w:rFonts w:hint="eastAsia" w:ascii="仿宋" w:hAnsi="仿宋" w:eastAsia="仿宋" w:cs="仿宋"/>
          <w:color w:val="auto"/>
          <w:sz w:val="32"/>
          <w:szCs w:val="32"/>
        </w:rPr>
        <w:t>成立</w:t>
      </w:r>
      <w:r>
        <w:rPr>
          <w:rFonts w:hint="eastAsia" w:ascii="仿宋" w:hAnsi="仿宋" w:eastAsia="仿宋" w:cs="仿宋"/>
          <w:color w:val="auto"/>
          <w:sz w:val="32"/>
          <w:szCs w:val="32"/>
          <w:lang w:eastAsia="zh-CN"/>
        </w:rPr>
        <w:t>了以中心主任为组长的</w:t>
      </w:r>
      <w:r>
        <w:rPr>
          <w:rFonts w:hint="eastAsia" w:ascii="仿宋" w:hAnsi="仿宋" w:eastAsia="仿宋" w:cs="仿宋"/>
          <w:color w:val="auto"/>
          <w:sz w:val="32"/>
          <w:szCs w:val="32"/>
        </w:rPr>
        <w:t>工作领导小组</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由</w:t>
      </w:r>
      <w:r>
        <w:rPr>
          <w:rFonts w:hint="eastAsia" w:ascii="仿宋" w:hAnsi="仿宋" w:eastAsia="仿宋" w:cs="仿宋"/>
          <w:color w:val="auto"/>
          <w:sz w:val="32"/>
          <w:szCs w:val="32"/>
          <w:lang w:eastAsia="zh-CN"/>
        </w:rPr>
        <w:t>王婷</w:t>
      </w:r>
      <w:r>
        <w:rPr>
          <w:rFonts w:hint="eastAsia" w:ascii="仿宋" w:hAnsi="仿宋" w:eastAsia="仿宋" w:cs="仿宋"/>
          <w:color w:val="auto"/>
          <w:sz w:val="32"/>
          <w:szCs w:val="32"/>
        </w:rPr>
        <w:t>同志同志具体负责</w:t>
      </w:r>
      <w:r>
        <w:rPr>
          <w:rFonts w:hint="eastAsia" w:ascii="仿宋" w:hAnsi="仿宋" w:eastAsia="仿宋" w:cs="仿宋"/>
          <w:color w:val="auto"/>
          <w:sz w:val="32"/>
          <w:szCs w:val="32"/>
          <w:lang w:eastAsia="zh-CN"/>
        </w:rPr>
        <w:t>代缴</w:t>
      </w:r>
      <w:r>
        <w:rPr>
          <w:rFonts w:hint="eastAsia" w:ascii="仿宋" w:hAnsi="仿宋" w:eastAsia="仿宋" w:cs="仿宋"/>
          <w:color w:val="auto"/>
          <w:sz w:val="32"/>
          <w:szCs w:val="32"/>
        </w:rPr>
        <w:t>的日常工作。</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b w:val="0"/>
          <w:bCs/>
          <w:color w:val="auto"/>
          <w:sz w:val="32"/>
          <w:szCs w:val="32"/>
          <w:lang w:val="zh-CN"/>
        </w:rPr>
        <w:t>（二）项目管理情况。</w:t>
      </w:r>
      <w:r>
        <w:rPr>
          <w:rFonts w:hint="eastAsia" w:ascii="仿宋" w:hAnsi="仿宋" w:eastAsia="仿宋" w:cs="仿宋"/>
          <w:color w:val="auto"/>
          <w:sz w:val="32"/>
          <w:szCs w:val="32"/>
          <w:lang w:val="zh-CN"/>
        </w:rPr>
        <w:t>依据相关法律法规及项目管理制度对该项目进行管理。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b w:val="0"/>
          <w:bCs/>
          <w:sz w:val="32"/>
          <w:szCs w:val="32"/>
          <w:lang w:val="zh-CN"/>
        </w:rPr>
        <w:t>（三）项目监管情况。</w:t>
      </w:r>
      <w:r>
        <w:rPr>
          <w:rFonts w:hint="eastAsia" w:ascii="仿宋" w:hAnsi="仿宋" w:eastAsia="仿宋" w:cs="仿宋"/>
          <w:sz w:val="32"/>
          <w:szCs w:val="32"/>
          <w:lang w:val="zh-CN"/>
        </w:rPr>
        <w:t>该项目采用日常检查、财务监督的方式执行项目监管，效果较好。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11" w:name="_Toc25722_WPSOffice_Level2"/>
      <w:bookmarkStart w:id="112" w:name="_Toc12000_WPSOffice_Level2"/>
      <w:r>
        <w:rPr>
          <w:rFonts w:hint="eastAsia" w:ascii="仿宋" w:hAnsi="仿宋" w:eastAsia="仿宋" w:cs="仿宋"/>
          <w:sz w:val="32"/>
          <w:szCs w:val="32"/>
        </w:rPr>
        <w:t>四、项目绩效情况</w:t>
      </w:r>
      <w:bookmarkEnd w:id="111"/>
      <w:bookmarkEnd w:id="112"/>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（一）项目完成情况。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该项目于</w:t>
      </w:r>
      <w:r>
        <w:rPr>
          <w:rFonts w:hint="eastAsia" w:ascii="仿宋" w:hAnsi="仿宋" w:eastAsia="仿宋" w:cs="仿宋"/>
          <w:sz w:val="32"/>
          <w:szCs w:val="32"/>
          <w:lang w:val="en-US" w:eastAsia="zh-CN"/>
        </w:rPr>
        <w:t>2020年12月通过验收，为33.37万人贫困人员进行</w:t>
      </w:r>
      <w:r>
        <w:rPr>
          <w:rFonts w:hint="eastAsia" w:ascii="仿宋" w:hAnsi="仿宋" w:eastAsia="仿宋" w:cs="仿宋"/>
          <w:sz w:val="32"/>
          <w:szCs w:val="32"/>
        </w:rPr>
        <w:t>城乡居民养老保险费</w:t>
      </w:r>
      <w:r>
        <w:rPr>
          <w:rFonts w:hint="eastAsia" w:ascii="仿宋" w:hAnsi="仿宋" w:eastAsia="仿宋" w:cs="仿宋"/>
          <w:sz w:val="32"/>
          <w:szCs w:val="32"/>
          <w:lang w:val="en-US" w:eastAsia="zh-CN"/>
        </w:rPr>
        <w:t>代缴，工作完成达到100%。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（二）项目效益情况。</w:t>
      </w:r>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color w:val="auto"/>
          <w:sz w:val="32"/>
          <w:szCs w:val="32"/>
        </w:rPr>
        <w:t>通过项目实施，</w:t>
      </w:r>
      <w:r>
        <w:rPr>
          <w:rFonts w:hint="eastAsia" w:ascii="仿宋" w:hAnsi="仿宋" w:eastAsia="仿宋" w:cs="仿宋"/>
          <w:color w:val="auto"/>
          <w:sz w:val="32"/>
          <w:szCs w:val="32"/>
          <w:lang w:eastAsia="zh-CN"/>
        </w:rPr>
        <w:t>确保贫困人员老有所养。</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rPr>
      </w:pPr>
      <w:bookmarkStart w:id="113" w:name="_Toc11527_WPSOffice_Level2"/>
      <w:bookmarkStart w:id="114" w:name="_Toc27230_WPSOffice_Level2"/>
      <w:r>
        <w:rPr>
          <w:rFonts w:hint="eastAsia" w:ascii="仿宋" w:hAnsi="仿宋" w:eastAsia="仿宋" w:cs="仿宋"/>
          <w:sz w:val="32"/>
          <w:szCs w:val="32"/>
        </w:rPr>
        <w:t>五、评价结论及建议</w:t>
      </w:r>
      <w:bookmarkEnd w:id="113"/>
      <w:bookmarkEnd w:id="114"/>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（一）评价结论。</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bdr w:val="single" w:color="auto" w:sz="4" w:space="0"/>
          <w:lang w:val="zh-CN"/>
        </w:rPr>
      </w:pPr>
      <w:r>
        <w:rPr>
          <w:rFonts w:hint="eastAsia" w:ascii="仿宋" w:hAnsi="仿宋" w:eastAsia="仿宋" w:cs="仿宋"/>
          <w:sz w:val="32"/>
          <w:szCs w:val="32"/>
          <w:lang w:val="zh-CN"/>
        </w:rPr>
        <w:t>结合项目自身特点、评价重点及管理办法等要求，该项目支出绩效总体评价为：好。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（二）存在的问题。</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（三）相关建议。</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无。</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p>
    <w:p>
      <w:pPr>
        <w:rPr>
          <w:rFonts w:hint="eastAsia" w:ascii="黑体" w:hAnsi="黑体" w:eastAsia="黑体" w:cs="黑体"/>
          <w:b w:val="0"/>
          <w:bCs/>
          <w:kern w:val="2"/>
          <w:sz w:val="32"/>
          <w:szCs w:val="32"/>
          <w:lang w:val="zh-CN" w:eastAsia="zh-CN" w:bidi="ar-SA"/>
        </w:rPr>
      </w:pPr>
      <w:r>
        <w:rPr>
          <w:rFonts w:hint="eastAsia" w:ascii="黑体" w:hAnsi="黑体" w:eastAsia="黑体" w:cs="黑体"/>
          <w:b w:val="0"/>
          <w:bCs/>
          <w:kern w:val="2"/>
          <w:sz w:val="32"/>
          <w:szCs w:val="32"/>
          <w:lang w:val="zh-CN" w:eastAsia="zh-CN" w:bidi="ar-SA"/>
        </w:rPr>
        <w:br w:type="page"/>
      </w:r>
    </w:p>
    <w:p>
      <w:pPr>
        <w:pStyle w:val="2"/>
        <w:pageBreakBefore w:val="0"/>
        <w:kinsoku/>
        <w:wordWrap/>
        <w:overflowPunct/>
        <w:topLinePunct w:val="0"/>
        <w:autoSpaceDE/>
        <w:autoSpaceDN/>
        <w:bidi w:val="0"/>
        <w:spacing w:line="600" w:lineRule="exact"/>
        <w:jc w:val="both"/>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zh-CN" w:eastAsia="zh-CN" w:bidi="ar-SA"/>
        </w:rPr>
        <w:t>附件</w:t>
      </w:r>
      <w:r>
        <w:rPr>
          <w:rFonts w:hint="eastAsia" w:ascii="黑体" w:hAnsi="黑体" w:eastAsia="黑体" w:cs="黑体"/>
          <w:b w:val="0"/>
          <w:bCs/>
          <w:kern w:val="2"/>
          <w:sz w:val="32"/>
          <w:szCs w:val="32"/>
          <w:lang w:val="en-US" w:eastAsia="zh-CN" w:bidi="ar-SA"/>
        </w:rPr>
        <w:t>3</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r>
        <w:rPr>
          <w:rFonts w:hint="eastAsia" w:ascii="方正小标宋简体" w:hAnsi="宋体" w:eastAsia="方正小标宋简体" w:cs="Times New Roman"/>
          <w:color w:val="auto"/>
          <w:kern w:val="0"/>
          <w:sz w:val="40"/>
          <w:szCs w:val="44"/>
          <w:u w:val="none"/>
          <w:lang w:eastAsia="zh-CN"/>
        </w:rPr>
        <w:t>财政为特困人员、低保对象、残疾人（1－2级重残、精神智力3－4级残疾人）代缴城乡居民养老保险费</w:t>
      </w:r>
      <w:r>
        <w:rPr>
          <w:rFonts w:hint="eastAsia" w:ascii="方正小标宋简体" w:hAnsi="宋体" w:eastAsia="方正小标宋简体" w:cs="Times New Roman"/>
          <w:color w:val="auto"/>
          <w:kern w:val="0"/>
          <w:sz w:val="40"/>
          <w:szCs w:val="44"/>
          <w:u w:val="none"/>
          <w:lang w:val="zh-CN" w:eastAsia="zh-CN"/>
        </w:rPr>
        <w:t>项目</w:t>
      </w:r>
      <w:r>
        <w:rPr>
          <w:rFonts w:hint="eastAsia" w:ascii="方正小标宋简体" w:hAnsi="宋体" w:eastAsia="方正小标宋简体" w:cs="Times New Roman"/>
          <w:color w:val="auto"/>
          <w:kern w:val="0"/>
          <w:sz w:val="40"/>
          <w:szCs w:val="44"/>
          <w:u w:val="none"/>
          <w:lang w:eastAsia="zh-CN"/>
        </w:rPr>
        <w:t>2020年</w:t>
      </w:r>
      <w:r>
        <w:rPr>
          <w:rFonts w:hint="eastAsia" w:ascii="方正小标宋简体" w:hAnsi="宋体" w:eastAsia="方正小标宋简体" w:cs="Times New Roman"/>
          <w:color w:val="auto"/>
          <w:kern w:val="0"/>
          <w:sz w:val="40"/>
          <w:szCs w:val="44"/>
          <w:u w:val="none"/>
          <w:lang w:val="zh-CN" w:eastAsia="zh-CN"/>
        </w:rPr>
        <w:t>绩效评价报告</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p>
    <w:p>
      <w:pPr>
        <w:pageBreakBefore w:val="0"/>
        <w:numPr>
          <w:ilvl w:val="0"/>
          <w:numId w:val="3"/>
        </w:numPr>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15" w:name="_Toc6609_WPSOffice_Level2"/>
      <w:r>
        <w:rPr>
          <w:rFonts w:hint="eastAsia" w:ascii="仿宋" w:hAnsi="仿宋" w:eastAsia="仿宋" w:cs="仿宋"/>
          <w:sz w:val="32"/>
          <w:szCs w:val="32"/>
          <w:lang w:val="zh-CN"/>
        </w:rPr>
        <w:t>项目概况</w:t>
      </w:r>
      <w:bookmarkEnd w:id="115"/>
    </w:p>
    <w:p>
      <w:pPr>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（一）项目基本情况。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kern w:val="0"/>
          <w:sz w:val="32"/>
          <w:szCs w:val="32"/>
          <w:lang w:eastAsia="zh-CN"/>
        </w:rPr>
      </w:pPr>
      <w:r>
        <w:rPr>
          <w:rFonts w:hint="eastAsia" w:ascii="仿宋" w:hAnsi="仿宋" w:eastAsia="仿宋" w:cs="仿宋"/>
          <w:sz w:val="32"/>
          <w:szCs w:val="32"/>
          <w:lang w:val="zh-CN"/>
        </w:rPr>
        <w:t>1．主管部门职能：</w:t>
      </w:r>
      <w:r>
        <w:rPr>
          <w:rFonts w:hint="eastAsia" w:ascii="仿宋" w:hAnsi="仿宋" w:eastAsia="仿宋" w:cs="仿宋"/>
          <w:kern w:val="0"/>
          <w:sz w:val="32"/>
          <w:szCs w:val="32"/>
        </w:rPr>
        <w:t>井研县社会保险事务中心提供保险服务，向企业职工和个体工商户提供养老、工伤、失业</w:t>
      </w:r>
      <w:r>
        <w:rPr>
          <w:rFonts w:hint="eastAsia" w:ascii="仿宋" w:hAnsi="仿宋" w:eastAsia="仿宋" w:cs="仿宋"/>
          <w:kern w:val="0"/>
          <w:sz w:val="32"/>
          <w:szCs w:val="32"/>
          <w:lang w:eastAsia="zh-CN"/>
        </w:rPr>
        <w:t>、</w:t>
      </w:r>
      <w:r>
        <w:rPr>
          <w:rFonts w:hint="eastAsia" w:ascii="仿宋" w:hAnsi="仿宋" w:eastAsia="仿宋" w:cs="仿宋"/>
          <w:sz w:val="32"/>
          <w:szCs w:val="32"/>
        </w:rPr>
        <w:t>城乡居民养老保险费</w:t>
      </w:r>
      <w:r>
        <w:rPr>
          <w:rFonts w:hint="eastAsia" w:ascii="仿宋" w:hAnsi="仿宋" w:eastAsia="仿宋" w:cs="仿宋"/>
          <w:kern w:val="0"/>
          <w:sz w:val="32"/>
          <w:szCs w:val="32"/>
        </w:rPr>
        <w:t>等保险</w:t>
      </w:r>
      <w:r>
        <w:rPr>
          <w:rFonts w:hint="eastAsia" w:ascii="仿宋" w:hAnsi="仿宋" w:eastAsia="仿宋" w:cs="仿宋"/>
          <w:kern w:val="0"/>
          <w:sz w:val="32"/>
          <w:szCs w:val="32"/>
          <w:lang w:eastAsia="zh-CN"/>
        </w:rPr>
        <w:t>征收、发放。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2．资金申报的依据。根据川财社（2019）128号为贫困人员</w:t>
      </w:r>
      <w:r>
        <w:rPr>
          <w:rFonts w:hint="eastAsia" w:ascii="仿宋" w:hAnsi="仿宋" w:eastAsia="仿宋" w:cs="仿宋"/>
          <w:sz w:val="32"/>
          <w:szCs w:val="32"/>
          <w:lang w:eastAsia="zh-CN"/>
        </w:rPr>
        <w:t>财政为特困人员、低保对象、残疾人（1－2级重残、精神智力3－4级残疾人）代缴城乡居民养老保险费</w:t>
      </w:r>
      <w:r>
        <w:rPr>
          <w:rFonts w:hint="eastAsia" w:ascii="仿宋" w:hAnsi="仿宋" w:eastAsia="仿宋" w:cs="仿宋"/>
          <w:sz w:val="32"/>
          <w:szCs w:val="32"/>
          <w:lang w:val="zh-CN"/>
        </w:rPr>
        <w:t>，并申报资金。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3．资金管理办法制定情况，资金支持具体项目的条件、范围与支持方式概况。按照财务管理规定，制定了相关财务内控制度，项目资金的预算编制依托单位年度预算。</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4．资金分配的原则及考虑因素。根据县民政局提供人员明细代缴。</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（二）项目绩效目标。</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1．项目主要内容。</w:t>
      </w:r>
      <w:r>
        <w:rPr>
          <w:rFonts w:hint="eastAsia" w:ascii="仿宋" w:hAnsi="仿宋" w:eastAsia="仿宋" w:cs="仿宋"/>
          <w:sz w:val="32"/>
          <w:szCs w:val="32"/>
          <w:lang w:val="en-US" w:eastAsia="zh-CN"/>
        </w:rPr>
        <w:t>2020年，完成全县</w:t>
      </w:r>
      <w:r>
        <w:rPr>
          <w:rFonts w:hint="eastAsia" w:ascii="仿宋" w:hAnsi="仿宋" w:eastAsia="仿宋" w:cs="仿宋"/>
          <w:sz w:val="32"/>
          <w:szCs w:val="32"/>
          <w:lang w:val="zh-CN" w:eastAsia="zh-CN"/>
        </w:rPr>
        <w:t>财政为特困人员、低保对象、残疾人（1－2级重残、精神智力3－4级残疾人）代缴城乡居民养老保险费</w:t>
      </w:r>
      <w:r>
        <w:rPr>
          <w:rFonts w:hint="eastAsia" w:ascii="仿宋" w:hAnsi="仿宋" w:eastAsia="仿宋" w:cs="仿宋"/>
          <w:sz w:val="32"/>
          <w:szCs w:val="32"/>
          <w:lang w:val="en-US" w:eastAsia="zh-CN"/>
        </w:rPr>
        <w:t>代缴工作。</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2．项目应实现的具体绩效目标。</w:t>
      </w:r>
      <w:r>
        <w:rPr>
          <w:rFonts w:hint="eastAsia" w:ascii="仿宋" w:hAnsi="仿宋" w:eastAsia="仿宋" w:cs="仿宋"/>
          <w:sz w:val="32"/>
          <w:szCs w:val="32"/>
          <w:lang w:val="en-US" w:eastAsia="zh-CN"/>
        </w:rPr>
        <w:t>2020年，实现贫</w:t>
      </w:r>
      <w:r>
        <w:rPr>
          <w:rFonts w:hint="eastAsia" w:ascii="仿宋" w:hAnsi="仿宋" w:eastAsia="仿宋" w:cs="仿宋"/>
          <w:sz w:val="32"/>
          <w:szCs w:val="32"/>
          <w:lang w:val="zh-CN" w:eastAsia="zh-CN"/>
        </w:rPr>
        <w:t>财政为特困人员、低保对象、残疾人（1－2级重残、精神智力3－4级残疾人）代缴城乡居民养老保险费</w:t>
      </w:r>
      <w:r>
        <w:rPr>
          <w:rFonts w:hint="eastAsia" w:ascii="仿宋" w:hAnsi="仿宋" w:eastAsia="仿宋" w:cs="仿宋"/>
          <w:sz w:val="32"/>
          <w:szCs w:val="32"/>
          <w:lang w:val="en-US" w:eastAsia="zh-CN"/>
        </w:rPr>
        <w:t>代缴完成100%。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3．申报内容与实际相符，申报目标合理可行。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（三）项目自评步骤及方法。</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项目绩效自评采用中期考察与年终绩效考核报告相结合的方式进行。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16" w:name="_Toc21605_WPSOffice_Level2"/>
      <w:r>
        <w:rPr>
          <w:rFonts w:hint="eastAsia" w:ascii="仿宋" w:hAnsi="仿宋" w:eastAsia="仿宋" w:cs="仿宋"/>
          <w:sz w:val="32"/>
          <w:szCs w:val="32"/>
          <w:lang w:val="zh-CN"/>
        </w:rPr>
        <w:t>二、项目资金申报及使用情况</w:t>
      </w:r>
      <w:bookmarkEnd w:id="116"/>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（一）项目资金申报及批复情况。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该项目经年初预算，报政府批准。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（二）资金计划、到位及使用情况。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1．资金计划。该项目资金为县财政资金。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2．资金到位。截至</w:t>
      </w:r>
      <w:r>
        <w:rPr>
          <w:rFonts w:hint="eastAsia" w:ascii="仿宋" w:hAnsi="仿宋" w:eastAsia="仿宋" w:cs="仿宋"/>
          <w:sz w:val="32"/>
          <w:szCs w:val="32"/>
          <w:lang w:val="en-US" w:eastAsia="zh-CN"/>
        </w:rPr>
        <w:t>2020年底，该项目资金均及时下达。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3．资金使用。截至</w:t>
      </w:r>
      <w:r>
        <w:rPr>
          <w:rFonts w:hint="eastAsia" w:ascii="仿宋" w:hAnsi="仿宋" w:eastAsia="仿宋" w:cs="仿宋"/>
          <w:sz w:val="32"/>
          <w:szCs w:val="32"/>
          <w:lang w:val="en-US" w:eastAsia="zh-CN"/>
        </w:rPr>
        <w:t>2020年底，该项目资金均及时支付，</w:t>
      </w:r>
      <w:r>
        <w:rPr>
          <w:rFonts w:hint="eastAsia" w:ascii="仿宋" w:hAnsi="仿宋" w:eastAsia="仿宋" w:cs="仿宋"/>
          <w:sz w:val="32"/>
          <w:szCs w:val="32"/>
          <w:lang w:val="zh-CN"/>
        </w:rPr>
        <w:t>资金支付范围、支付标准、支付进度、支付依据等合规合法、与预算相符，自评中未发现的问题。</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（三）项目财务管理情况。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该项目实施单位财务管理制度健全，严格执行财务管理制度，账务处理及时，会计核算规范。</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17" w:name="_Toc15826_WPSOffice_Level2"/>
      <w:r>
        <w:rPr>
          <w:rFonts w:hint="eastAsia" w:ascii="仿宋" w:hAnsi="仿宋" w:eastAsia="仿宋" w:cs="仿宋"/>
          <w:sz w:val="32"/>
          <w:szCs w:val="32"/>
          <w:lang w:val="zh-CN"/>
        </w:rPr>
        <w:t>三、项目实施及管理情况</w:t>
      </w:r>
      <w:bookmarkEnd w:id="117"/>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rPr>
        <w:t>（一）项目组织架构及实施流程。</w:t>
      </w:r>
      <w:r>
        <w:rPr>
          <w:rFonts w:hint="eastAsia" w:ascii="仿宋" w:hAnsi="仿宋" w:eastAsia="仿宋" w:cs="仿宋"/>
          <w:sz w:val="32"/>
          <w:szCs w:val="32"/>
          <w:lang w:val="zh-CN" w:eastAsia="zh-CN"/>
        </w:rPr>
        <w:t>为特困人员、低保对象、残疾人（1－2级重残、精神智力3－4级残疾人）</w:t>
      </w:r>
      <w:r>
        <w:rPr>
          <w:rFonts w:hint="eastAsia" w:ascii="仿宋" w:hAnsi="仿宋" w:eastAsia="仿宋" w:cs="仿宋"/>
          <w:sz w:val="32"/>
          <w:szCs w:val="32"/>
          <w:lang w:val="en-US" w:eastAsia="zh-CN"/>
        </w:rPr>
        <w:t>工作</w:t>
      </w:r>
      <w:r>
        <w:rPr>
          <w:rFonts w:hint="eastAsia" w:ascii="仿宋" w:hAnsi="仿宋" w:eastAsia="仿宋" w:cs="仿宋"/>
          <w:sz w:val="32"/>
          <w:szCs w:val="32"/>
          <w:lang w:val="zh-CN" w:eastAsia="zh-CN"/>
        </w:rPr>
        <w:t>项目，</w:t>
      </w:r>
      <w:r>
        <w:rPr>
          <w:rFonts w:hint="eastAsia" w:ascii="仿宋" w:hAnsi="仿宋" w:eastAsia="仿宋" w:cs="仿宋"/>
          <w:sz w:val="32"/>
          <w:szCs w:val="32"/>
          <w:lang w:val="zh-CN"/>
        </w:rPr>
        <w:t>成立</w:t>
      </w:r>
      <w:r>
        <w:rPr>
          <w:rFonts w:hint="eastAsia" w:ascii="仿宋" w:hAnsi="仿宋" w:eastAsia="仿宋" w:cs="仿宋"/>
          <w:sz w:val="32"/>
          <w:szCs w:val="32"/>
          <w:lang w:val="zh-CN" w:eastAsia="zh-CN"/>
        </w:rPr>
        <w:t>了以中心主任为组长的</w:t>
      </w:r>
      <w:r>
        <w:rPr>
          <w:rFonts w:hint="eastAsia" w:ascii="仿宋" w:hAnsi="仿宋" w:eastAsia="仿宋" w:cs="仿宋"/>
          <w:sz w:val="32"/>
          <w:szCs w:val="32"/>
          <w:lang w:val="zh-CN"/>
        </w:rPr>
        <w:t>工作领导小组</w:t>
      </w:r>
      <w:r>
        <w:rPr>
          <w:rFonts w:hint="eastAsia" w:ascii="仿宋" w:hAnsi="仿宋" w:eastAsia="仿宋" w:cs="仿宋"/>
          <w:sz w:val="32"/>
          <w:szCs w:val="32"/>
          <w:lang w:val="zh-CN" w:eastAsia="zh-CN"/>
        </w:rPr>
        <w:t>，</w:t>
      </w:r>
      <w:r>
        <w:rPr>
          <w:rFonts w:hint="eastAsia" w:ascii="仿宋" w:hAnsi="仿宋" w:eastAsia="仿宋" w:cs="仿宋"/>
          <w:sz w:val="32"/>
          <w:szCs w:val="32"/>
          <w:lang w:val="zh-CN"/>
        </w:rPr>
        <w:t>由</w:t>
      </w:r>
      <w:r>
        <w:rPr>
          <w:rFonts w:hint="eastAsia" w:ascii="仿宋" w:hAnsi="仿宋" w:eastAsia="仿宋" w:cs="仿宋"/>
          <w:sz w:val="32"/>
          <w:szCs w:val="32"/>
          <w:lang w:val="zh-CN" w:eastAsia="zh-CN"/>
        </w:rPr>
        <w:t>王婷</w:t>
      </w:r>
      <w:r>
        <w:rPr>
          <w:rFonts w:hint="eastAsia" w:ascii="仿宋" w:hAnsi="仿宋" w:eastAsia="仿宋" w:cs="仿宋"/>
          <w:sz w:val="32"/>
          <w:szCs w:val="32"/>
          <w:lang w:val="zh-CN"/>
        </w:rPr>
        <w:t>同志同志具体负责</w:t>
      </w:r>
      <w:r>
        <w:rPr>
          <w:rFonts w:hint="eastAsia" w:ascii="仿宋" w:hAnsi="仿宋" w:eastAsia="仿宋" w:cs="仿宋"/>
          <w:sz w:val="32"/>
          <w:szCs w:val="32"/>
          <w:lang w:val="zh-CN" w:eastAsia="zh-CN"/>
        </w:rPr>
        <w:t>代缴</w:t>
      </w:r>
      <w:r>
        <w:rPr>
          <w:rFonts w:hint="eastAsia" w:ascii="仿宋" w:hAnsi="仿宋" w:eastAsia="仿宋" w:cs="仿宋"/>
          <w:sz w:val="32"/>
          <w:szCs w:val="32"/>
          <w:lang w:val="zh-CN"/>
        </w:rPr>
        <w:t>的日常工作。</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（二）项目管理情况。依据相关法律法规及项目管理制度对该项目进行管理。</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（三）项目监管情况。该项目采用日常检查、财务监督的方式执行项目监管，效果较好。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18" w:name="_Toc6714_WPSOffice_Level2"/>
      <w:r>
        <w:rPr>
          <w:rFonts w:hint="eastAsia" w:ascii="仿宋" w:hAnsi="仿宋" w:eastAsia="仿宋" w:cs="仿宋"/>
          <w:sz w:val="32"/>
          <w:szCs w:val="32"/>
          <w:lang w:val="zh-CN"/>
        </w:rPr>
        <w:t>四、项目绩效情况</w:t>
      </w:r>
      <w:bookmarkEnd w:id="118"/>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（一）项目完成情况。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该项目于</w:t>
      </w:r>
      <w:r>
        <w:rPr>
          <w:rFonts w:hint="eastAsia" w:ascii="仿宋" w:hAnsi="仿宋" w:eastAsia="仿宋" w:cs="仿宋"/>
          <w:sz w:val="32"/>
          <w:szCs w:val="32"/>
          <w:lang w:val="en-US" w:eastAsia="zh-CN"/>
        </w:rPr>
        <w:t>2020年12月通过验收，为85.2万人贫困人员进行</w:t>
      </w:r>
      <w:r>
        <w:rPr>
          <w:rFonts w:hint="eastAsia" w:ascii="仿宋" w:hAnsi="仿宋" w:eastAsia="仿宋" w:cs="仿宋"/>
          <w:sz w:val="32"/>
          <w:szCs w:val="32"/>
          <w:lang w:val="zh-CN"/>
        </w:rPr>
        <w:t>城乡居民养老保险费</w:t>
      </w:r>
      <w:r>
        <w:rPr>
          <w:rFonts w:hint="eastAsia" w:ascii="仿宋" w:hAnsi="仿宋" w:eastAsia="仿宋" w:cs="仿宋"/>
          <w:sz w:val="32"/>
          <w:szCs w:val="32"/>
          <w:lang w:val="en-US" w:eastAsia="zh-CN"/>
        </w:rPr>
        <w:t>代缴，工作完成达到100%。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（二）项目效益情况。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通过项目实施，</w:t>
      </w:r>
      <w:r>
        <w:rPr>
          <w:rFonts w:hint="eastAsia" w:ascii="仿宋" w:hAnsi="仿宋" w:eastAsia="仿宋" w:cs="仿宋"/>
          <w:sz w:val="32"/>
          <w:szCs w:val="32"/>
          <w:lang w:val="zh-CN" w:eastAsia="zh-CN"/>
        </w:rPr>
        <w:t>确保财政为特困人员、低保对象、残疾人（1－2级重残、精神智力3－4级残疾人）代缴城乡居民养老保险费人员老有所养。</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19" w:name="_Toc20072_WPSOffice_Level2"/>
      <w:r>
        <w:rPr>
          <w:rFonts w:hint="eastAsia" w:ascii="仿宋" w:hAnsi="仿宋" w:eastAsia="仿宋" w:cs="仿宋"/>
          <w:sz w:val="32"/>
          <w:szCs w:val="32"/>
          <w:lang w:val="zh-CN"/>
        </w:rPr>
        <w:t>五、评价结论及建议</w:t>
      </w:r>
      <w:bookmarkEnd w:id="119"/>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（一）评价结论。</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结合项目自身特点、评价重点及管理办法等要求，该项目支出绩效总体评价为：好。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（二）存在的问题。</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（三）相关建议。</w:t>
      </w:r>
    </w:p>
    <w:p>
      <w:pPr>
        <w:pageBreakBefore w:val="0"/>
        <w:kinsoku/>
        <w:wordWrap/>
        <w:overflowPunct/>
        <w:topLinePunct w:val="0"/>
        <w:autoSpaceDE/>
        <w:autoSpaceDN/>
        <w:bidi w:val="0"/>
        <w:adjustRightInd w:val="0"/>
        <w:snapToGrid w:val="0"/>
        <w:spacing w:line="600" w:lineRule="exact"/>
        <w:ind w:firstLine="960" w:firstLineChars="3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p>
    <w:p>
      <w:pPr>
        <w:rPr>
          <w:rFonts w:hint="eastAsia" w:ascii="仿宋" w:hAnsi="仿宋" w:eastAsia="仿宋" w:cs="仿宋"/>
          <w:b w:val="0"/>
          <w:bCs w:val="0"/>
          <w:kern w:val="2"/>
          <w:sz w:val="32"/>
          <w:szCs w:val="32"/>
          <w:lang w:val="zh-CN" w:eastAsia="zh-CN" w:bidi="ar-SA"/>
        </w:rPr>
      </w:pPr>
      <w:r>
        <w:rPr>
          <w:rFonts w:hint="eastAsia" w:ascii="仿宋" w:hAnsi="仿宋" w:eastAsia="仿宋" w:cs="仿宋"/>
          <w:b w:val="0"/>
          <w:bCs w:val="0"/>
          <w:kern w:val="2"/>
          <w:sz w:val="32"/>
          <w:szCs w:val="32"/>
          <w:lang w:val="zh-CN" w:eastAsia="zh-CN" w:bidi="ar-SA"/>
        </w:rPr>
        <w:br w:type="page"/>
      </w:r>
    </w:p>
    <w:p>
      <w:pPr>
        <w:spacing w:line="600" w:lineRule="exact"/>
        <w:jc w:val="left"/>
        <w:outlineLvl w:val="0"/>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zh-CN" w:eastAsia="zh-CN"/>
        </w:rPr>
        <w:t>附件</w:t>
      </w:r>
      <w:r>
        <w:rPr>
          <w:rFonts w:hint="eastAsia" w:ascii="黑体" w:hAnsi="黑体" w:eastAsia="黑体" w:cs="黑体"/>
          <w:color w:val="auto"/>
          <w:sz w:val="32"/>
          <w:szCs w:val="32"/>
          <w:u w:val="none"/>
          <w:lang w:val="en-US" w:eastAsia="zh-CN"/>
        </w:rPr>
        <w:t>4</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r>
        <w:rPr>
          <w:rFonts w:hint="eastAsia" w:ascii="方正小标宋简体" w:hAnsi="宋体" w:eastAsia="方正小标宋简体" w:cs="Times New Roman"/>
          <w:color w:val="auto"/>
          <w:kern w:val="0"/>
          <w:sz w:val="40"/>
          <w:szCs w:val="44"/>
          <w:u w:val="none"/>
          <w:lang w:val="zh-CN" w:eastAsia="zh-CN"/>
        </w:rPr>
        <w:t>机保丧葬费、抚恤金项目</w:t>
      </w:r>
      <w:r>
        <w:rPr>
          <w:rFonts w:hint="eastAsia" w:ascii="方正小标宋简体" w:hAnsi="宋体" w:eastAsia="方正小标宋简体" w:cs="Times New Roman"/>
          <w:color w:val="auto"/>
          <w:kern w:val="0"/>
          <w:sz w:val="40"/>
          <w:szCs w:val="44"/>
          <w:u w:val="none"/>
          <w:lang w:eastAsia="zh-CN"/>
        </w:rPr>
        <w:t>2020年</w:t>
      </w:r>
      <w:r>
        <w:rPr>
          <w:rFonts w:hint="eastAsia" w:ascii="方正小标宋简体" w:hAnsi="宋体" w:eastAsia="方正小标宋简体" w:cs="Times New Roman"/>
          <w:color w:val="auto"/>
          <w:kern w:val="0"/>
          <w:sz w:val="40"/>
          <w:szCs w:val="44"/>
          <w:u w:val="none"/>
          <w:lang w:val="zh-CN" w:eastAsia="zh-CN"/>
        </w:rPr>
        <w:t>绩效评价报告</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bookmarkStart w:id="120" w:name="_Toc23389_WPSOffice_Level2"/>
      <w:r>
        <w:rPr>
          <w:rFonts w:hint="eastAsia" w:ascii="仿宋" w:hAnsi="仿宋" w:eastAsia="仿宋" w:cs="仿宋"/>
          <w:sz w:val="32"/>
          <w:szCs w:val="32"/>
        </w:rPr>
        <w:t>一、</w:t>
      </w:r>
      <w:r>
        <w:rPr>
          <w:rFonts w:hint="eastAsia" w:ascii="仿宋" w:hAnsi="仿宋" w:eastAsia="仿宋" w:cs="仿宋"/>
          <w:sz w:val="32"/>
          <w:szCs w:val="32"/>
          <w:lang w:val="zh-CN"/>
        </w:rPr>
        <w:t>项目概况</w:t>
      </w:r>
      <w:bookmarkEnd w:id="120"/>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（一）项目基本情况。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kern w:val="0"/>
          <w:sz w:val="32"/>
          <w:szCs w:val="32"/>
          <w:lang w:eastAsia="zh-CN"/>
        </w:rPr>
      </w:pPr>
      <w:r>
        <w:rPr>
          <w:rFonts w:hint="eastAsia" w:ascii="仿宋" w:hAnsi="仿宋" w:eastAsia="仿宋" w:cs="仿宋"/>
          <w:sz w:val="32"/>
          <w:szCs w:val="32"/>
          <w:lang w:val="zh-CN"/>
        </w:rPr>
        <w:t>1．主管部门职能：</w:t>
      </w:r>
      <w:r>
        <w:rPr>
          <w:rFonts w:hint="eastAsia" w:ascii="仿宋" w:hAnsi="仿宋" w:eastAsia="仿宋" w:cs="仿宋"/>
          <w:kern w:val="0"/>
          <w:sz w:val="32"/>
          <w:szCs w:val="32"/>
        </w:rPr>
        <w:t>井研县社会保险事务中心提供保险服务，向企业职工和个体工商户提供养老、工伤、失业</w:t>
      </w:r>
      <w:r>
        <w:rPr>
          <w:rFonts w:hint="eastAsia" w:ascii="仿宋" w:hAnsi="仿宋" w:eastAsia="仿宋" w:cs="仿宋"/>
          <w:kern w:val="0"/>
          <w:sz w:val="32"/>
          <w:szCs w:val="32"/>
          <w:lang w:eastAsia="zh-CN"/>
        </w:rPr>
        <w:t>、</w:t>
      </w:r>
      <w:r>
        <w:rPr>
          <w:rFonts w:hint="eastAsia" w:ascii="仿宋" w:hAnsi="仿宋" w:eastAsia="仿宋" w:cs="仿宋"/>
          <w:sz w:val="32"/>
          <w:szCs w:val="32"/>
        </w:rPr>
        <w:t>城乡居民养老保险费</w:t>
      </w:r>
      <w:r>
        <w:rPr>
          <w:rFonts w:hint="eastAsia" w:ascii="仿宋" w:hAnsi="仿宋" w:eastAsia="仿宋" w:cs="仿宋"/>
          <w:kern w:val="0"/>
          <w:sz w:val="32"/>
          <w:szCs w:val="32"/>
        </w:rPr>
        <w:t>等保险</w:t>
      </w:r>
      <w:r>
        <w:rPr>
          <w:rFonts w:hint="eastAsia" w:ascii="仿宋" w:hAnsi="仿宋" w:eastAsia="仿宋" w:cs="仿宋"/>
          <w:kern w:val="0"/>
          <w:sz w:val="32"/>
          <w:szCs w:val="32"/>
          <w:lang w:eastAsia="zh-CN"/>
        </w:rPr>
        <w:t>征收、发放。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2．资金申报的依据。根据县组织部及人社局核算审批为</w:t>
      </w:r>
      <w:r>
        <w:rPr>
          <w:rFonts w:hint="eastAsia" w:ascii="仿宋" w:hAnsi="仿宋" w:eastAsia="仿宋" w:cs="仿宋"/>
          <w:sz w:val="32"/>
          <w:szCs w:val="32"/>
        </w:rPr>
        <w:t>机保丧葬费、抚恤金</w:t>
      </w:r>
      <w:r>
        <w:rPr>
          <w:rFonts w:hint="eastAsia" w:ascii="仿宋" w:hAnsi="仿宋" w:eastAsia="仿宋" w:cs="仿宋"/>
          <w:sz w:val="32"/>
          <w:szCs w:val="32"/>
          <w:lang w:eastAsia="zh-CN"/>
        </w:rPr>
        <w:t>代发资金</w:t>
      </w:r>
      <w:r>
        <w:rPr>
          <w:rFonts w:hint="eastAsia" w:ascii="仿宋" w:hAnsi="仿宋" w:eastAsia="仿宋" w:cs="仿宋"/>
          <w:sz w:val="32"/>
          <w:szCs w:val="32"/>
          <w:lang w:val="zh-CN"/>
        </w:rPr>
        <w:t>，并申报资金。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3．资金管理办法制定情况，资金支持具体项目的条件、范围与支持方式概况。按照财务管理规定，制定了相关财务内控制度，项目资金的预算编制依托单位年度预算。</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4．资金分配的原则及考虑因素。根据县组织部及人社局提供人员明细代缴。</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（二）项目绩效目标。</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1．项目主要内容。</w:t>
      </w:r>
      <w:r>
        <w:rPr>
          <w:rFonts w:hint="eastAsia" w:ascii="仿宋" w:hAnsi="仿宋" w:eastAsia="仿宋" w:cs="仿宋"/>
          <w:sz w:val="32"/>
          <w:szCs w:val="32"/>
          <w:lang w:val="en-US" w:eastAsia="zh-CN"/>
        </w:rPr>
        <w:t>2020年，完成全县</w:t>
      </w:r>
      <w:r>
        <w:rPr>
          <w:rFonts w:hint="eastAsia" w:ascii="仿宋" w:hAnsi="仿宋" w:eastAsia="仿宋" w:cs="仿宋"/>
          <w:sz w:val="32"/>
          <w:szCs w:val="32"/>
          <w:lang w:val="zh-CN"/>
        </w:rPr>
        <w:t>为</w:t>
      </w:r>
      <w:r>
        <w:rPr>
          <w:rFonts w:hint="eastAsia" w:ascii="仿宋" w:hAnsi="仿宋" w:eastAsia="仿宋" w:cs="仿宋"/>
          <w:sz w:val="32"/>
          <w:szCs w:val="32"/>
        </w:rPr>
        <w:t>机保丧葬费、抚恤金</w:t>
      </w:r>
      <w:r>
        <w:rPr>
          <w:rFonts w:hint="eastAsia" w:ascii="仿宋" w:hAnsi="仿宋" w:eastAsia="仿宋" w:cs="仿宋"/>
          <w:sz w:val="32"/>
          <w:szCs w:val="32"/>
          <w:lang w:eastAsia="zh-CN"/>
        </w:rPr>
        <w:t>代发工作</w:t>
      </w:r>
      <w:r>
        <w:rPr>
          <w:rFonts w:hint="eastAsia" w:ascii="仿宋" w:hAnsi="仿宋" w:eastAsia="仿宋" w:cs="仿宋"/>
          <w:sz w:val="32"/>
          <w:szCs w:val="32"/>
          <w:lang w:val="en-US" w:eastAsia="zh-CN"/>
        </w:rPr>
        <w:t>。</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2．项目应实现的具体绩效目标。</w:t>
      </w:r>
      <w:r>
        <w:rPr>
          <w:rFonts w:hint="eastAsia" w:ascii="仿宋" w:hAnsi="仿宋" w:eastAsia="仿宋" w:cs="仿宋"/>
          <w:sz w:val="32"/>
          <w:szCs w:val="32"/>
          <w:lang w:val="en-US" w:eastAsia="zh-CN"/>
        </w:rPr>
        <w:t>2020年，实现</w:t>
      </w:r>
      <w:r>
        <w:rPr>
          <w:rFonts w:hint="eastAsia" w:ascii="仿宋" w:hAnsi="仿宋" w:eastAsia="仿宋" w:cs="仿宋"/>
          <w:sz w:val="32"/>
          <w:szCs w:val="32"/>
          <w:lang w:val="zh-CN"/>
        </w:rPr>
        <w:t>为</w:t>
      </w:r>
      <w:r>
        <w:rPr>
          <w:rFonts w:hint="eastAsia" w:ascii="仿宋" w:hAnsi="仿宋" w:eastAsia="仿宋" w:cs="仿宋"/>
          <w:sz w:val="32"/>
          <w:szCs w:val="32"/>
        </w:rPr>
        <w:t>机保丧葬费、抚恤金</w:t>
      </w:r>
      <w:r>
        <w:rPr>
          <w:rFonts w:hint="eastAsia" w:ascii="仿宋" w:hAnsi="仿宋" w:eastAsia="仿宋" w:cs="仿宋"/>
          <w:sz w:val="32"/>
          <w:szCs w:val="32"/>
          <w:lang w:eastAsia="zh-CN"/>
        </w:rPr>
        <w:t>代发工作，</w:t>
      </w:r>
      <w:r>
        <w:rPr>
          <w:rFonts w:hint="eastAsia" w:ascii="仿宋" w:hAnsi="仿宋" w:eastAsia="仿宋" w:cs="仿宋"/>
          <w:sz w:val="32"/>
          <w:szCs w:val="32"/>
          <w:lang w:val="en-US" w:eastAsia="zh-CN"/>
        </w:rPr>
        <w:t>完成100%。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3．申报内容与实际相符，申报目标合理可行。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（三）项目自评步骤及方法。</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项目绩效自评采用中期考察与年终绩效考核报告相结合的方式进行。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rPr>
      </w:pPr>
      <w:bookmarkStart w:id="121" w:name="_Toc26353_WPSOffice_Level2"/>
      <w:r>
        <w:rPr>
          <w:rFonts w:hint="eastAsia" w:ascii="仿宋" w:hAnsi="仿宋" w:eastAsia="仿宋" w:cs="仿宋"/>
          <w:sz w:val="32"/>
          <w:szCs w:val="32"/>
        </w:rPr>
        <w:t>二、项目资金申报及使用情况</w:t>
      </w:r>
      <w:bookmarkEnd w:id="121"/>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sz w:val="32"/>
          <w:szCs w:val="32"/>
          <w:lang w:val="zh-CN"/>
        </w:rPr>
      </w:pPr>
      <w:r>
        <w:rPr>
          <w:rFonts w:hint="eastAsia" w:ascii="仿宋" w:hAnsi="仿宋" w:eastAsia="仿宋" w:cs="仿宋"/>
          <w:b w:val="0"/>
          <w:bCs/>
          <w:sz w:val="32"/>
          <w:szCs w:val="32"/>
          <w:lang w:val="zh-CN"/>
        </w:rPr>
        <w:t>（一）项目资金申报及批复情况。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该项目经年初预算，报政府批准。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（二）资金计划、到位及使用情况。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1．资金计划。该项目资金为县财政资金。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zh-CN"/>
        </w:rPr>
        <w:t>2．资金到位。截至</w:t>
      </w:r>
      <w:r>
        <w:rPr>
          <w:rFonts w:hint="eastAsia" w:ascii="仿宋" w:hAnsi="仿宋" w:eastAsia="仿宋" w:cs="仿宋"/>
          <w:color w:val="auto"/>
          <w:sz w:val="32"/>
          <w:szCs w:val="32"/>
          <w:lang w:val="en-US" w:eastAsia="zh-CN"/>
        </w:rPr>
        <w:t>2020年底，该项目资金均及时下达。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3．资金使用。截至</w:t>
      </w:r>
      <w:r>
        <w:rPr>
          <w:rFonts w:hint="eastAsia" w:ascii="仿宋" w:hAnsi="仿宋" w:eastAsia="仿宋" w:cs="仿宋"/>
          <w:color w:val="auto"/>
          <w:sz w:val="32"/>
          <w:szCs w:val="32"/>
          <w:lang w:val="en-US" w:eastAsia="zh-CN"/>
        </w:rPr>
        <w:t>2020年底，该项目资金均及时支付，</w:t>
      </w:r>
      <w:r>
        <w:rPr>
          <w:rFonts w:hint="eastAsia" w:ascii="仿宋" w:hAnsi="仿宋" w:eastAsia="仿宋" w:cs="仿宋"/>
          <w:color w:val="auto"/>
          <w:sz w:val="32"/>
          <w:szCs w:val="32"/>
          <w:lang w:val="zh-CN"/>
        </w:rPr>
        <w:t>资金支付范围、支付标准、支付进度、支付依据等合规合法、与预算相符，自评中未发现的问题。</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（三）项目财务管理情况。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该项目实施单位财务管理制度健全，严格执行财务管理制度，账务处理及时，会计核算规范。</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rPr>
      </w:pPr>
      <w:bookmarkStart w:id="122" w:name="_Toc24588_WPSOffice_Level2"/>
      <w:r>
        <w:rPr>
          <w:rFonts w:hint="eastAsia" w:ascii="仿宋" w:hAnsi="仿宋" w:eastAsia="仿宋" w:cs="仿宋"/>
          <w:sz w:val="32"/>
          <w:szCs w:val="32"/>
        </w:rPr>
        <w:t>三、项目实施及管理情况</w:t>
      </w:r>
      <w:bookmarkEnd w:id="122"/>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color w:val="auto"/>
          <w:sz w:val="32"/>
          <w:szCs w:val="32"/>
          <w:lang w:val="zh-CN" w:eastAsia="zh-CN"/>
        </w:rPr>
      </w:pPr>
      <w:r>
        <w:rPr>
          <w:rFonts w:hint="eastAsia" w:ascii="仿宋" w:hAnsi="仿宋" w:eastAsia="仿宋" w:cs="仿宋"/>
          <w:b w:val="0"/>
          <w:bCs/>
          <w:color w:val="auto"/>
          <w:sz w:val="32"/>
          <w:szCs w:val="32"/>
          <w:lang w:val="zh-CN"/>
        </w:rPr>
        <w:t>（一）项目组织架构及实施流程。</w:t>
      </w:r>
      <w:r>
        <w:rPr>
          <w:rFonts w:hint="eastAsia" w:ascii="仿宋" w:hAnsi="仿宋" w:eastAsia="仿宋" w:cs="仿宋"/>
          <w:sz w:val="32"/>
          <w:szCs w:val="32"/>
          <w:lang w:val="zh-CN"/>
        </w:rPr>
        <w:t>为</w:t>
      </w:r>
      <w:r>
        <w:rPr>
          <w:rFonts w:hint="eastAsia" w:ascii="仿宋" w:hAnsi="仿宋" w:eastAsia="仿宋" w:cs="仿宋"/>
          <w:sz w:val="32"/>
          <w:szCs w:val="32"/>
        </w:rPr>
        <w:t>机保丧葬费、抚恤金</w:t>
      </w:r>
      <w:r>
        <w:rPr>
          <w:rFonts w:hint="eastAsia" w:ascii="仿宋" w:hAnsi="仿宋" w:eastAsia="仿宋" w:cs="仿宋"/>
          <w:sz w:val="32"/>
          <w:szCs w:val="32"/>
          <w:lang w:eastAsia="zh-CN"/>
        </w:rPr>
        <w:t>代发</w:t>
      </w:r>
      <w:r>
        <w:rPr>
          <w:rFonts w:hint="eastAsia" w:ascii="仿宋" w:hAnsi="仿宋" w:eastAsia="仿宋" w:cs="仿宋"/>
          <w:sz w:val="32"/>
          <w:szCs w:val="32"/>
          <w:lang w:val="en-US" w:eastAsia="zh-CN"/>
        </w:rPr>
        <w:t>工作</w:t>
      </w:r>
      <w:r>
        <w:rPr>
          <w:rFonts w:hint="eastAsia" w:ascii="仿宋" w:hAnsi="仿宋" w:eastAsia="仿宋" w:cs="仿宋"/>
          <w:color w:val="auto"/>
          <w:sz w:val="32"/>
          <w:szCs w:val="32"/>
          <w:lang w:eastAsia="zh-CN"/>
        </w:rPr>
        <w:t>项目，</w:t>
      </w:r>
      <w:r>
        <w:rPr>
          <w:rFonts w:hint="eastAsia" w:ascii="仿宋" w:hAnsi="仿宋" w:eastAsia="仿宋" w:cs="仿宋"/>
          <w:color w:val="auto"/>
          <w:sz w:val="32"/>
          <w:szCs w:val="32"/>
        </w:rPr>
        <w:t>成立</w:t>
      </w:r>
      <w:r>
        <w:rPr>
          <w:rFonts w:hint="eastAsia" w:ascii="仿宋" w:hAnsi="仿宋" w:eastAsia="仿宋" w:cs="仿宋"/>
          <w:color w:val="auto"/>
          <w:sz w:val="32"/>
          <w:szCs w:val="32"/>
          <w:lang w:eastAsia="zh-CN"/>
        </w:rPr>
        <w:t>了以中心主任为组长的</w:t>
      </w:r>
      <w:r>
        <w:rPr>
          <w:rFonts w:hint="eastAsia" w:ascii="仿宋" w:hAnsi="仿宋" w:eastAsia="仿宋" w:cs="仿宋"/>
          <w:color w:val="auto"/>
          <w:sz w:val="32"/>
          <w:szCs w:val="32"/>
        </w:rPr>
        <w:t>工作领导小组</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由</w:t>
      </w:r>
      <w:r>
        <w:rPr>
          <w:rFonts w:hint="eastAsia" w:ascii="仿宋" w:hAnsi="仿宋" w:eastAsia="仿宋" w:cs="仿宋"/>
          <w:color w:val="auto"/>
          <w:sz w:val="32"/>
          <w:szCs w:val="32"/>
          <w:lang w:eastAsia="zh-CN"/>
        </w:rPr>
        <w:t>吴志刚</w:t>
      </w:r>
      <w:r>
        <w:rPr>
          <w:rFonts w:hint="eastAsia" w:ascii="仿宋" w:hAnsi="仿宋" w:eastAsia="仿宋" w:cs="仿宋"/>
          <w:color w:val="auto"/>
          <w:sz w:val="32"/>
          <w:szCs w:val="32"/>
        </w:rPr>
        <w:t>同志同志具体负责</w:t>
      </w:r>
      <w:r>
        <w:rPr>
          <w:rFonts w:hint="eastAsia" w:ascii="仿宋" w:hAnsi="仿宋" w:eastAsia="仿宋" w:cs="仿宋"/>
          <w:color w:val="auto"/>
          <w:sz w:val="32"/>
          <w:szCs w:val="32"/>
          <w:lang w:eastAsia="zh-CN"/>
        </w:rPr>
        <w:t>代缴</w:t>
      </w:r>
      <w:r>
        <w:rPr>
          <w:rFonts w:hint="eastAsia" w:ascii="仿宋" w:hAnsi="仿宋" w:eastAsia="仿宋" w:cs="仿宋"/>
          <w:color w:val="auto"/>
          <w:sz w:val="32"/>
          <w:szCs w:val="32"/>
        </w:rPr>
        <w:t>的日常工作。</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color w:val="auto"/>
          <w:sz w:val="32"/>
          <w:szCs w:val="32"/>
          <w:lang w:val="zh-CN"/>
        </w:rPr>
      </w:pPr>
      <w:r>
        <w:rPr>
          <w:rFonts w:hint="eastAsia" w:ascii="仿宋" w:hAnsi="仿宋" w:eastAsia="仿宋" w:cs="仿宋"/>
          <w:b w:val="0"/>
          <w:bCs/>
          <w:color w:val="auto"/>
          <w:sz w:val="32"/>
          <w:szCs w:val="32"/>
          <w:lang w:val="zh-CN"/>
        </w:rPr>
        <w:t>（二）项目管理情况。依</w:t>
      </w:r>
      <w:r>
        <w:rPr>
          <w:rFonts w:hint="eastAsia" w:ascii="仿宋" w:hAnsi="仿宋" w:eastAsia="仿宋" w:cs="仿宋"/>
          <w:color w:val="auto"/>
          <w:sz w:val="32"/>
          <w:szCs w:val="32"/>
          <w:lang w:val="zh-CN"/>
        </w:rPr>
        <w:t>据相关法律法规及项目管理制度对该项目进行管理。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b w:val="0"/>
          <w:bCs/>
          <w:sz w:val="32"/>
          <w:szCs w:val="32"/>
          <w:lang w:val="zh-CN"/>
        </w:rPr>
        <w:t>（三）项目监管情况。</w:t>
      </w:r>
      <w:r>
        <w:rPr>
          <w:rFonts w:hint="eastAsia" w:ascii="仿宋" w:hAnsi="仿宋" w:eastAsia="仿宋" w:cs="仿宋"/>
          <w:sz w:val="32"/>
          <w:szCs w:val="32"/>
          <w:lang w:val="zh-CN"/>
        </w:rPr>
        <w:t>该项目采用日常检查、财务监督的方式执行项目监管，效果较好。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23" w:name="_Toc18342_WPSOffice_Level2"/>
      <w:r>
        <w:rPr>
          <w:rFonts w:hint="eastAsia" w:ascii="仿宋" w:hAnsi="仿宋" w:eastAsia="仿宋" w:cs="仿宋"/>
          <w:sz w:val="32"/>
          <w:szCs w:val="32"/>
        </w:rPr>
        <w:t>四、项目绩效情况</w:t>
      </w:r>
      <w:bookmarkEnd w:id="123"/>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（一）项目完成情况。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该项目于</w:t>
      </w:r>
      <w:r>
        <w:rPr>
          <w:rFonts w:hint="eastAsia" w:ascii="仿宋" w:hAnsi="仿宋" w:eastAsia="仿宋" w:cs="仿宋"/>
          <w:sz w:val="32"/>
          <w:szCs w:val="32"/>
          <w:lang w:val="en-US" w:eastAsia="zh-CN"/>
        </w:rPr>
        <w:t>2020年12月通过验收，共计代发506.48万元，工作完成达到100%。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sz w:val="32"/>
          <w:szCs w:val="32"/>
          <w:lang w:val="zh-CN"/>
        </w:rPr>
      </w:pPr>
      <w:r>
        <w:rPr>
          <w:rFonts w:hint="eastAsia" w:ascii="仿宋" w:hAnsi="仿宋" w:eastAsia="仿宋" w:cs="仿宋"/>
          <w:b w:val="0"/>
          <w:bCs/>
          <w:sz w:val="32"/>
          <w:szCs w:val="32"/>
          <w:lang w:val="zh-CN"/>
        </w:rPr>
        <w:t>（二）项目效益情况。</w:t>
      </w:r>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color w:val="auto"/>
          <w:sz w:val="32"/>
          <w:szCs w:val="32"/>
        </w:rPr>
        <w:t>通过项目实施，</w:t>
      </w:r>
      <w:r>
        <w:rPr>
          <w:rFonts w:hint="eastAsia" w:ascii="仿宋" w:hAnsi="仿宋" w:eastAsia="仿宋" w:cs="仿宋"/>
          <w:color w:val="auto"/>
          <w:sz w:val="32"/>
          <w:szCs w:val="32"/>
          <w:lang w:eastAsia="zh-CN"/>
        </w:rPr>
        <w:t>确保</w:t>
      </w:r>
      <w:r>
        <w:rPr>
          <w:rFonts w:hint="eastAsia" w:ascii="仿宋" w:hAnsi="仿宋" w:eastAsia="仿宋" w:cs="仿宋"/>
          <w:sz w:val="32"/>
          <w:szCs w:val="32"/>
          <w:lang w:val="zh-CN"/>
        </w:rPr>
        <w:t>为</w:t>
      </w:r>
      <w:r>
        <w:rPr>
          <w:rFonts w:hint="eastAsia" w:ascii="仿宋" w:hAnsi="仿宋" w:eastAsia="仿宋" w:cs="仿宋"/>
          <w:sz w:val="32"/>
          <w:szCs w:val="32"/>
        </w:rPr>
        <w:t>机保丧葬费、抚恤金</w:t>
      </w:r>
      <w:r>
        <w:rPr>
          <w:rFonts w:hint="eastAsia" w:ascii="仿宋" w:hAnsi="仿宋" w:eastAsia="仿宋" w:cs="仿宋"/>
          <w:sz w:val="32"/>
          <w:szCs w:val="32"/>
          <w:lang w:eastAsia="zh-CN"/>
        </w:rPr>
        <w:t>代发资金发放到帐</w:t>
      </w:r>
      <w:r>
        <w:rPr>
          <w:rFonts w:hint="eastAsia" w:ascii="仿宋" w:hAnsi="仿宋" w:eastAsia="仿宋" w:cs="仿宋"/>
          <w:color w:val="auto"/>
          <w:sz w:val="32"/>
          <w:szCs w:val="32"/>
          <w:lang w:eastAsia="zh-CN"/>
        </w:rPr>
        <w:t>。</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rPr>
      </w:pPr>
      <w:bookmarkStart w:id="124" w:name="_Toc25797_WPSOffice_Level2"/>
      <w:r>
        <w:rPr>
          <w:rFonts w:hint="eastAsia" w:ascii="仿宋" w:hAnsi="仿宋" w:eastAsia="仿宋" w:cs="仿宋"/>
          <w:sz w:val="32"/>
          <w:szCs w:val="32"/>
        </w:rPr>
        <w:t>五、评价结论及建议</w:t>
      </w:r>
      <w:bookmarkEnd w:id="124"/>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sz w:val="32"/>
          <w:szCs w:val="32"/>
          <w:lang w:val="zh-CN"/>
        </w:rPr>
      </w:pPr>
      <w:r>
        <w:rPr>
          <w:rFonts w:hint="eastAsia" w:ascii="仿宋" w:hAnsi="仿宋" w:eastAsia="仿宋" w:cs="仿宋"/>
          <w:b w:val="0"/>
          <w:bCs/>
          <w:sz w:val="32"/>
          <w:szCs w:val="32"/>
          <w:lang w:val="zh-CN"/>
        </w:rPr>
        <w:t>（一）评价结论。</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bdr w:val="single" w:color="auto" w:sz="4" w:space="0"/>
          <w:lang w:val="zh-CN"/>
        </w:rPr>
      </w:pPr>
      <w:r>
        <w:rPr>
          <w:rFonts w:hint="eastAsia" w:ascii="仿宋" w:hAnsi="仿宋" w:eastAsia="仿宋" w:cs="仿宋"/>
          <w:sz w:val="32"/>
          <w:szCs w:val="32"/>
          <w:lang w:val="zh-CN"/>
        </w:rPr>
        <w:t>结合项目自身特点、评价重点及管理办法等要求，该项目支出绩效总体评价为：好。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（二）存在的问题。</w:t>
      </w:r>
    </w:p>
    <w:p>
      <w:pPr>
        <w:pageBreakBefore w:val="0"/>
        <w:kinsoku/>
        <w:wordWrap/>
        <w:overflowPunct/>
        <w:topLinePunct w:val="0"/>
        <w:autoSpaceDE/>
        <w:autoSpaceDN/>
        <w:bidi w:val="0"/>
        <w:adjustRightInd w:val="0"/>
        <w:snapToGrid w:val="0"/>
        <w:spacing w:line="600" w:lineRule="exact"/>
        <w:ind w:firstLine="960" w:firstLineChars="3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b w:val="0"/>
          <w:bCs/>
          <w:sz w:val="32"/>
          <w:szCs w:val="32"/>
          <w:lang w:val="zh-CN"/>
        </w:rPr>
      </w:pPr>
      <w:r>
        <w:rPr>
          <w:rFonts w:hint="eastAsia" w:ascii="仿宋" w:hAnsi="仿宋" w:eastAsia="仿宋" w:cs="仿宋"/>
          <w:b w:val="0"/>
          <w:bCs/>
          <w:sz w:val="32"/>
          <w:szCs w:val="32"/>
          <w:lang w:val="zh-CN"/>
        </w:rPr>
        <w:t>（三）相关建议。</w:t>
      </w:r>
    </w:p>
    <w:p>
      <w:pPr>
        <w:pageBreakBefore w:val="0"/>
        <w:kinsoku/>
        <w:wordWrap/>
        <w:overflowPunct/>
        <w:topLinePunct w:val="0"/>
        <w:autoSpaceDE/>
        <w:autoSpaceDN/>
        <w:bidi w:val="0"/>
        <w:adjustRightInd w:val="0"/>
        <w:snapToGrid w:val="0"/>
        <w:spacing w:line="600" w:lineRule="exact"/>
        <w:ind w:firstLine="960" w:firstLineChars="3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p>
    <w:p>
      <w:pPr>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zh-CN" w:eastAsia="zh-CN" w:bidi="ar-SA"/>
        </w:rPr>
        <w:br w:type="page"/>
      </w:r>
    </w:p>
    <w:p>
      <w:pPr>
        <w:pStyle w:val="2"/>
        <w:pageBreakBefore w:val="0"/>
        <w:kinsoku/>
        <w:wordWrap/>
        <w:overflowPunct/>
        <w:topLinePunct w:val="0"/>
        <w:autoSpaceDE/>
        <w:autoSpaceDN/>
        <w:bidi w:val="0"/>
        <w:spacing w:line="600" w:lineRule="exac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zh-CN" w:eastAsia="zh-CN" w:bidi="ar-SA"/>
        </w:rPr>
        <w:t>附件</w:t>
      </w:r>
      <w:r>
        <w:rPr>
          <w:rFonts w:hint="eastAsia" w:ascii="黑体" w:hAnsi="黑体" w:eastAsia="黑体" w:cs="黑体"/>
          <w:b w:val="0"/>
          <w:bCs w:val="0"/>
          <w:kern w:val="2"/>
          <w:sz w:val="32"/>
          <w:szCs w:val="32"/>
          <w:lang w:val="en-US" w:eastAsia="zh-CN" w:bidi="ar-SA"/>
        </w:rPr>
        <w:t>5</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r>
        <w:rPr>
          <w:rFonts w:hint="eastAsia" w:ascii="方正小标宋简体" w:hAnsi="宋体" w:eastAsia="方正小标宋简体" w:cs="Times New Roman"/>
          <w:color w:val="auto"/>
          <w:kern w:val="0"/>
          <w:sz w:val="40"/>
          <w:szCs w:val="44"/>
          <w:u w:val="none"/>
          <w:lang w:val="zh-CN" w:eastAsia="zh-CN"/>
        </w:rPr>
        <w:t>城乡居民基本养老保险县级配套资金项目</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r>
        <w:rPr>
          <w:rFonts w:hint="eastAsia" w:ascii="方正小标宋简体" w:hAnsi="宋体" w:eastAsia="方正小标宋简体" w:cs="Times New Roman"/>
          <w:color w:val="auto"/>
          <w:kern w:val="0"/>
          <w:sz w:val="40"/>
          <w:szCs w:val="44"/>
          <w:u w:val="none"/>
          <w:lang w:eastAsia="zh-CN"/>
        </w:rPr>
        <w:t>2020</w:t>
      </w:r>
      <w:r>
        <w:rPr>
          <w:rFonts w:hint="eastAsia" w:ascii="方正小标宋简体" w:hAnsi="宋体" w:eastAsia="方正小标宋简体" w:cs="Times New Roman"/>
          <w:color w:val="auto"/>
          <w:kern w:val="0"/>
          <w:sz w:val="40"/>
          <w:szCs w:val="44"/>
          <w:u w:val="none"/>
          <w:lang w:val="zh-CN" w:eastAsia="zh-CN"/>
        </w:rPr>
        <w:t>年绩效评价报告</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25" w:name="_Toc27535_WPSOffice_Level2"/>
      <w:r>
        <w:rPr>
          <w:rFonts w:hint="eastAsia" w:ascii="仿宋" w:hAnsi="仿宋" w:eastAsia="仿宋" w:cs="仿宋"/>
          <w:sz w:val="32"/>
          <w:szCs w:val="32"/>
        </w:rPr>
        <w:t>一、</w:t>
      </w:r>
      <w:r>
        <w:rPr>
          <w:rFonts w:hint="eastAsia" w:ascii="仿宋" w:hAnsi="仿宋" w:eastAsia="仿宋" w:cs="仿宋"/>
          <w:sz w:val="32"/>
          <w:szCs w:val="32"/>
          <w:lang w:val="zh-CN"/>
        </w:rPr>
        <w:t>项目概况</w:t>
      </w:r>
      <w:bookmarkEnd w:id="125"/>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（一）项目基本情况。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rPr>
        <w:t>1．主管部门职能：井研县社会保险事务中心提供保险服务，向企业职工和个体工商户提供养老、工伤、失业</w:t>
      </w:r>
      <w:r>
        <w:rPr>
          <w:rFonts w:hint="eastAsia" w:ascii="仿宋" w:hAnsi="仿宋" w:eastAsia="仿宋" w:cs="仿宋"/>
          <w:sz w:val="32"/>
          <w:szCs w:val="32"/>
          <w:lang w:val="zh-CN" w:eastAsia="zh-CN"/>
        </w:rPr>
        <w:t>、</w:t>
      </w:r>
      <w:r>
        <w:rPr>
          <w:rFonts w:hint="eastAsia" w:ascii="仿宋" w:hAnsi="仿宋" w:eastAsia="仿宋" w:cs="仿宋"/>
          <w:sz w:val="32"/>
          <w:szCs w:val="32"/>
          <w:lang w:val="zh-CN"/>
        </w:rPr>
        <w:t>城乡居民养老保险费等保险</w:t>
      </w:r>
      <w:r>
        <w:rPr>
          <w:rFonts w:hint="eastAsia" w:ascii="仿宋" w:hAnsi="仿宋" w:eastAsia="仿宋" w:cs="仿宋"/>
          <w:sz w:val="32"/>
          <w:szCs w:val="32"/>
          <w:lang w:val="zh-CN" w:eastAsia="zh-CN"/>
        </w:rPr>
        <w:t>征收、发放。</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2．资金申报的依据。根据省、市下达为城乡居民基本养老保险县级配套资金，并申报资金。</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3．资金管理办法制定情况，资金支持具体项目的条件、范围与支持方式概况。按照财务管理规定，制定了相关财务内控制度，项目资金的预算编制依托单位年度预算。</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4．资金分配的原则及考虑因素。根据县省、市下达，财务决算计算。</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（二）项目绩效目标。</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1．项目主要内容。</w:t>
      </w:r>
      <w:r>
        <w:rPr>
          <w:rFonts w:hint="eastAsia" w:ascii="仿宋" w:hAnsi="仿宋" w:eastAsia="仿宋" w:cs="仿宋"/>
          <w:sz w:val="32"/>
          <w:szCs w:val="32"/>
          <w:lang w:val="en-US" w:eastAsia="zh-CN"/>
        </w:rPr>
        <w:t>2020年，完成全县</w:t>
      </w:r>
      <w:r>
        <w:rPr>
          <w:rFonts w:hint="eastAsia" w:ascii="仿宋" w:hAnsi="仿宋" w:eastAsia="仿宋" w:cs="仿宋"/>
          <w:sz w:val="32"/>
          <w:szCs w:val="32"/>
          <w:lang w:val="zh-CN"/>
        </w:rPr>
        <w:t>城乡居民基本养老保险县级配套资金</w:t>
      </w:r>
      <w:r>
        <w:rPr>
          <w:rFonts w:hint="eastAsia" w:ascii="仿宋" w:hAnsi="仿宋" w:eastAsia="仿宋" w:cs="仿宋"/>
          <w:sz w:val="32"/>
          <w:szCs w:val="32"/>
          <w:lang w:val="en-US" w:eastAsia="zh-CN"/>
        </w:rPr>
        <w:t>。</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2．项目应实现的具体绩效目标。</w:t>
      </w:r>
      <w:r>
        <w:rPr>
          <w:rFonts w:hint="eastAsia" w:ascii="仿宋" w:hAnsi="仿宋" w:eastAsia="仿宋" w:cs="仿宋"/>
          <w:sz w:val="32"/>
          <w:szCs w:val="32"/>
          <w:lang w:val="en-US" w:eastAsia="zh-CN"/>
        </w:rPr>
        <w:t>2020年，实现</w:t>
      </w:r>
      <w:r>
        <w:rPr>
          <w:rFonts w:hint="eastAsia" w:ascii="仿宋" w:hAnsi="仿宋" w:eastAsia="仿宋" w:cs="仿宋"/>
          <w:sz w:val="32"/>
          <w:szCs w:val="32"/>
          <w:lang w:val="zh-CN"/>
        </w:rPr>
        <w:t>为城乡居民基本养老保险县级配套资金</w:t>
      </w:r>
      <w:r>
        <w:rPr>
          <w:rFonts w:hint="eastAsia" w:ascii="仿宋" w:hAnsi="仿宋" w:eastAsia="仿宋" w:cs="仿宋"/>
          <w:sz w:val="32"/>
          <w:szCs w:val="32"/>
          <w:lang w:val="zh-CN" w:eastAsia="zh-CN"/>
        </w:rPr>
        <w:t>工作，</w:t>
      </w:r>
      <w:r>
        <w:rPr>
          <w:rFonts w:hint="eastAsia" w:ascii="仿宋" w:hAnsi="仿宋" w:eastAsia="仿宋" w:cs="仿宋"/>
          <w:sz w:val="32"/>
          <w:szCs w:val="32"/>
          <w:lang w:val="en-US" w:eastAsia="zh-CN"/>
        </w:rPr>
        <w:t>完成100%。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3．申报内容与实际相符，申报目标合理可行。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（三）项目自评步骤及方法。</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项目绩效自评采用中期考察与年终绩效考核报告相结合的方式进行。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26" w:name="_Toc28397_WPSOffice_Level2"/>
      <w:r>
        <w:rPr>
          <w:rFonts w:hint="eastAsia" w:ascii="仿宋" w:hAnsi="仿宋" w:eastAsia="仿宋" w:cs="仿宋"/>
          <w:sz w:val="32"/>
          <w:szCs w:val="32"/>
          <w:lang w:val="zh-CN"/>
        </w:rPr>
        <w:t>二、项目资金申报及使用情况</w:t>
      </w:r>
      <w:bookmarkEnd w:id="126"/>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（一）项目资金申报及批复情况。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该项目经年初预算，报政府批准。</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（二）资金计划、到位及使用情况。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1．资金计划。该项目资金为县财政资金。</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2．资金到位。截至</w:t>
      </w:r>
      <w:r>
        <w:rPr>
          <w:rFonts w:hint="eastAsia" w:ascii="仿宋" w:hAnsi="仿宋" w:eastAsia="仿宋" w:cs="仿宋"/>
          <w:sz w:val="32"/>
          <w:szCs w:val="32"/>
          <w:lang w:val="en-US" w:eastAsia="zh-CN"/>
        </w:rPr>
        <w:t>2020年底，该项目资金均及时下达。</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3．资金使用。截至</w:t>
      </w:r>
      <w:r>
        <w:rPr>
          <w:rFonts w:hint="eastAsia" w:ascii="仿宋" w:hAnsi="仿宋" w:eastAsia="仿宋" w:cs="仿宋"/>
          <w:sz w:val="32"/>
          <w:szCs w:val="32"/>
          <w:lang w:val="en-US" w:eastAsia="zh-CN"/>
        </w:rPr>
        <w:t>2020年底，该项目资金均及时支付，</w:t>
      </w:r>
      <w:r>
        <w:rPr>
          <w:rFonts w:hint="eastAsia" w:ascii="仿宋" w:hAnsi="仿宋" w:eastAsia="仿宋" w:cs="仿宋"/>
          <w:sz w:val="32"/>
          <w:szCs w:val="32"/>
          <w:lang w:val="zh-CN"/>
        </w:rPr>
        <w:t>资金支付范围、支付标准、支付进度、支付依据等合规合法、与预算相符，自评中未发现的问题。</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（三）项目财务管理情况。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该项目实施单位财务管理制度健全，严格执行财务管理制度，账务处理及时，会计核算规范。</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27" w:name="_Toc18194_WPSOffice_Level2"/>
      <w:r>
        <w:rPr>
          <w:rFonts w:hint="eastAsia" w:ascii="仿宋" w:hAnsi="仿宋" w:eastAsia="仿宋" w:cs="仿宋"/>
          <w:sz w:val="32"/>
          <w:szCs w:val="32"/>
          <w:lang w:val="zh-CN"/>
        </w:rPr>
        <w:t>三、项目实施及管理情况</w:t>
      </w:r>
      <w:bookmarkEnd w:id="127"/>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rPr>
        <w:t>（一）项目组织架构及实施流程。为城乡居民基本养老保险县级配套资金</w:t>
      </w:r>
      <w:r>
        <w:rPr>
          <w:rFonts w:hint="eastAsia" w:ascii="仿宋" w:hAnsi="仿宋" w:eastAsia="仿宋" w:cs="仿宋"/>
          <w:sz w:val="32"/>
          <w:szCs w:val="32"/>
          <w:lang w:val="zh-CN" w:eastAsia="zh-CN"/>
        </w:rPr>
        <w:t>项目，</w:t>
      </w:r>
      <w:r>
        <w:rPr>
          <w:rFonts w:hint="eastAsia" w:ascii="仿宋" w:hAnsi="仿宋" w:eastAsia="仿宋" w:cs="仿宋"/>
          <w:sz w:val="32"/>
          <w:szCs w:val="32"/>
          <w:lang w:val="zh-CN"/>
        </w:rPr>
        <w:t>成立</w:t>
      </w:r>
      <w:r>
        <w:rPr>
          <w:rFonts w:hint="eastAsia" w:ascii="仿宋" w:hAnsi="仿宋" w:eastAsia="仿宋" w:cs="仿宋"/>
          <w:sz w:val="32"/>
          <w:szCs w:val="32"/>
          <w:lang w:val="zh-CN" w:eastAsia="zh-CN"/>
        </w:rPr>
        <w:t>了以中心主任为组长的</w:t>
      </w:r>
      <w:r>
        <w:rPr>
          <w:rFonts w:hint="eastAsia" w:ascii="仿宋" w:hAnsi="仿宋" w:eastAsia="仿宋" w:cs="仿宋"/>
          <w:sz w:val="32"/>
          <w:szCs w:val="32"/>
          <w:lang w:val="zh-CN"/>
        </w:rPr>
        <w:t>工作领导小组</w:t>
      </w:r>
      <w:r>
        <w:rPr>
          <w:rFonts w:hint="eastAsia" w:ascii="仿宋" w:hAnsi="仿宋" w:eastAsia="仿宋" w:cs="仿宋"/>
          <w:sz w:val="32"/>
          <w:szCs w:val="32"/>
          <w:lang w:val="zh-CN" w:eastAsia="zh-CN"/>
        </w:rPr>
        <w:t>，</w:t>
      </w:r>
      <w:r>
        <w:rPr>
          <w:rFonts w:hint="eastAsia" w:ascii="仿宋" w:hAnsi="仿宋" w:eastAsia="仿宋" w:cs="仿宋"/>
          <w:sz w:val="32"/>
          <w:szCs w:val="32"/>
          <w:lang w:val="zh-CN"/>
        </w:rPr>
        <w:t>由</w:t>
      </w:r>
      <w:r>
        <w:rPr>
          <w:rFonts w:hint="eastAsia" w:ascii="仿宋" w:hAnsi="仿宋" w:eastAsia="仿宋" w:cs="仿宋"/>
          <w:sz w:val="32"/>
          <w:szCs w:val="32"/>
          <w:lang w:val="zh-CN" w:eastAsia="zh-CN"/>
        </w:rPr>
        <w:t>谭井泉</w:t>
      </w:r>
      <w:r>
        <w:rPr>
          <w:rFonts w:hint="eastAsia" w:ascii="仿宋" w:hAnsi="仿宋" w:eastAsia="仿宋" w:cs="仿宋"/>
          <w:sz w:val="32"/>
          <w:szCs w:val="32"/>
          <w:lang w:val="zh-CN"/>
        </w:rPr>
        <w:t>同志同志具体负责</w:t>
      </w:r>
      <w:r>
        <w:rPr>
          <w:rFonts w:hint="eastAsia" w:ascii="仿宋" w:hAnsi="仿宋" w:eastAsia="仿宋" w:cs="仿宋"/>
          <w:sz w:val="32"/>
          <w:szCs w:val="32"/>
          <w:lang w:val="zh-CN" w:eastAsia="zh-CN"/>
        </w:rPr>
        <w:t>代缴</w:t>
      </w:r>
      <w:r>
        <w:rPr>
          <w:rFonts w:hint="eastAsia" w:ascii="仿宋" w:hAnsi="仿宋" w:eastAsia="仿宋" w:cs="仿宋"/>
          <w:sz w:val="32"/>
          <w:szCs w:val="32"/>
          <w:lang w:val="zh-CN"/>
        </w:rPr>
        <w:t>的日常工作。</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（二）项目管理情况。依据相关法律法规及项目管理制度对该项目进行管理。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（三）项目监管情况。该项目采用日常检查、财务监督的方式执行项目监管，效果较好。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28" w:name="_Toc23450_WPSOffice_Level2"/>
      <w:r>
        <w:rPr>
          <w:rFonts w:hint="eastAsia" w:ascii="仿宋" w:hAnsi="仿宋" w:eastAsia="仿宋" w:cs="仿宋"/>
          <w:sz w:val="32"/>
          <w:szCs w:val="32"/>
          <w:lang w:val="zh-CN"/>
        </w:rPr>
        <w:t>四、项目绩效情况</w:t>
      </w:r>
      <w:bookmarkEnd w:id="128"/>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（一）项目完成情况。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该项目于</w:t>
      </w:r>
      <w:r>
        <w:rPr>
          <w:rFonts w:hint="eastAsia" w:ascii="仿宋" w:hAnsi="仿宋" w:eastAsia="仿宋" w:cs="仿宋"/>
          <w:sz w:val="32"/>
          <w:szCs w:val="32"/>
          <w:lang w:val="en-US" w:eastAsia="zh-CN"/>
        </w:rPr>
        <w:t>2020年12月通过验收，共计补贴到帐506.48万元，工作完成达到100%。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（二）项目效益情况。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通过项目实施，</w:t>
      </w:r>
      <w:r>
        <w:rPr>
          <w:rFonts w:hint="eastAsia" w:ascii="仿宋" w:hAnsi="仿宋" w:eastAsia="仿宋" w:cs="仿宋"/>
          <w:sz w:val="32"/>
          <w:szCs w:val="32"/>
          <w:lang w:val="zh-CN" w:eastAsia="zh-CN"/>
        </w:rPr>
        <w:t>确保</w:t>
      </w:r>
      <w:r>
        <w:rPr>
          <w:rFonts w:hint="eastAsia" w:ascii="仿宋" w:hAnsi="仿宋" w:eastAsia="仿宋" w:cs="仿宋"/>
          <w:sz w:val="32"/>
          <w:szCs w:val="32"/>
          <w:lang w:val="zh-CN"/>
        </w:rPr>
        <w:t>城乡居民基本养老保险县级配套资金</w:t>
      </w:r>
      <w:r>
        <w:rPr>
          <w:rFonts w:hint="eastAsia" w:ascii="仿宋" w:hAnsi="仿宋" w:eastAsia="仿宋" w:cs="仿宋"/>
          <w:sz w:val="32"/>
          <w:szCs w:val="32"/>
          <w:lang w:val="zh-CN" w:eastAsia="zh-CN"/>
        </w:rPr>
        <w:t>到帐。</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29" w:name="_Toc15369_WPSOffice_Level2"/>
      <w:r>
        <w:rPr>
          <w:rFonts w:hint="eastAsia" w:ascii="仿宋" w:hAnsi="仿宋" w:eastAsia="仿宋" w:cs="仿宋"/>
          <w:sz w:val="32"/>
          <w:szCs w:val="32"/>
          <w:lang w:val="zh-CN"/>
        </w:rPr>
        <w:t>五、评价结论及建议</w:t>
      </w:r>
      <w:bookmarkEnd w:id="129"/>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（一）评价结论。</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结合项目自身特点、评价重点及管理办法等要求，该项目支出绩效总体评价为：好。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（二）存在的问题。</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（三）相关建议。</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p>
    <w:p>
      <w:pPr>
        <w:rPr>
          <w:rFonts w:hint="eastAsia" w:ascii="仿宋" w:hAnsi="仿宋" w:eastAsia="仿宋" w:cs="仿宋"/>
          <w:b w:val="0"/>
          <w:bCs w:val="0"/>
          <w:kern w:val="2"/>
          <w:sz w:val="32"/>
          <w:szCs w:val="32"/>
          <w:lang w:val="zh-CN" w:eastAsia="zh-CN" w:bidi="ar-SA"/>
        </w:rPr>
      </w:pPr>
      <w:r>
        <w:rPr>
          <w:rFonts w:hint="eastAsia" w:ascii="仿宋" w:hAnsi="仿宋" w:eastAsia="仿宋" w:cs="仿宋"/>
          <w:b w:val="0"/>
          <w:bCs w:val="0"/>
          <w:kern w:val="2"/>
          <w:sz w:val="32"/>
          <w:szCs w:val="32"/>
          <w:lang w:val="zh-CN" w:eastAsia="zh-CN" w:bidi="ar-SA"/>
        </w:rPr>
        <w:br w:type="page"/>
      </w:r>
    </w:p>
    <w:p>
      <w:pPr>
        <w:pStyle w:val="2"/>
        <w:pageBreakBefore w:val="0"/>
        <w:kinsoku/>
        <w:wordWrap/>
        <w:overflowPunct/>
        <w:topLinePunct w:val="0"/>
        <w:autoSpaceDE/>
        <w:autoSpaceDN/>
        <w:bidi w:val="0"/>
        <w:spacing w:line="600" w:lineRule="exact"/>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zh-CN" w:eastAsia="zh-CN" w:bidi="ar-SA"/>
        </w:rPr>
        <w:t>附件</w:t>
      </w:r>
      <w:r>
        <w:rPr>
          <w:rFonts w:hint="eastAsia" w:ascii="黑体" w:hAnsi="黑体" w:eastAsia="黑体" w:cs="黑体"/>
          <w:b w:val="0"/>
          <w:bCs w:val="0"/>
          <w:kern w:val="2"/>
          <w:sz w:val="32"/>
          <w:szCs w:val="32"/>
          <w:lang w:val="en-US" w:eastAsia="zh-CN" w:bidi="ar-SA"/>
        </w:rPr>
        <w:t>6</w:t>
      </w:r>
    </w:p>
    <w:p>
      <w:pPr>
        <w:spacing w:line="600" w:lineRule="exact"/>
        <w:jc w:val="center"/>
        <w:rPr>
          <w:rFonts w:hint="eastAsia" w:ascii="方正小标宋简体" w:hAnsi="宋体" w:eastAsia="方正小标宋简体" w:cs="Times New Roman"/>
          <w:color w:val="auto"/>
          <w:kern w:val="0"/>
          <w:sz w:val="40"/>
          <w:szCs w:val="44"/>
          <w:u w:val="none"/>
          <w:lang w:val="zh-CN" w:eastAsia="zh-CN"/>
        </w:rPr>
      </w:pPr>
      <w:r>
        <w:rPr>
          <w:rFonts w:hint="eastAsia" w:ascii="方正小标宋简体" w:hAnsi="宋体" w:eastAsia="方正小标宋简体" w:cs="Times New Roman"/>
          <w:color w:val="auto"/>
          <w:kern w:val="0"/>
          <w:sz w:val="40"/>
          <w:szCs w:val="44"/>
          <w:u w:val="none"/>
          <w:lang w:val="zh-CN" w:eastAsia="zh-CN"/>
        </w:rPr>
        <w:t>特殊政策军龄认定财政补差项目</w:t>
      </w:r>
    </w:p>
    <w:p>
      <w:pPr>
        <w:spacing w:line="600" w:lineRule="exact"/>
        <w:jc w:val="center"/>
        <w:rPr>
          <w:rFonts w:hint="eastAsia" w:ascii="方正小标宋简体" w:hAnsi="方正小标宋简体" w:eastAsia="方正小标宋简体" w:cs="方正小标宋简体"/>
          <w:b w:val="0"/>
          <w:bCs w:val="0"/>
          <w:sz w:val="44"/>
          <w:szCs w:val="44"/>
          <w:lang w:val="zh-CN"/>
        </w:rPr>
      </w:pPr>
      <w:r>
        <w:rPr>
          <w:rFonts w:hint="eastAsia" w:ascii="方正小标宋简体" w:hAnsi="宋体" w:eastAsia="方正小标宋简体" w:cs="Times New Roman"/>
          <w:color w:val="auto"/>
          <w:kern w:val="0"/>
          <w:sz w:val="40"/>
          <w:szCs w:val="44"/>
          <w:u w:val="none"/>
          <w:lang w:val="zh-CN" w:eastAsia="zh-CN"/>
        </w:rPr>
        <w:t>2020年绩效评价报告</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bookmarkStart w:id="130" w:name="_Toc8664_WPSOffice_Level2"/>
      <w:r>
        <w:rPr>
          <w:rFonts w:hint="eastAsia" w:ascii="仿宋" w:hAnsi="仿宋" w:eastAsia="仿宋" w:cs="仿宋"/>
          <w:sz w:val="32"/>
          <w:szCs w:val="32"/>
          <w:lang w:val="zh-CN"/>
        </w:rPr>
        <w:t>一、项目概况</w:t>
      </w:r>
      <w:bookmarkEnd w:id="130"/>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（一）项目基本情况。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rPr>
        <w:t>1．主管部门职能：井研县社会保险事务中心提供保险服务，向企业职工和个体工商户提供养老、工伤、失业</w:t>
      </w:r>
      <w:r>
        <w:rPr>
          <w:rFonts w:hint="eastAsia" w:ascii="仿宋" w:hAnsi="仿宋" w:eastAsia="仿宋" w:cs="仿宋"/>
          <w:sz w:val="32"/>
          <w:szCs w:val="32"/>
          <w:lang w:val="zh-CN" w:eastAsia="zh-CN"/>
        </w:rPr>
        <w:t>、</w:t>
      </w:r>
      <w:r>
        <w:rPr>
          <w:rFonts w:hint="eastAsia" w:ascii="仿宋" w:hAnsi="仿宋" w:eastAsia="仿宋" w:cs="仿宋"/>
          <w:sz w:val="32"/>
          <w:szCs w:val="32"/>
          <w:lang w:val="zh-CN"/>
        </w:rPr>
        <w:t>城乡居民养老保险费等保险</w:t>
      </w:r>
      <w:r>
        <w:rPr>
          <w:rFonts w:hint="eastAsia" w:ascii="仿宋" w:hAnsi="仿宋" w:eastAsia="仿宋" w:cs="仿宋"/>
          <w:sz w:val="32"/>
          <w:szCs w:val="32"/>
          <w:lang w:val="zh-CN" w:eastAsia="zh-CN"/>
        </w:rPr>
        <w:t>征收、发放。</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2．资金申报的依据。根据县人社局核定特殊政策军龄认定财政补差</w:t>
      </w:r>
      <w:r>
        <w:rPr>
          <w:rFonts w:hint="eastAsia" w:ascii="仿宋" w:hAnsi="仿宋" w:eastAsia="仿宋" w:cs="仿宋"/>
          <w:sz w:val="32"/>
          <w:szCs w:val="32"/>
          <w:lang w:val="zh-CN" w:eastAsia="zh-CN"/>
        </w:rPr>
        <w:t>代发</w:t>
      </w:r>
      <w:r>
        <w:rPr>
          <w:rFonts w:hint="eastAsia" w:ascii="仿宋" w:hAnsi="仿宋" w:eastAsia="仿宋" w:cs="仿宋"/>
          <w:sz w:val="32"/>
          <w:szCs w:val="32"/>
          <w:lang w:val="zh-CN"/>
        </w:rPr>
        <w:t>项目，并申报资金。</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3．资金管理办法制定情况，资金支持具体项目的条件、范围与支持方式概况。按照财务管理规定，制定了相关财务内控制度，项目资金的预算编制依托单位年度预算。</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4．资金分配的原则及考虑因素。根据县人社局认定的年限核算。</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（二）项目绩效目标。</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1．项目主要内容。</w:t>
      </w:r>
      <w:r>
        <w:rPr>
          <w:rFonts w:hint="eastAsia" w:ascii="仿宋" w:hAnsi="仿宋" w:eastAsia="仿宋" w:cs="仿宋"/>
          <w:sz w:val="32"/>
          <w:szCs w:val="32"/>
          <w:lang w:val="en-US" w:eastAsia="zh-CN"/>
        </w:rPr>
        <w:t>2020年，完成全县</w:t>
      </w:r>
      <w:r>
        <w:rPr>
          <w:rFonts w:hint="eastAsia" w:ascii="仿宋" w:hAnsi="仿宋" w:eastAsia="仿宋" w:cs="仿宋"/>
          <w:sz w:val="32"/>
          <w:szCs w:val="32"/>
          <w:lang w:val="zh-CN"/>
        </w:rPr>
        <w:t>特殊政策军龄认定财政补差</w:t>
      </w:r>
      <w:r>
        <w:rPr>
          <w:rFonts w:hint="eastAsia" w:ascii="仿宋" w:hAnsi="仿宋" w:eastAsia="仿宋" w:cs="仿宋"/>
          <w:sz w:val="32"/>
          <w:szCs w:val="32"/>
          <w:lang w:val="zh-CN" w:eastAsia="zh-CN"/>
        </w:rPr>
        <w:t>代发</w:t>
      </w:r>
      <w:r>
        <w:rPr>
          <w:rFonts w:hint="eastAsia" w:ascii="仿宋" w:hAnsi="仿宋" w:eastAsia="仿宋" w:cs="仿宋"/>
          <w:sz w:val="32"/>
          <w:szCs w:val="32"/>
          <w:lang w:val="zh-CN"/>
        </w:rPr>
        <w:t>项目</w:t>
      </w:r>
      <w:r>
        <w:rPr>
          <w:rFonts w:hint="eastAsia" w:ascii="仿宋" w:hAnsi="仿宋" w:eastAsia="仿宋" w:cs="仿宋"/>
          <w:sz w:val="32"/>
          <w:szCs w:val="32"/>
          <w:lang w:val="en-US" w:eastAsia="zh-CN"/>
        </w:rPr>
        <w:t>。</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2．项目应实现的具体绩效目标。</w:t>
      </w:r>
      <w:r>
        <w:rPr>
          <w:rFonts w:hint="eastAsia" w:ascii="仿宋" w:hAnsi="仿宋" w:eastAsia="仿宋" w:cs="仿宋"/>
          <w:sz w:val="32"/>
          <w:szCs w:val="32"/>
          <w:lang w:val="en-US" w:eastAsia="zh-CN"/>
        </w:rPr>
        <w:t>2020年，实现</w:t>
      </w:r>
      <w:r>
        <w:rPr>
          <w:rFonts w:hint="eastAsia" w:ascii="仿宋" w:hAnsi="仿宋" w:eastAsia="仿宋" w:cs="仿宋"/>
          <w:sz w:val="32"/>
          <w:szCs w:val="32"/>
          <w:lang w:val="zh-CN"/>
        </w:rPr>
        <w:t>特殊政策军龄认定财政补差资金</w:t>
      </w:r>
      <w:r>
        <w:rPr>
          <w:rFonts w:hint="eastAsia" w:ascii="仿宋" w:hAnsi="仿宋" w:eastAsia="仿宋" w:cs="仿宋"/>
          <w:sz w:val="32"/>
          <w:szCs w:val="32"/>
          <w:lang w:val="zh-CN" w:eastAsia="zh-CN"/>
        </w:rPr>
        <w:t>代发工作，</w:t>
      </w:r>
      <w:r>
        <w:rPr>
          <w:rFonts w:hint="eastAsia" w:ascii="仿宋" w:hAnsi="仿宋" w:eastAsia="仿宋" w:cs="仿宋"/>
          <w:sz w:val="32"/>
          <w:szCs w:val="32"/>
          <w:lang w:val="en-US" w:eastAsia="zh-CN"/>
        </w:rPr>
        <w:t>完成100%。</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3．申报内容与实际相符，申报目标合理可行。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（三）项目自评步骤及方法。</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项目绩效自评采用中期考察与年终绩效考核报告相结合的方式进行。</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31" w:name="_Toc30597_WPSOffice_Level2"/>
      <w:r>
        <w:rPr>
          <w:rFonts w:hint="eastAsia" w:ascii="仿宋" w:hAnsi="仿宋" w:eastAsia="仿宋" w:cs="仿宋"/>
          <w:sz w:val="32"/>
          <w:szCs w:val="32"/>
          <w:lang w:val="zh-CN"/>
        </w:rPr>
        <w:t>二、项目资金申报及使用情况</w:t>
      </w:r>
      <w:bookmarkEnd w:id="131"/>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（一）项目资金申报及批复情况。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该项目经年初预算，报政府批准。</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（二）资金计划、到位及使用情况。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1．资金计划。该项目资金为县财政资金。</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2．资金到位。截至</w:t>
      </w:r>
      <w:r>
        <w:rPr>
          <w:rFonts w:hint="eastAsia" w:ascii="仿宋" w:hAnsi="仿宋" w:eastAsia="仿宋" w:cs="仿宋"/>
          <w:sz w:val="32"/>
          <w:szCs w:val="32"/>
          <w:lang w:val="en-US" w:eastAsia="zh-CN"/>
        </w:rPr>
        <w:t>2020年底，该项目资金均及时下达。</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3．资金使用。截至</w:t>
      </w:r>
      <w:r>
        <w:rPr>
          <w:rFonts w:hint="eastAsia" w:ascii="仿宋" w:hAnsi="仿宋" w:eastAsia="仿宋" w:cs="仿宋"/>
          <w:sz w:val="32"/>
          <w:szCs w:val="32"/>
          <w:lang w:val="en-US" w:eastAsia="zh-CN"/>
        </w:rPr>
        <w:t>2020年底，该项目资金均及时支付，</w:t>
      </w:r>
      <w:r>
        <w:rPr>
          <w:rFonts w:hint="eastAsia" w:ascii="仿宋" w:hAnsi="仿宋" w:eastAsia="仿宋" w:cs="仿宋"/>
          <w:sz w:val="32"/>
          <w:szCs w:val="32"/>
          <w:lang w:val="zh-CN"/>
        </w:rPr>
        <w:t>资金支付范围、支付标准、支付进度、支付依据等合规合法、与预算相符，自评中未发现的问题。</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（三）项目财务管理情况。</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该项目实施单位财务管理制度健全，严格执行财务管理制度，账务处理及时，会计核算规范。</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bookmarkStart w:id="132" w:name="_Toc19422_WPSOffice_Level2"/>
      <w:r>
        <w:rPr>
          <w:rFonts w:hint="eastAsia" w:ascii="仿宋" w:hAnsi="仿宋" w:eastAsia="仿宋" w:cs="仿宋"/>
          <w:sz w:val="32"/>
          <w:szCs w:val="32"/>
          <w:lang w:val="zh-CN"/>
        </w:rPr>
        <w:t>三、项目实施及管理情况</w:t>
      </w:r>
      <w:bookmarkEnd w:id="132"/>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rPr>
        <w:t>（一）项目组织架构及实施流程。为特殊政策军龄认定财政补差</w:t>
      </w:r>
      <w:r>
        <w:rPr>
          <w:rFonts w:hint="eastAsia" w:ascii="仿宋" w:hAnsi="仿宋" w:eastAsia="仿宋" w:cs="仿宋"/>
          <w:sz w:val="32"/>
          <w:szCs w:val="32"/>
          <w:lang w:val="zh-CN" w:eastAsia="zh-CN"/>
        </w:rPr>
        <w:t>代发</w:t>
      </w:r>
      <w:r>
        <w:rPr>
          <w:rFonts w:hint="eastAsia" w:ascii="仿宋" w:hAnsi="仿宋" w:eastAsia="仿宋" w:cs="仿宋"/>
          <w:sz w:val="32"/>
          <w:szCs w:val="32"/>
          <w:lang w:val="zh-CN"/>
        </w:rPr>
        <w:t>资金</w:t>
      </w:r>
      <w:r>
        <w:rPr>
          <w:rFonts w:hint="eastAsia" w:ascii="仿宋" w:hAnsi="仿宋" w:eastAsia="仿宋" w:cs="仿宋"/>
          <w:sz w:val="32"/>
          <w:szCs w:val="32"/>
          <w:lang w:val="zh-CN" w:eastAsia="zh-CN"/>
        </w:rPr>
        <w:t>项目，</w:t>
      </w:r>
      <w:r>
        <w:rPr>
          <w:rFonts w:hint="eastAsia" w:ascii="仿宋" w:hAnsi="仿宋" w:eastAsia="仿宋" w:cs="仿宋"/>
          <w:sz w:val="32"/>
          <w:szCs w:val="32"/>
          <w:lang w:val="zh-CN"/>
        </w:rPr>
        <w:t>成立</w:t>
      </w:r>
      <w:r>
        <w:rPr>
          <w:rFonts w:hint="eastAsia" w:ascii="仿宋" w:hAnsi="仿宋" w:eastAsia="仿宋" w:cs="仿宋"/>
          <w:sz w:val="32"/>
          <w:szCs w:val="32"/>
          <w:lang w:val="zh-CN" w:eastAsia="zh-CN"/>
        </w:rPr>
        <w:t>了以中心主任为组长的</w:t>
      </w:r>
      <w:r>
        <w:rPr>
          <w:rFonts w:hint="eastAsia" w:ascii="仿宋" w:hAnsi="仿宋" w:eastAsia="仿宋" w:cs="仿宋"/>
          <w:sz w:val="32"/>
          <w:szCs w:val="32"/>
          <w:lang w:val="zh-CN"/>
        </w:rPr>
        <w:t>工作领导小组</w:t>
      </w:r>
      <w:r>
        <w:rPr>
          <w:rFonts w:hint="eastAsia" w:ascii="仿宋" w:hAnsi="仿宋" w:eastAsia="仿宋" w:cs="仿宋"/>
          <w:sz w:val="32"/>
          <w:szCs w:val="32"/>
          <w:lang w:val="zh-CN" w:eastAsia="zh-CN"/>
        </w:rPr>
        <w:t>，</w:t>
      </w:r>
      <w:r>
        <w:rPr>
          <w:rFonts w:hint="eastAsia" w:ascii="仿宋" w:hAnsi="仿宋" w:eastAsia="仿宋" w:cs="仿宋"/>
          <w:sz w:val="32"/>
          <w:szCs w:val="32"/>
          <w:lang w:val="zh-CN"/>
        </w:rPr>
        <w:t>由</w:t>
      </w:r>
      <w:r>
        <w:rPr>
          <w:rFonts w:hint="eastAsia" w:ascii="仿宋" w:hAnsi="仿宋" w:eastAsia="仿宋" w:cs="仿宋"/>
          <w:sz w:val="32"/>
          <w:szCs w:val="32"/>
          <w:lang w:val="zh-CN" w:eastAsia="zh-CN"/>
        </w:rPr>
        <w:t>吴志刚</w:t>
      </w:r>
      <w:r>
        <w:rPr>
          <w:rFonts w:hint="eastAsia" w:ascii="仿宋" w:hAnsi="仿宋" w:eastAsia="仿宋" w:cs="仿宋"/>
          <w:sz w:val="32"/>
          <w:szCs w:val="32"/>
          <w:lang w:val="zh-CN"/>
        </w:rPr>
        <w:t>同志同志具体负责</w:t>
      </w:r>
      <w:r>
        <w:rPr>
          <w:rFonts w:hint="eastAsia" w:ascii="仿宋" w:hAnsi="仿宋" w:eastAsia="仿宋" w:cs="仿宋"/>
          <w:sz w:val="32"/>
          <w:szCs w:val="32"/>
          <w:lang w:val="zh-CN" w:eastAsia="zh-CN"/>
        </w:rPr>
        <w:t>代缴</w:t>
      </w:r>
      <w:r>
        <w:rPr>
          <w:rFonts w:hint="eastAsia" w:ascii="仿宋" w:hAnsi="仿宋" w:eastAsia="仿宋" w:cs="仿宋"/>
          <w:sz w:val="32"/>
          <w:szCs w:val="32"/>
          <w:lang w:val="zh-CN"/>
        </w:rPr>
        <w:t>的日常工作。</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（二）项目管理情况。依据相关法律法规及项目管理制度对该项目进行管理。</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（三）项目监管情况。该项目采用日常检查、财务监督的方式执行项目监管，效果较好。</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bookmarkStart w:id="133" w:name="_Toc20135_WPSOffice_Level2"/>
      <w:r>
        <w:rPr>
          <w:rFonts w:hint="eastAsia" w:ascii="仿宋" w:hAnsi="仿宋" w:eastAsia="仿宋" w:cs="仿宋"/>
          <w:sz w:val="32"/>
          <w:szCs w:val="32"/>
          <w:lang w:val="zh-CN"/>
        </w:rPr>
        <w:t>四、项目绩效情况</w:t>
      </w:r>
      <w:bookmarkEnd w:id="133"/>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（一）项目完成情况。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该项目于</w:t>
      </w:r>
      <w:r>
        <w:rPr>
          <w:rFonts w:hint="eastAsia" w:ascii="仿宋" w:hAnsi="仿宋" w:eastAsia="仿宋" w:cs="仿宋"/>
          <w:sz w:val="32"/>
          <w:szCs w:val="32"/>
          <w:lang w:val="en-US" w:eastAsia="zh-CN"/>
        </w:rPr>
        <w:t>2020年12月通过验收，共计代发380.76万元，工作完成达到100%。</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（二）项目效益情况。</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通过项目实施，</w:t>
      </w:r>
      <w:r>
        <w:rPr>
          <w:rFonts w:hint="eastAsia" w:ascii="仿宋" w:hAnsi="仿宋" w:eastAsia="仿宋" w:cs="仿宋"/>
          <w:sz w:val="32"/>
          <w:szCs w:val="32"/>
          <w:lang w:val="zh-CN" w:eastAsia="zh-CN"/>
        </w:rPr>
        <w:t>确保</w:t>
      </w:r>
      <w:r>
        <w:rPr>
          <w:rFonts w:hint="eastAsia" w:ascii="仿宋" w:hAnsi="仿宋" w:eastAsia="仿宋" w:cs="仿宋"/>
          <w:sz w:val="32"/>
          <w:szCs w:val="32"/>
          <w:lang w:val="zh-CN"/>
        </w:rPr>
        <w:t>特殊政策军龄认定财政补差</w:t>
      </w:r>
      <w:r>
        <w:rPr>
          <w:rFonts w:hint="eastAsia" w:ascii="仿宋" w:hAnsi="仿宋" w:eastAsia="仿宋" w:cs="仿宋"/>
          <w:sz w:val="32"/>
          <w:szCs w:val="32"/>
          <w:lang w:val="zh-CN" w:eastAsia="zh-CN"/>
        </w:rPr>
        <w:t>代发资金到帐。</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bookmarkStart w:id="134" w:name="_Toc1796_WPSOffice_Level2"/>
      <w:r>
        <w:rPr>
          <w:rFonts w:hint="eastAsia" w:ascii="仿宋" w:hAnsi="仿宋" w:eastAsia="仿宋" w:cs="仿宋"/>
          <w:sz w:val="32"/>
          <w:szCs w:val="32"/>
          <w:lang w:val="zh-CN"/>
        </w:rPr>
        <w:t>五、评价结论及建议</w:t>
      </w:r>
      <w:bookmarkEnd w:id="134"/>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（一）评价结论。</w:t>
      </w:r>
    </w:p>
    <w:p>
      <w:pPr>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结合项目自身特点、评价重点及管理办法等要求，该项目支出绩效总体评价为：好。</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（二）存在的问题。</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r>
        <w:rPr>
          <w:rFonts w:hint="eastAsia" w:ascii="仿宋" w:hAnsi="仿宋" w:eastAsia="仿宋" w:cs="仿宋"/>
          <w:sz w:val="32"/>
          <w:szCs w:val="32"/>
          <w:lang w:val="zh-CN"/>
        </w:rPr>
        <w:tab/>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（三）相关建议。</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无。</w:t>
      </w:r>
    </w:p>
    <w:p>
      <w:pPr>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p>
    <w:bookmarkEnd w:id="98"/>
    <w:p>
      <w:pPr>
        <w:pageBreakBefore w:val="0"/>
        <w:kinsoku/>
        <w:wordWrap/>
        <w:overflowPunct/>
        <w:topLinePunct w:val="0"/>
        <w:autoSpaceDE/>
        <w:autoSpaceDN/>
        <w:bidi w:val="0"/>
        <w:spacing w:line="600" w:lineRule="exact"/>
        <w:textAlignment w:val="auto"/>
        <w:rPr>
          <w:rFonts w:hint="eastAsia" w:ascii="仿宋" w:hAnsi="仿宋" w:eastAsia="仿宋" w:cs="仿宋"/>
          <w:color w:val="auto"/>
          <w:sz w:val="32"/>
          <w:szCs w:val="32"/>
          <w:u w:val="none"/>
        </w:rPr>
      </w:pPr>
      <w:bookmarkStart w:id="135" w:name="_Toc5301_WPSOffice_Level1"/>
    </w:p>
    <w:p>
      <w:pPr>
        <w:pageBreakBefore w:val="0"/>
        <w:kinsoku/>
        <w:wordWrap/>
        <w:overflowPunct/>
        <w:topLinePunct w:val="0"/>
        <w:autoSpaceDE/>
        <w:autoSpaceDN/>
        <w:bidi w:val="0"/>
        <w:spacing w:line="600" w:lineRule="exact"/>
        <w:textAlignment w:val="auto"/>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br w:type="page"/>
      </w:r>
    </w:p>
    <w:p>
      <w:pPr>
        <w:spacing w:line="600" w:lineRule="exact"/>
        <w:jc w:val="center"/>
        <w:outlineLvl w:val="0"/>
        <w:rPr>
          <w:rStyle w:val="23"/>
          <w:rFonts w:ascii="黑体" w:hAnsi="黑体" w:eastAsia="黑体"/>
          <w:b w:val="0"/>
          <w:color w:val="auto"/>
          <w:u w:val="none"/>
        </w:rPr>
      </w:pPr>
      <w:bookmarkStart w:id="136" w:name="_Toc16247_WPSOffice_Level1"/>
      <w:r>
        <w:rPr>
          <w:rFonts w:hint="eastAsia" w:ascii="黑体" w:hAnsi="黑体" w:eastAsia="黑体"/>
          <w:color w:val="auto"/>
          <w:sz w:val="44"/>
          <w:szCs w:val="44"/>
          <w:u w:val="none"/>
        </w:rPr>
        <w:t>第</w:t>
      </w:r>
      <w:r>
        <w:rPr>
          <w:rStyle w:val="23"/>
          <w:rFonts w:hint="eastAsia" w:ascii="黑体" w:hAnsi="黑体" w:eastAsia="黑体"/>
          <w:b w:val="0"/>
          <w:color w:val="auto"/>
          <w:u w:val="none"/>
        </w:rPr>
        <w:t>五部分 附表</w:t>
      </w:r>
      <w:bookmarkEnd w:id="135"/>
      <w:bookmarkEnd w:id="136"/>
    </w:p>
    <w:p>
      <w:pPr>
        <w:spacing w:line="600" w:lineRule="exact"/>
        <w:jc w:val="center"/>
        <w:outlineLvl w:val="0"/>
        <w:rPr>
          <w:rFonts w:ascii="仿宋" w:hAnsi="仿宋" w:eastAsia="仿宋"/>
          <w:b/>
          <w:color w:val="auto"/>
          <w:sz w:val="44"/>
          <w:szCs w:val="44"/>
          <w:u w:val="none"/>
        </w:rPr>
      </w:pPr>
    </w:p>
    <w:p>
      <w:pPr>
        <w:pStyle w:val="3"/>
        <w:rPr>
          <w:rFonts w:ascii="仿宋" w:hAnsi="仿宋" w:eastAsia="仿宋"/>
          <w:color w:val="auto"/>
          <w:u w:val="none"/>
        </w:rPr>
      </w:pPr>
      <w:bookmarkStart w:id="137" w:name="_Toc15396619"/>
      <w:bookmarkStart w:id="138" w:name="_Toc6961_WPSOffice_Level2"/>
      <w:bookmarkStart w:id="139" w:name="_Toc532_WPSOffice_Level2"/>
      <w:r>
        <w:rPr>
          <w:rFonts w:hint="eastAsia" w:ascii="仿宋" w:hAnsi="仿宋" w:eastAsia="仿宋"/>
          <w:b w:val="0"/>
          <w:color w:val="auto"/>
          <w:u w:val="none"/>
        </w:rPr>
        <w:t>一、收</w:t>
      </w:r>
      <w:r>
        <w:rPr>
          <w:rStyle w:val="29"/>
          <w:rFonts w:hint="eastAsia" w:ascii="仿宋" w:hAnsi="仿宋" w:eastAsia="仿宋"/>
          <w:b w:val="0"/>
          <w:bCs w:val="0"/>
          <w:color w:val="auto"/>
          <w:u w:val="none"/>
        </w:rPr>
        <w:t>入支出决算总表</w:t>
      </w:r>
      <w:bookmarkEnd w:id="137"/>
      <w:bookmarkEnd w:id="138"/>
      <w:bookmarkEnd w:id="139"/>
    </w:p>
    <w:p>
      <w:pPr>
        <w:pStyle w:val="3"/>
        <w:rPr>
          <w:rFonts w:ascii="仿宋" w:hAnsi="仿宋" w:eastAsia="仿宋"/>
          <w:color w:val="auto"/>
          <w:u w:val="none"/>
        </w:rPr>
      </w:pPr>
      <w:bookmarkStart w:id="140" w:name="_Toc15396620"/>
      <w:bookmarkStart w:id="141" w:name="_Toc26765_WPSOffice_Level2"/>
      <w:bookmarkStart w:id="142" w:name="_Toc31490_WPSOffice_Level2"/>
      <w:r>
        <w:rPr>
          <w:rFonts w:hint="eastAsia" w:ascii="仿宋" w:hAnsi="仿宋" w:eastAsia="仿宋"/>
          <w:b w:val="0"/>
          <w:color w:val="auto"/>
          <w:u w:val="none"/>
        </w:rPr>
        <w:t>二、收</w:t>
      </w:r>
      <w:r>
        <w:rPr>
          <w:rStyle w:val="29"/>
          <w:rFonts w:hint="eastAsia" w:ascii="仿宋" w:hAnsi="仿宋" w:eastAsia="仿宋"/>
          <w:b w:val="0"/>
          <w:bCs w:val="0"/>
          <w:color w:val="auto"/>
          <w:u w:val="none"/>
        </w:rPr>
        <w:t>入决算表</w:t>
      </w:r>
      <w:bookmarkEnd w:id="140"/>
      <w:bookmarkEnd w:id="141"/>
      <w:bookmarkEnd w:id="142"/>
    </w:p>
    <w:p>
      <w:pPr>
        <w:pStyle w:val="3"/>
        <w:rPr>
          <w:rFonts w:ascii="仿宋" w:hAnsi="仿宋" w:eastAsia="仿宋"/>
          <w:color w:val="auto"/>
          <w:u w:val="none"/>
        </w:rPr>
      </w:pPr>
      <w:bookmarkStart w:id="143" w:name="_Toc15396621"/>
      <w:bookmarkStart w:id="144" w:name="_Toc23398_WPSOffice_Level2"/>
      <w:bookmarkStart w:id="145" w:name="_Toc24003_WPSOffice_Level2"/>
      <w:r>
        <w:rPr>
          <w:rStyle w:val="29"/>
          <w:rFonts w:hint="eastAsia" w:ascii="仿宋" w:hAnsi="仿宋" w:eastAsia="仿宋"/>
          <w:b w:val="0"/>
          <w:bCs w:val="0"/>
          <w:color w:val="auto"/>
          <w:u w:val="none"/>
        </w:rPr>
        <w:t>三、</w:t>
      </w:r>
      <w:r>
        <w:rPr>
          <w:rFonts w:hint="eastAsia" w:ascii="仿宋" w:hAnsi="仿宋" w:eastAsia="仿宋"/>
          <w:b w:val="0"/>
          <w:color w:val="auto"/>
          <w:u w:val="none"/>
        </w:rPr>
        <w:t>支</w:t>
      </w:r>
      <w:r>
        <w:rPr>
          <w:rStyle w:val="29"/>
          <w:rFonts w:hint="eastAsia" w:ascii="仿宋" w:hAnsi="仿宋" w:eastAsia="仿宋"/>
          <w:b w:val="0"/>
          <w:bCs w:val="0"/>
          <w:color w:val="auto"/>
          <w:u w:val="none"/>
        </w:rPr>
        <w:t>出决算表</w:t>
      </w:r>
      <w:bookmarkEnd w:id="143"/>
      <w:bookmarkEnd w:id="144"/>
      <w:bookmarkEnd w:id="145"/>
    </w:p>
    <w:p>
      <w:pPr>
        <w:pStyle w:val="3"/>
        <w:rPr>
          <w:rFonts w:ascii="仿宋" w:hAnsi="仿宋" w:eastAsia="仿宋"/>
          <w:b w:val="0"/>
          <w:color w:val="auto"/>
          <w:u w:val="none"/>
        </w:rPr>
      </w:pPr>
      <w:bookmarkStart w:id="146" w:name="_Toc32352_WPSOffice_Level2"/>
      <w:bookmarkStart w:id="147" w:name="_Toc15396622"/>
      <w:bookmarkStart w:id="148" w:name="_Toc13681_WPSOffice_Level2"/>
      <w:r>
        <w:rPr>
          <w:rStyle w:val="29"/>
          <w:rFonts w:hint="eastAsia" w:ascii="仿宋" w:hAnsi="仿宋" w:eastAsia="仿宋"/>
          <w:b w:val="0"/>
          <w:bCs w:val="0"/>
          <w:color w:val="auto"/>
          <w:u w:val="none"/>
        </w:rPr>
        <w:t>四、</w:t>
      </w:r>
      <w:r>
        <w:rPr>
          <w:rFonts w:hint="eastAsia" w:ascii="仿宋" w:hAnsi="仿宋" w:eastAsia="仿宋"/>
          <w:b w:val="0"/>
          <w:color w:val="auto"/>
          <w:u w:val="none"/>
        </w:rPr>
        <w:t>财</w:t>
      </w:r>
      <w:r>
        <w:rPr>
          <w:rStyle w:val="29"/>
          <w:rFonts w:hint="eastAsia" w:ascii="仿宋" w:hAnsi="仿宋" w:eastAsia="仿宋"/>
          <w:b w:val="0"/>
          <w:bCs w:val="0"/>
          <w:color w:val="auto"/>
          <w:u w:val="none"/>
        </w:rPr>
        <w:t>政拨款收入支出决算总表</w:t>
      </w:r>
      <w:bookmarkEnd w:id="146"/>
      <w:bookmarkEnd w:id="147"/>
      <w:bookmarkEnd w:id="148"/>
    </w:p>
    <w:p>
      <w:pPr>
        <w:pStyle w:val="3"/>
        <w:rPr>
          <w:rStyle w:val="29"/>
          <w:rFonts w:ascii="仿宋" w:hAnsi="仿宋" w:eastAsia="仿宋"/>
          <w:b w:val="0"/>
          <w:bCs w:val="0"/>
          <w:color w:val="auto"/>
          <w:u w:val="none"/>
        </w:rPr>
      </w:pPr>
      <w:bookmarkStart w:id="149" w:name="_Toc6127_WPSOffice_Level2"/>
      <w:bookmarkStart w:id="150" w:name="_Toc15396623"/>
      <w:bookmarkStart w:id="151" w:name="_Toc23265_WPSOffice_Level2"/>
      <w:r>
        <w:rPr>
          <w:rStyle w:val="29"/>
          <w:rFonts w:hint="eastAsia" w:ascii="仿宋" w:hAnsi="仿宋" w:eastAsia="仿宋"/>
          <w:b w:val="0"/>
          <w:bCs w:val="0"/>
          <w:color w:val="auto"/>
          <w:u w:val="none"/>
        </w:rPr>
        <w:t>五、</w:t>
      </w:r>
      <w:r>
        <w:rPr>
          <w:rFonts w:hint="eastAsia" w:ascii="仿宋" w:hAnsi="仿宋" w:eastAsia="仿宋"/>
          <w:b w:val="0"/>
          <w:color w:val="auto"/>
          <w:u w:val="none"/>
        </w:rPr>
        <w:t>财</w:t>
      </w:r>
      <w:r>
        <w:rPr>
          <w:rStyle w:val="29"/>
          <w:rFonts w:hint="eastAsia" w:ascii="仿宋" w:hAnsi="仿宋" w:eastAsia="仿宋"/>
          <w:b w:val="0"/>
          <w:bCs w:val="0"/>
          <w:color w:val="auto"/>
          <w:u w:val="none"/>
        </w:rPr>
        <w:t>政拨款支出决算明细表</w:t>
      </w:r>
      <w:bookmarkEnd w:id="149"/>
      <w:bookmarkEnd w:id="150"/>
      <w:bookmarkEnd w:id="151"/>
      <w:bookmarkStart w:id="152" w:name="_Toc15396624"/>
    </w:p>
    <w:p>
      <w:pPr>
        <w:pStyle w:val="3"/>
        <w:rPr>
          <w:rFonts w:ascii="仿宋" w:hAnsi="仿宋" w:eastAsia="仿宋"/>
          <w:color w:val="auto"/>
          <w:u w:val="none"/>
        </w:rPr>
      </w:pPr>
      <w:bookmarkStart w:id="153" w:name="_Toc5889_WPSOffice_Level2"/>
      <w:bookmarkStart w:id="154" w:name="_Toc11730_WPSOffice_Level2"/>
      <w:r>
        <w:rPr>
          <w:rStyle w:val="29"/>
          <w:rFonts w:hint="eastAsia" w:ascii="仿宋" w:hAnsi="仿宋" w:eastAsia="仿宋"/>
          <w:b w:val="0"/>
          <w:bCs w:val="0"/>
          <w:color w:val="auto"/>
          <w:u w:val="none"/>
        </w:rPr>
        <w:t>六、</w:t>
      </w:r>
      <w:r>
        <w:rPr>
          <w:rFonts w:hint="eastAsia" w:ascii="仿宋" w:hAnsi="仿宋" w:eastAsia="仿宋"/>
          <w:b w:val="0"/>
          <w:color w:val="auto"/>
          <w:u w:val="none"/>
        </w:rPr>
        <w:t>一</w:t>
      </w:r>
      <w:r>
        <w:rPr>
          <w:rStyle w:val="29"/>
          <w:rFonts w:hint="eastAsia" w:ascii="仿宋" w:hAnsi="仿宋" w:eastAsia="仿宋"/>
          <w:b w:val="0"/>
          <w:bCs w:val="0"/>
          <w:color w:val="auto"/>
          <w:u w:val="none"/>
        </w:rPr>
        <w:t>般公共预算财政拨款支出决算表</w:t>
      </w:r>
      <w:bookmarkEnd w:id="152"/>
      <w:bookmarkEnd w:id="153"/>
      <w:bookmarkEnd w:id="154"/>
    </w:p>
    <w:p>
      <w:pPr>
        <w:pStyle w:val="3"/>
        <w:rPr>
          <w:rFonts w:ascii="仿宋" w:hAnsi="仿宋" w:eastAsia="仿宋"/>
          <w:color w:val="auto"/>
          <w:u w:val="none"/>
        </w:rPr>
      </w:pPr>
      <w:bookmarkStart w:id="155" w:name="_Toc31997_WPSOffice_Level2"/>
      <w:bookmarkStart w:id="156" w:name="_Toc15396625"/>
      <w:bookmarkStart w:id="157" w:name="_Toc20782_WPSOffice_Level2"/>
      <w:r>
        <w:rPr>
          <w:rStyle w:val="29"/>
          <w:rFonts w:hint="eastAsia" w:ascii="仿宋" w:hAnsi="仿宋" w:eastAsia="仿宋"/>
          <w:b w:val="0"/>
          <w:bCs w:val="0"/>
          <w:color w:val="auto"/>
          <w:u w:val="none"/>
        </w:rPr>
        <w:t>七、</w:t>
      </w:r>
      <w:r>
        <w:rPr>
          <w:rFonts w:hint="eastAsia" w:ascii="仿宋" w:hAnsi="仿宋" w:eastAsia="仿宋"/>
          <w:b w:val="0"/>
          <w:color w:val="auto"/>
          <w:u w:val="none"/>
        </w:rPr>
        <w:t>一</w:t>
      </w:r>
      <w:r>
        <w:rPr>
          <w:rStyle w:val="29"/>
          <w:rFonts w:hint="eastAsia" w:ascii="仿宋" w:hAnsi="仿宋" w:eastAsia="仿宋"/>
          <w:b w:val="0"/>
          <w:bCs w:val="0"/>
          <w:color w:val="auto"/>
          <w:u w:val="none"/>
        </w:rPr>
        <w:t>般公共预算财政拨款支出决算明细表</w:t>
      </w:r>
      <w:bookmarkEnd w:id="155"/>
      <w:bookmarkEnd w:id="156"/>
      <w:bookmarkEnd w:id="157"/>
    </w:p>
    <w:p>
      <w:pPr>
        <w:pStyle w:val="3"/>
        <w:rPr>
          <w:rFonts w:ascii="仿宋" w:hAnsi="仿宋" w:eastAsia="仿宋"/>
          <w:color w:val="auto"/>
          <w:u w:val="none"/>
        </w:rPr>
      </w:pPr>
      <w:bookmarkStart w:id="158" w:name="_Toc3615_WPSOffice_Level2"/>
      <w:bookmarkStart w:id="159" w:name="_Toc15396626"/>
      <w:bookmarkStart w:id="160" w:name="_Toc8385_WPSOffice_Level2"/>
      <w:r>
        <w:rPr>
          <w:rStyle w:val="29"/>
          <w:rFonts w:hint="eastAsia" w:ascii="仿宋" w:hAnsi="仿宋" w:eastAsia="仿宋"/>
          <w:b w:val="0"/>
          <w:bCs w:val="0"/>
          <w:color w:val="auto"/>
          <w:u w:val="none"/>
        </w:rPr>
        <w:t>八、</w:t>
      </w:r>
      <w:r>
        <w:rPr>
          <w:rFonts w:hint="eastAsia" w:ascii="仿宋" w:hAnsi="仿宋" w:eastAsia="仿宋"/>
          <w:b w:val="0"/>
          <w:color w:val="auto"/>
          <w:u w:val="none"/>
        </w:rPr>
        <w:t>一</w:t>
      </w:r>
      <w:r>
        <w:rPr>
          <w:rStyle w:val="29"/>
          <w:rFonts w:hint="eastAsia" w:ascii="仿宋" w:hAnsi="仿宋" w:eastAsia="仿宋"/>
          <w:b w:val="0"/>
          <w:bCs w:val="0"/>
          <w:color w:val="auto"/>
          <w:u w:val="none"/>
        </w:rPr>
        <w:t>般公共预算财政拨款基本支出决算表</w:t>
      </w:r>
      <w:bookmarkEnd w:id="158"/>
      <w:bookmarkEnd w:id="159"/>
      <w:bookmarkEnd w:id="160"/>
    </w:p>
    <w:p>
      <w:pPr>
        <w:pStyle w:val="3"/>
        <w:rPr>
          <w:rFonts w:ascii="仿宋" w:hAnsi="仿宋" w:eastAsia="仿宋"/>
          <w:color w:val="auto"/>
          <w:u w:val="none"/>
        </w:rPr>
      </w:pPr>
      <w:bookmarkStart w:id="161" w:name="_Toc2920_WPSOffice_Level2"/>
      <w:bookmarkStart w:id="162" w:name="_Toc6786_WPSOffice_Level2"/>
      <w:bookmarkStart w:id="163" w:name="_Toc15396627"/>
      <w:r>
        <w:rPr>
          <w:rStyle w:val="29"/>
          <w:rFonts w:hint="eastAsia" w:ascii="仿宋" w:hAnsi="仿宋" w:eastAsia="仿宋"/>
          <w:b w:val="0"/>
          <w:bCs w:val="0"/>
          <w:color w:val="auto"/>
          <w:u w:val="none"/>
        </w:rPr>
        <w:t>九、</w:t>
      </w:r>
      <w:r>
        <w:rPr>
          <w:rFonts w:hint="eastAsia" w:ascii="仿宋" w:hAnsi="仿宋" w:eastAsia="仿宋"/>
          <w:b w:val="0"/>
          <w:color w:val="auto"/>
          <w:u w:val="none"/>
        </w:rPr>
        <w:t>一</w:t>
      </w:r>
      <w:r>
        <w:rPr>
          <w:rStyle w:val="29"/>
          <w:rFonts w:hint="eastAsia" w:ascii="仿宋" w:hAnsi="仿宋" w:eastAsia="仿宋"/>
          <w:b w:val="0"/>
          <w:bCs w:val="0"/>
          <w:color w:val="auto"/>
          <w:u w:val="none"/>
        </w:rPr>
        <w:t>般公共预算财政拨款项目支出决算表</w:t>
      </w:r>
      <w:bookmarkEnd w:id="161"/>
      <w:bookmarkEnd w:id="162"/>
      <w:bookmarkEnd w:id="163"/>
    </w:p>
    <w:p>
      <w:pPr>
        <w:pStyle w:val="3"/>
        <w:rPr>
          <w:rFonts w:ascii="仿宋" w:hAnsi="仿宋" w:eastAsia="仿宋"/>
          <w:color w:val="auto"/>
          <w:u w:val="none"/>
        </w:rPr>
      </w:pPr>
      <w:bookmarkStart w:id="164" w:name="_Toc15396628"/>
      <w:bookmarkStart w:id="165" w:name="_Toc29563_WPSOffice_Level2"/>
      <w:bookmarkStart w:id="166" w:name="_Toc21424_WPSOffice_Level2"/>
      <w:r>
        <w:rPr>
          <w:rStyle w:val="29"/>
          <w:rFonts w:hint="eastAsia" w:ascii="仿宋" w:hAnsi="仿宋" w:eastAsia="仿宋"/>
          <w:b w:val="0"/>
          <w:bCs w:val="0"/>
          <w:color w:val="auto"/>
          <w:u w:val="none"/>
        </w:rPr>
        <w:t>十、</w:t>
      </w:r>
      <w:r>
        <w:rPr>
          <w:rFonts w:hint="eastAsia" w:ascii="仿宋" w:hAnsi="仿宋" w:eastAsia="仿宋"/>
          <w:b w:val="0"/>
          <w:color w:val="auto"/>
          <w:u w:val="none"/>
        </w:rPr>
        <w:t>一</w:t>
      </w:r>
      <w:r>
        <w:rPr>
          <w:rStyle w:val="29"/>
          <w:rFonts w:hint="eastAsia" w:ascii="仿宋" w:hAnsi="仿宋" w:eastAsia="仿宋"/>
          <w:b w:val="0"/>
          <w:bCs w:val="0"/>
          <w:color w:val="auto"/>
          <w:u w:val="none"/>
        </w:rPr>
        <w:t>般公共预算财政拨款“三公”经费支出决算表</w:t>
      </w:r>
      <w:bookmarkEnd w:id="164"/>
      <w:bookmarkEnd w:id="165"/>
      <w:bookmarkEnd w:id="166"/>
    </w:p>
    <w:p>
      <w:pPr>
        <w:pStyle w:val="3"/>
        <w:rPr>
          <w:rFonts w:ascii="仿宋" w:hAnsi="仿宋" w:eastAsia="仿宋"/>
          <w:color w:val="auto"/>
          <w:u w:val="none"/>
        </w:rPr>
      </w:pPr>
      <w:bookmarkStart w:id="167" w:name="_Toc15396629"/>
      <w:bookmarkStart w:id="168" w:name="_Toc22223_WPSOffice_Level2"/>
      <w:bookmarkStart w:id="169" w:name="_Toc989_WPSOffice_Level2"/>
      <w:r>
        <w:rPr>
          <w:rStyle w:val="29"/>
          <w:rFonts w:hint="eastAsia" w:ascii="仿宋" w:hAnsi="仿宋" w:eastAsia="仿宋"/>
          <w:b w:val="0"/>
          <w:bCs w:val="0"/>
          <w:color w:val="auto"/>
          <w:u w:val="none"/>
        </w:rPr>
        <w:t>十一、</w:t>
      </w:r>
      <w:r>
        <w:rPr>
          <w:rFonts w:hint="eastAsia" w:ascii="仿宋" w:hAnsi="仿宋" w:eastAsia="仿宋"/>
          <w:b w:val="0"/>
          <w:color w:val="auto"/>
          <w:u w:val="none"/>
        </w:rPr>
        <w:t>政</w:t>
      </w:r>
      <w:r>
        <w:rPr>
          <w:rStyle w:val="29"/>
          <w:rFonts w:hint="eastAsia" w:ascii="仿宋" w:hAnsi="仿宋" w:eastAsia="仿宋"/>
          <w:b w:val="0"/>
          <w:bCs w:val="0"/>
          <w:color w:val="auto"/>
          <w:u w:val="none"/>
        </w:rPr>
        <w:t>府性基金预算财政拨款收入支出决算表</w:t>
      </w:r>
      <w:bookmarkEnd w:id="167"/>
      <w:bookmarkEnd w:id="168"/>
      <w:bookmarkEnd w:id="169"/>
    </w:p>
    <w:p>
      <w:pPr>
        <w:pStyle w:val="3"/>
        <w:rPr>
          <w:rFonts w:ascii="仿宋" w:hAnsi="仿宋" w:eastAsia="仿宋"/>
          <w:color w:val="auto"/>
          <w:u w:val="none"/>
        </w:rPr>
      </w:pPr>
      <w:bookmarkStart w:id="170" w:name="_Toc15396630"/>
      <w:bookmarkStart w:id="171" w:name="_Toc15352_WPSOffice_Level2"/>
      <w:bookmarkStart w:id="172" w:name="_Toc24394_WPSOffice_Level2"/>
      <w:r>
        <w:rPr>
          <w:rStyle w:val="29"/>
          <w:rFonts w:hint="eastAsia" w:ascii="仿宋" w:hAnsi="仿宋" w:eastAsia="仿宋"/>
          <w:b w:val="0"/>
          <w:bCs w:val="0"/>
          <w:color w:val="auto"/>
          <w:u w:val="none"/>
        </w:rPr>
        <w:t>十二、</w:t>
      </w:r>
      <w:r>
        <w:rPr>
          <w:rFonts w:hint="eastAsia" w:ascii="仿宋" w:hAnsi="仿宋" w:eastAsia="仿宋"/>
          <w:b w:val="0"/>
          <w:color w:val="auto"/>
          <w:u w:val="none"/>
        </w:rPr>
        <w:t>政</w:t>
      </w:r>
      <w:r>
        <w:rPr>
          <w:rStyle w:val="29"/>
          <w:rFonts w:hint="eastAsia" w:ascii="仿宋" w:hAnsi="仿宋" w:eastAsia="仿宋"/>
          <w:b w:val="0"/>
          <w:bCs w:val="0"/>
          <w:color w:val="auto"/>
          <w:u w:val="none"/>
        </w:rPr>
        <w:t>府性基金预算财政拨款“三公”经费支出决算表</w:t>
      </w:r>
      <w:bookmarkEnd w:id="170"/>
      <w:bookmarkEnd w:id="171"/>
      <w:bookmarkEnd w:id="172"/>
    </w:p>
    <w:p>
      <w:pPr>
        <w:pStyle w:val="3"/>
        <w:rPr>
          <w:rStyle w:val="29"/>
          <w:rFonts w:hint="eastAsia" w:ascii="仿宋" w:hAnsi="仿宋" w:eastAsia="仿宋"/>
          <w:b w:val="0"/>
          <w:bCs w:val="0"/>
          <w:color w:val="auto"/>
          <w:u w:val="none"/>
        </w:rPr>
      </w:pPr>
      <w:bookmarkStart w:id="173" w:name="_Toc30435_WPSOffice_Level2"/>
      <w:bookmarkStart w:id="174" w:name="_Toc15396631"/>
      <w:bookmarkStart w:id="175" w:name="_Toc20148_WPSOffice_Level2"/>
      <w:r>
        <w:rPr>
          <w:rStyle w:val="29"/>
          <w:rFonts w:hint="eastAsia" w:ascii="仿宋" w:hAnsi="仿宋" w:eastAsia="仿宋"/>
          <w:b w:val="0"/>
          <w:bCs w:val="0"/>
          <w:color w:val="auto"/>
          <w:u w:val="none"/>
        </w:rPr>
        <w:t>十三、</w:t>
      </w:r>
      <w:r>
        <w:rPr>
          <w:rFonts w:hint="eastAsia" w:ascii="仿宋" w:hAnsi="仿宋" w:eastAsia="仿宋"/>
          <w:b w:val="0"/>
          <w:color w:val="auto"/>
          <w:u w:val="none"/>
        </w:rPr>
        <w:t>国</w:t>
      </w:r>
      <w:r>
        <w:rPr>
          <w:rStyle w:val="29"/>
          <w:rFonts w:hint="eastAsia" w:ascii="仿宋" w:hAnsi="仿宋" w:eastAsia="仿宋"/>
          <w:b w:val="0"/>
          <w:bCs w:val="0"/>
          <w:color w:val="auto"/>
          <w:u w:val="none"/>
        </w:rPr>
        <w:t>有资本经营预算</w:t>
      </w:r>
      <w:r>
        <w:rPr>
          <w:rStyle w:val="29"/>
          <w:rFonts w:hint="eastAsia" w:ascii="仿宋" w:hAnsi="仿宋" w:eastAsia="仿宋"/>
          <w:b w:val="0"/>
          <w:bCs w:val="0"/>
          <w:color w:val="auto"/>
          <w:u w:val="none"/>
          <w:lang w:eastAsia="zh-CN"/>
        </w:rPr>
        <w:t>财政拨款收入</w:t>
      </w:r>
      <w:r>
        <w:rPr>
          <w:rStyle w:val="29"/>
          <w:rFonts w:hint="eastAsia" w:ascii="仿宋" w:hAnsi="仿宋" w:eastAsia="仿宋"/>
          <w:b w:val="0"/>
          <w:bCs w:val="0"/>
          <w:color w:val="auto"/>
          <w:u w:val="none"/>
        </w:rPr>
        <w:t>支出决算表</w:t>
      </w:r>
      <w:bookmarkEnd w:id="173"/>
      <w:bookmarkEnd w:id="174"/>
      <w:bookmarkEnd w:id="175"/>
    </w:p>
    <w:p>
      <w:pPr>
        <w:rPr>
          <w:rFonts w:hint="eastAsia" w:ascii="仿宋" w:hAnsi="仿宋" w:eastAsia="仿宋" w:cs="仿宋"/>
          <w:color w:val="000000"/>
          <w:sz w:val="28"/>
          <w:szCs w:val="28"/>
        </w:rPr>
      </w:pPr>
      <w:bookmarkStart w:id="176" w:name="_Toc939_WPSOffice_Level2"/>
      <w:bookmarkStart w:id="177" w:name="_Toc26244_WPSOffice_Level2"/>
      <w:r>
        <w:rPr>
          <w:rStyle w:val="29"/>
          <w:rFonts w:hint="eastAsia" w:ascii="仿宋" w:hAnsi="仿宋" w:eastAsia="仿宋"/>
          <w:b w:val="0"/>
          <w:bCs w:val="0"/>
          <w:color w:val="auto"/>
          <w:u w:val="none"/>
          <w:lang w:eastAsia="zh-CN"/>
        </w:rPr>
        <w:t>十四、国有资本经营预算财政拨款支出决算表</w:t>
      </w:r>
      <w:bookmarkEnd w:id="176"/>
      <w:bookmarkEnd w:id="17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3CF59"/>
    <w:multiLevelType w:val="singleLevel"/>
    <w:tmpl w:val="3E93CF59"/>
    <w:lvl w:ilvl="0" w:tentative="0">
      <w:start w:val="2"/>
      <w:numFmt w:val="chineseCounting"/>
      <w:suff w:val="space"/>
      <w:lvlText w:val="第%1部分"/>
      <w:lvlJc w:val="left"/>
      <w:rPr>
        <w:rFonts w:hint="eastAsia"/>
      </w:rPr>
    </w:lvl>
  </w:abstractNum>
  <w:abstractNum w:abstractNumId="1">
    <w:nsid w:val="68D43A20"/>
    <w:multiLevelType w:val="singleLevel"/>
    <w:tmpl w:val="68D43A20"/>
    <w:lvl w:ilvl="0" w:tentative="0">
      <w:start w:val="1"/>
      <w:numFmt w:val="chineseCounting"/>
      <w:suff w:val="nothing"/>
      <w:lvlText w:val="%1、"/>
      <w:lvlJc w:val="left"/>
      <w:rPr>
        <w:rFonts w:hint="eastAsia"/>
      </w:rPr>
    </w:lvl>
  </w:abstractNum>
  <w:abstractNum w:abstractNumId="2">
    <w:nsid w:val="7EE55BF3"/>
    <w:multiLevelType w:val="multilevel"/>
    <w:tmpl w:val="7EE55BF3"/>
    <w:lvl w:ilvl="0" w:tentative="0">
      <w:start w:val="1"/>
      <w:numFmt w:val="chineseCountingThousand"/>
      <w:pStyle w:val="33"/>
      <w:suff w:val="nothing"/>
      <w:lvlText w:val="（%1）"/>
      <w:lvlJc w:val="left"/>
      <w:pPr>
        <w:ind w:left="-635" w:firstLine="635"/>
      </w:pPr>
      <w:rPr>
        <w:rFonts w:hint="eastAsia"/>
      </w:rPr>
    </w:lvl>
    <w:lvl w:ilvl="1" w:tentative="0">
      <w:start w:val="1"/>
      <w:numFmt w:val="decimal"/>
      <w:lvlText w:val="%2."/>
      <w:lvlJc w:val="left"/>
      <w:pPr>
        <w:ind w:left="980" w:hanging="360"/>
      </w:pPr>
      <w:rPr>
        <w:rFonts w:hint="default"/>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507B31"/>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572102"/>
    <w:rsid w:val="036E37B9"/>
    <w:rsid w:val="04360C4D"/>
    <w:rsid w:val="04507B31"/>
    <w:rsid w:val="045D2149"/>
    <w:rsid w:val="0A3C026C"/>
    <w:rsid w:val="0E4A28AE"/>
    <w:rsid w:val="0FAD6751"/>
    <w:rsid w:val="10C055FF"/>
    <w:rsid w:val="159D2862"/>
    <w:rsid w:val="15F417D1"/>
    <w:rsid w:val="16BB723D"/>
    <w:rsid w:val="188802D0"/>
    <w:rsid w:val="19763531"/>
    <w:rsid w:val="19E252D4"/>
    <w:rsid w:val="1C007C93"/>
    <w:rsid w:val="1D623B37"/>
    <w:rsid w:val="1DD04484"/>
    <w:rsid w:val="1E2D0AE7"/>
    <w:rsid w:val="1E5423F4"/>
    <w:rsid w:val="201153D9"/>
    <w:rsid w:val="215D5B23"/>
    <w:rsid w:val="22044EA6"/>
    <w:rsid w:val="22454B5B"/>
    <w:rsid w:val="240371BF"/>
    <w:rsid w:val="25C90FEE"/>
    <w:rsid w:val="266F7456"/>
    <w:rsid w:val="29FD04D3"/>
    <w:rsid w:val="2A690614"/>
    <w:rsid w:val="2AA74A3C"/>
    <w:rsid w:val="2B503673"/>
    <w:rsid w:val="2D4E0673"/>
    <w:rsid w:val="319F7F4E"/>
    <w:rsid w:val="323463C6"/>
    <w:rsid w:val="32E42FB3"/>
    <w:rsid w:val="33710579"/>
    <w:rsid w:val="34655C26"/>
    <w:rsid w:val="36A5191E"/>
    <w:rsid w:val="37531738"/>
    <w:rsid w:val="38BE78A5"/>
    <w:rsid w:val="396F4E0D"/>
    <w:rsid w:val="39D44C3B"/>
    <w:rsid w:val="3A122D0D"/>
    <w:rsid w:val="3C557D87"/>
    <w:rsid w:val="3F2E2F40"/>
    <w:rsid w:val="443874AE"/>
    <w:rsid w:val="449E0A45"/>
    <w:rsid w:val="44BB010F"/>
    <w:rsid w:val="44D70025"/>
    <w:rsid w:val="44DC3EA2"/>
    <w:rsid w:val="48403E0E"/>
    <w:rsid w:val="4B3561A1"/>
    <w:rsid w:val="4ECE2238"/>
    <w:rsid w:val="508D4488"/>
    <w:rsid w:val="50B364EC"/>
    <w:rsid w:val="50FF7654"/>
    <w:rsid w:val="51EF67F7"/>
    <w:rsid w:val="51F14470"/>
    <w:rsid w:val="524640CD"/>
    <w:rsid w:val="53DF378A"/>
    <w:rsid w:val="53ED4303"/>
    <w:rsid w:val="545C1D31"/>
    <w:rsid w:val="593E42FA"/>
    <w:rsid w:val="597A6CFC"/>
    <w:rsid w:val="598E1717"/>
    <w:rsid w:val="59C1245B"/>
    <w:rsid w:val="59F97943"/>
    <w:rsid w:val="5BA62F8B"/>
    <w:rsid w:val="5CDF508B"/>
    <w:rsid w:val="5D7E7993"/>
    <w:rsid w:val="5DBA0814"/>
    <w:rsid w:val="5E520510"/>
    <w:rsid w:val="5E9B6FC2"/>
    <w:rsid w:val="606F49ED"/>
    <w:rsid w:val="60833656"/>
    <w:rsid w:val="617760C6"/>
    <w:rsid w:val="61FF7D54"/>
    <w:rsid w:val="640B4987"/>
    <w:rsid w:val="69A512D5"/>
    <w:rsid w:val="6BE70DA4"/>
    <w:rsid w:val="6C8B2014"/>
    <w:rsid w:val="6CD40BF5"/>
    <w:rsid w:val="6F82750E"/>
    <w:rsid w:val="71086241"/>
    <w:rsid w:val="72734D90"/>
    <w:rsid w:val="729F5E8E"/>
    <w:rsid w:val="732C6E9B"/>
    <w:rsid w:val="74E43978"/>
    <w:rsid w:val="75366570"/>
    <w:rsid w:val="765E04FE"/>
    <w:rsid w:val="7A492B8B"/>
    <w:rsid w:val="7B3E4835"/>
    <w:rsid w:val="7FEB28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link w:val="31"/>
    <w:unhideWhenUsed/>
    <w:qFormat/>
    <w:uiPriority w:val="39"/>
    <w:pPr>
      <w:tabs>
        <w:tab w:val="right" w:leader="dot" w:pos="8296"/>
      </w:tabs>
      <w:ind w:left="420" w:leftChars="200"/>
    </w:p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15">
    <w:name w:val="Strong"/>
    <w:basedOn w:val="14"/>
    <w:qFormat/>
    <w:uiPriority w:val="99"/>
    <w:rPr>
      <w:b/>
    </w:rPr>
  </w:style>
  <w:style w:type="character" w:styleId="16">
    <w:name w:val="Hyperlink"/>
    <w:basedOn w:val="14"/>
    <w:unhideWhenUsed/>
    <w:qFormat/>
    <w:uiPriority w:val="99"/>
    <w:rPr>
      <w:color w:val="0000FF"/>
      <w:u w:val="single"/>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TOC Heading"/>
    <w:basedOn w:val="2"/>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styleId="19">
    <w:name w:val="List Paragraph"/>
    <w:basedOn w:val="1"/>
    <w:qFormat/>
    <w:uiPriority w:val="34"/>
    <w:pPr>
      <w:ind w:firstLine="420" w:firstLineChars="200"/>
    </w:pPr>
  </w:style>
  <w:style w:type="paragraph" w:customStyle="1" w:styleId="20">
    <w:name w:val="TOC 标题1"/>
    <w:basedOn w:val="2"/>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21">
    <w:name w:val="批注框文本 Char"/>
    <w:basedOn w:val="14"/>
    <w:link w:val="7"/>
    <w:semiHidden/>
    <w:qFormat/>
    <w:uiPriority w:val="99"/>
    <w:rPr>
      <w:rFonts w:ascii="Times New Roman" w:hAnsi="Times New Roman"/>
      <w:kern w:val="2"/>
      <w:sz w:val="18"/>
      <w:szCs w:val="18"/>
    </w:rPr>
  </w:style>
  <w:style w:type="character" w:customStyle="1" w:styleId="22">
    <w:name w:val="正文文本 Char"/>
    <w:link w:val="5"/>
    <w:qFormat/>
    <w:locked/>
    <w:uiPriority w:val="99"/>
    <w:rPr>
      <w:rFonts w:ascii="仿宋_GB2312" w:hAnsi="Times New Roman" w:eastAsia="仿宋_GB2312"/>
      <w:sz w:val="24"/>
    </w:rPr>
  </w:style>
  <w:style w:type="character" w:customStyle="1" w:styleId="23">
    <w:name w:val="标题 1 Char"/>
    <w:basedOn w:val="14"/>
    <w:link w:val="2"/>
    <w:qFormat/>
    <w:uiPriority w:val="9"/>
    <w:rPr>
      <w:rFonts w:ascii="Times New Roman" w:hAnsi="Times New Roman"/>
      <w:b/>
      <w:bCs/>
      <w:kern w:val="44"/>
      <w:sz w:val="44"/>
      <w:szCs w:val="44"/>
    </w:rPr>
  </w:style>
  <w:style w:type="character" w:customStyle="1" w:styleId="24">
    <w:name w:val="Header Char"/>
    <w:basedOn w:val="14"/>
    <w:semiHidden/>
    <w:qFormat/>
    <w:uiPriority w:val="99"/>
    <w:rPr>
      <w:rFonts w:ascii="Times New Roman" w:hAnsi="Times New Roman"/>
      <w:sz w:val="18"/>
      <w:szCs w:val="18"/>
    </w:rPr>
  </w:style>
  <w:style w:type="character" w:customStyle="1" w:styleId="25">
    <w:name w:val="页眉 Char"/>
    <w:link w:val="9"/>
    <w:semiHidden/>
    <w:qFormat/>
    <w:locked/>
    <w:uiPriority w:val="99"/>
    <w:rPr>
      <w:sz w:val="18"/>
    </w:rPr>
  </w:style>
  <w:style w:type="character" w:customStyle="1" w:styleId="26">
    <w:name w:val="Footer Char"/>
    <w:basedOn w:val="14"/>
    <w:semiHidden/>
    <w:qFormat/>
    <w:uiPriority w:val="99"/>
    <w:rPr>
      <w:rFonts w:ascii="Times New Roman" w:hAnsi="Times New Roman"/>
      <w:sz w:val="18"/>
      <w:szCs w:val="18"/>
    </w:rPr>
  </w:style>
  <w:style w:type="character" w:customStyle="1" w:styleId="27">
    <w:name w:val="页脚 Char"/>
    <w:link w:val="8"/>
    <w:qFormat/>
    <w:locked/>
    <w:uiPriority w:val="99"/>
    <w:rPr>
      <w:sz w:val="18"/>
    </w:rPr>
  </w:style>
  <w:style w:type="character" w:customStyle="1" w:styleId="28">
    <w:name w:val="Body Text Char"/>
    <w:basedOn w:val="14"/>
    <w:semiHidden/>
    <w:qFormat/>
    <w:uiPriority w:val="99"/>
    <w:rPr>
      <w:rFonts w:ascii="Times New Roman" w:hAnsi="Times New Roman"/>
      <w:szCs w:val="24"/>
    </w:rPr>
  </w:style>
  <w:style w:type="character" w:customStyle="1" w:styleId="29">
    <w:name w:val="标题 2 Char"/>
    <w:basedOn w:val="14"/>
    <w:link w:val="3"/>
    <w:qFormat/>
    <w:uiPriority w:val="9"/>
    <w:rPr>
      <w:rFonts w:ascii="Cambria" w:hAnsi="Cambria" w:eastAsia="宋体" w:cs="Times New Roman"/>
      <w:b/>
      <w:bCs/>
      <w:kern w:val="2"/>
      <w:sz w:val="32"/>
      <w:szCs w:val="32"/>
    </w:rPr>
  </w:style>
  <w:style w:type="character" w:customStyle="1" w:styleId="30">
    <w:name w:val="标题 3 Char"/>
    <w:basedOn w:val="14"/>
    <w:link w:val="4"/>
    <w:qFormat/>
    <w:uiPriority w:val="9"/>
    <w:rPr>
      <w:rFonts w:ascii="Times New Roman" w:hAnsi="Times New Roman"/>
      <w:b/>
      <w:bCs/>
      <w:kern w:val="2"/>
      <w:sz w:val="32"/>
      <w:szCs w:val="32"/>
    </w:rPr>
  </w:style>
  <w:style w:type="character" w:customStyle="1" w:styleId="31">
    <w:name w:val="目录 2 Char"/>
    <w:link w:val="11"/>
    <w:qFormat/>
    <w:uiPriority w:val="39"/>
  </w:style>
  <w:style w:type="paragraph" w:customStyle="1" w:styleId="32">
    <w:name w:val="〖C01〗正文"/>
    <w:qFormat/>
    <w:uiPriority w:val="0"/>
    <w:pPr>
      <w:widowControl w:val="0"/>
      <w:topLinePunct/>
      <w:spacing w:line="600" w:lineRule="exact"/>
      <w:ind w:firstLine="637" w:firstLineChars="200"/>
    </w:pPr>
    <w:rPr>
      <w:rFonts w:ascii="仿宋_GB2312" w:hAnsi="Calibri" w:eastAsia="仿宋_GB2312" w:cs="Times New Roman"/>
      <w:kern w:val="2"/>
      <w:sz w:val="32"/>
      <w:szCs w:val="32"/>
      <w:lang w:val="en-US" w:eastAsia="zh-CN" w:bidi="ar-SA"/>
    </w:rPr>
  </w:style>
  <w:style w:type="paragraph" w:customStyle="1" w:styleId="33">
    <w:name w:val="〖B02〗二级标题"/>
    <w:next w:val="1"/>
    <w:qFormat/>
    <w:uiPriority w:val="0"/>
    <w:pPr>
      <w:widowControl w:val="0"/>
      <w:numPr>
        <w:ilvl w:val="0"/>
        <w:numId w:val="1"/>
      </w:numPr>
      <w:spacing w:line="600" w:lineRule="exact"/>
      <w:outlineLvl w:val="1"/>
    </w:pPr>
    <w:rPr>
      <w:rFonts w:ascii="楷体_GB2312" w:hAnsi="Calibri" w:eastAsia="楷体_GB2312" w:cs="Times New Roman"/>
      <w:kern w:val="2"/>
      <w:sz w:val="32"/>
      <w:szCs w:val="21"/>
      <w:lang w:val="zh-CN" w:eastAsia="zh-CN" w:bidi="ar-SA"/>
    </w:rPr>
  </w:style>
  <w:style w:type="paragraph" w:customStyle="1" w:styleId="34">
    <w:name w:val="WPSOffice手动目录 1"/>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Desktop\&#38468;&#20214;2&#65306;2020&#24180;&#37096;&#38376;&#20915;&#31639;&#32534;&#21046;&#35828;&#26126;&#33539;&#26412;.dot"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收、支决算总计变动情况</a:t>
            </a:r>
            <a:r>
              <a:rPr lang="en-US" altLang="zh-CN"/>
              <a:t>      </a:t>
            </a:r>
            <a:r>
              <a:rPr lang="en-US" altLang="zh-CN" sz="1050"/>
              <a:t> </a:t>
            </a:r>
            <a:r>
              <a:rPr lang="en-US" altLang="zh-CN" sz="1050" b="0"/>
              <a:t> </a:t>
            </a:r>
            <a:r>
              <a:rPr altLang="en-US" sz="900" b="0"/>
              <a:t>单位：万元</a:t>
            </a:r>
            <a:endParaRPr altLang="en-US" sz="900" b="0"/>
          </a:p>
        </c:rich>
      </c:tx>
      <c:layout>
        <c:manualLayout>
          <c:xMode val="edge"/>
          <c:yMode val="edge"/>
          <c:x val="0.2009375"/>
          <c:y val="0.02"/>
        </c:manualLayout>
      </c:layout>
      <c:overlay val="0"/>
      <c:spPr>
        <a:noFill/>
        <a:ln>
          <a:noFill/>
        </a:ln>
        <a:effectLst/>
      </c:spPr>
    </c:title>
    <c:autoTitleDeleted val="0"/>
    <c:plotArea>
      <c:layout>
        <c:manualLayout>
          <c:layoutTarget val="inner"/>
          <c:xMode val="edge"/>
          <c:yMode val="edge"/>
          <c:x val="0.0725434275343531"/>
          <c:y val="0.133427363846595"/>
          <c:w val="0.935446009389671"/>
          <c:h val="0.659485043544112"/>
        </c:manualLayout>
      </c:layout>
      <c:barChart>
        <c:barDir val="col"/>
        <c:grouping val="clustered"/>
        <c:varyColors val="0"/>
        <c:ser>
          <c:idx val="0"/>
          <c:order val="0"/>
          <c:tx>
            <c:strRef>
              <c:f>Sheet1!$A$2</c:f>
              <c:strCache>
                <c:ptCount val="1"/>
                <c:pt idx="0">
                  <c:v>收、支总计情况</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Sheet1!$B$1:$C$1</c:f>
              <c:strCache>
                <c:ptCount val="2"/>
                <c:pt idx="0">
                  <c:v>2019年</c:v>
                </c:pt>
                <c:pt idx="1">
                  <c:v>2020年</c:v>
                </c:pt>
              </c:strCache>
            </c:strRef>
          </c:cat>
          <c:val>
            <c:numRef>
              <c:f>Sheet1!$B$2:$C$2</c:f>
              <c:numCache>
                <c:formatCode>General</c:formatCode>
                <c:ptCount val="2"/>
                <c:pt idx="0">
                  <c:v>2397.39</c:v>
                </c:pt>
                <c:pt idx="1">
                  <c:v>1935.99</c:v>
                </c:pt>
              </c:numCache>
            </c:numRef>
          </c:val>
        </c:ser>
        <c:dLbls>
          <c:showLegendKey val="0"/>
          <c:showVal val="1"/>
          <c:showCatName val="0"/>
          <c:showSerName val="0"/>
          <c:showPercent val="0"/>
          <c:showBubbleSize val="0"/>
        </c:dLbls>
        <c:gapWidth val="65"/>
        <c:overlap val="0"/>
        <c:axId val="952870190"/>
        <c:axId val="62312753"/>
      </c:barChart>
      <c:catAx>
        <c:axId val="952870190"/>
        <c:scaling>
          <c:orientation val="minMax"/>
        </c:scaling>
        <c:delete val="0"/>
        <c:axPos val="b"/>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62312753"/>
        <c:crosses val="autoZero"/>
        <c:auto val="1"/>
        <c:lblAlgn val="ctr"/>
        <c:lblOffset val="100"/>
        <c:noMultiLvlLbl val="0"/>
      </c:catAx>
      <c:valAx>
        <c:axId val="62312753"/>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95287019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收入决算结构图       单位：万元</a:t>
            </a:r>
          </a:p>
        </c:rich>
      </c:tx>
      <c:layout>
        <c:manualLayout>
          <c:xMode val="edge"/>
          <c:yMode val="edge"/>
          <c:x val="0.3114375"/>
          <c:y val="0.03"/>
        </c:manualLayout>
      </c:layout>
      <c:overlay val="0"/>
      <c:spPr>
        <a:noFill/>
        <a:ln>
          <a:noFill/>
        </a:ln>
        <a:effectLst/>
      </c:spPr>
    </c:title>
    <c:autoTitleDeleted val="0"/>
    <c:plotArea>
      <c:layout>
        <c:manualLayout>
          <c:layoutTarget val="inner"/>
          <c:xMode val="edge"/>
          <c:yMode val="edge"/>
          <c:x val="0.283407208333333"/>
          <c:y val="0.21523"/>
          <c:w val="0.48103"/>
          <c:h val="0.641373333333333"/>
        </c:manualLayout>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0.01</a:t>
                    </a:r>
                    <a:r>
                      <a:t>%</a:t>
                    </a:r>
                  </a:p>
                </c:rich>
              </c:tx>
              <c:dLblPos val="ctr"/>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99.99</a:t>
                    </a:r>
                    <a:r>
                      <a:t>%</a:t>
                    </a:r>
                  </a:p>
                </c:rich>
              </c:tx>
              <c:dLblPos val="ctr"/>
              <c:showLegendKey val="0"/>
              <c:showVal val="1"/>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99.99</a:t>
                    </a:r>
                    <a:r>
                      <a:t>%</a:t>
                    </a:r>
                  </a:p>
                </c:rich>
              </c:tx>
              <c:dLblPos val="ctr"/>
              <c:showLegendKey val="0"/>
              <c:showVal val="1"/>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一般公共预算财政拨款收入</c:v>
                </c:pt>
                <c:pt idx="1">
                  <c:v>其他收入</c:v>
                </c:pt>
              </c:strCache>
            </c:strRef>
          </c:cat>
          <c:val>
            <c:numRef>
              <c:f>Sheet1!$B$2:$B$4</c:f>
              <c:numCache>
                <c:formatCode>General</c:formatCode>
                <c:ptCount val="3"/>
                <c:pt idx="0">
                  <c:v>1935.97</c:v>
                </c:pt>
                <c:pt idx="1">
                  <c:v>0.02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2200" b="1">
                <a:latin typeface="宋体" panose="02010600030101010101" charset="-122"/>
                <a:ea typeface="宋体" panose="02010600030101010101" charset="-122"/>
              </a:rPr>
              <a:t>支出决算结构图</a:t>
            </a:r>
            <a:r>
              <a:rPr lang="en-US" altLang="zh-CN"/>
              <a:t>       </a:t>
            </a:r>
            <a:r>
              <a:rPr altLang="en-US" sz="900"/>
              <a:t>单位：万元</a:t>
            </a:r>
            <a:endParaRPr altLang="en-US" sz="900"/>
          </a:p>
        </c:rich>
      </c:tx>
      <c:layout>
        <c:manualLayout>
          <c:xMode val="edge"/>
          <c:yMode val="edge"/>
          <c:x val="0.3114375"/>
          <c:y val="0.03"/>
        </c:manualLayout>
      </c:layout>
      <c:overlay val="0"/>
      <c:spPr>
        <a:noFill/>
        <a:ln>
          <a:noFill/>
        </a:ln>
        <a:effectLst/>
      </c:spPr>
    </c:title>
    <c:autoTitleDeleted val="0"/>
    <c:plotArea>
      <c:layout>
        <c:manualLayout>
          <c:layoutTarget val="inner"/>
          <c:xMode val="edge"/>
          <c:yMode val="edge"/>
          <c:x val="0.25761"/>
          <c:y val="0.21523"/>
          <c:w val="0.48103"/>
          <c:h val="0.641373333333333"/>
        </c:manualLayout>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554.05</c:v>
                </c:pt>
                <c:pt idx="1">
                  <c:v>1379.8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altLang="en-US" sz="1600"/>
              <a:t>财政拨款收入支出决算总体情况</a:t>
            </a:r>
            <a:r>
              <a:rPr lang="en-US" altLang="zh-CN"/>
              <a:t>    </a:t>
            </a:r>
            <a:r>
              <a:rPr lang="en-US" altLang="zh-CN" sz="1050"/>
              <a:t> </a:t>
            </a:r>
            <a:r>
              <a:rPr lang="en-US" altLang="zh-CN" sz="1050" b="0"/>
              <a:t> </a:t>
            </a:r>
            <a:r>
              <a:rPr altLang="en-US" sz="900" b="0"/>
              <a:t>单位：万元</a:t>
            </a:r>
            <a:endParaRPr altLang="en-US" sz="900" b="0"/>
          </a:p>
        </c:rich>
      </c:tx>
      <c:layout>
        <c:manualLayout>
          <c:xMode val="edge"/>
          <c:yMode val="edge"/>
          <c:x val="0.112397183691989"/>
          <c:y val="0.0492879691336373"/>
        </c:manualLayout>
      </c:layout>
      <c:overlay val="0"/>
      <c:spPr>
        <a:noFill/>
        <a:ln>
          <a:noFill/>
        </a:ln>
        <a:effectLst/>
      </c:spPr>
    </c:title>
    <c:autoTitleDeleted val="0"/>
    <c:plotArea>
      <c:layout>
        <c:manualLayout>
          <c:layoutTarget val="inner"/>
          <c:xMode val="edge"/>
          <c:yMode val="edge"/>
          <c:x val="0.0856365050557428"/>
          <c:y val="0.246177470332161"/>
          <c:w val="0.893881254861291"/>
          <c:h val="0.577571312143439"/>
        </c:manualLayout>
      </c:layout>
      <c:barChart>
        <c:barDir val="col"/>
        <c:grouping val="clustered"/>
        <c:varyColors val="0"/>
        <c:ser>
          <c:idx val="0"/>
          <c:order val="0"/>
          <c:tx>
            <c:strRef>
              <c:f>Sheet1!$A$2</c:f>
              <c:strCache>
                <c:ptCount val="1"/>
                <c:pt idx="0">
                  <c:v>财政拨款收、支总计情况</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Sheet1!$B$1:$C$1</c:f>
              <c:strCache>
                <c:ptCount val="2"/>
                <c:pt idx="0">
                  <c:v>2019年</c:v>
                </c:pt>
                <c:pt idx="1">
                  <c:v>2020年</c:v>
                </c:pt>
              </c:strCache>
            </c:strRef>
          </c:cat>
          <c:val>
            <c:numRef>
              <c:f>Sheet1!$B$2:$C$2</c:f>
              <c:numCache>
                <c:formatCode>General</c:formatCode>
                <c:ptCount val="2"/>
                <c:pt idx="0">
                  <c:v>2409.39</c:v>
                </c:pt>
                <c:pt idx="1">
                  <c:v>1933.85</c:v>
                </c:pt>
              </c:numCache>
            </c:numRef>
          </c:val>
        </c:ser>
        <c:dLbls>
          <c:showLegendKey val="0"/>
          <c:showVal val="1"/>
          <c:showCatName val="0"/>
          <c:showSerName val="0"/>
          <c:showPercent val="0"/>
          <c:showBubbleSize val="0"/>
        </c:dLbls>
        <c:gapWidth val="65"/>
        <c:overlap val="0"/>
        <c:axId val="952870190"/>
        <c:axId val="62312753"/>
      </c:barChart>
      <c:catAx>
        <c:axId val="952870190"/>
        <c:scaling>
          <c:orientation val="minMax"/>
        </c:scaling>
        <c:delete val="0"/>
        <c:axPos val="b"/>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62312753"/>
        <c:crosses val="autoZero"/>
        <c:auto val="1"/>
        <c:lblAlgn val="ctr"/>
        <c:lblOffset val="100"/>
        <c:noMultiLvlLbl val="0"/>
      </c:catAx>
      <c:valAx>
        <c:axId val="62312753"/>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95287019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altLang="en-US" sz="1500"/>
              <a:t>一般公共预算财政拨款支出决算变动情况</a:t>
            </a:r>
            <a:r>
              <a:rPr lang="en-US" altLang="zh-CN" sz="1500"/>
              <a:t>         </a:t>
            </a:r>
            <a:r>
              <a:rPr lang="en-US" altLang="zh-CN" sz="1050" b="0"/>
              <a:t>           </a:t>
            </a:r>
            <a:r>
              <a:rPr altLang="en-US" sz="900" b="0"/>
              <a:t>单位：万元</a:t>
            </a:r>
            <a:endParaRPr altLang="en-US" sz="900" b="0"/>
          </a:p>
        </c:rich>
      </c:tx>
      <c:layout>
        <c:manualLayout>
          <c:xMode val="edge"/>
          <c:yMode val="edge"/>
          <c:x val="0.185381368291418"/>
          <c:y val="0.00947737635917222"/>
        </c:manualLayout>
      </c:layout>
      <c:overlay val="0"/>
      <c:spPr>
        <a:noFill/>
        <a:ln>
          <a:noFill/>
        </a:ln>
        <a:effectLst/>
      </c:spPr>
    </c:title>
    <c:autoTitleDeleted val="0"/>
    <c:plotArea>
      <c:layout>
        <c:manualLayout>
          <c:layoutTarget val="inner"/>
          <c:xMode val="edge"/>
          <c:yMode val="edge"/>
          <c:x val="0.0442702722688217"/>
          <c:y val="0.13042315875004"/>
          <c:w val="0.935446009389671"/>
          <c:h val="0.659485043544112"/>
        </c:manualLayout>
      </c:layout>
      <c:barChart>
        <c:barDir val="col"/>
        <c:grouping val="clustered"/>
        <c:varyColors val="0"/>
        <c:ser>
          <c:idx val="0"/>
          <c:order val="0"/>
          <c:tx>
            <c:strRef>
              <c:f>Sheet1!$A$2</c:f>
              <c:strCache>
                <c:ptCount val="1"/>
                <c:pt idx="0">
                  <c:v>2019年</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Sheet1!$B$1</c:f>
              <c:strCache>
                <c:ptCount val="1"/>
                <c:pt idx="0">
                  <c:v>一般公共预算财政拨款支出</c:v>
                </c:pt>
              </c:strCache>
            </c:strRef>
          </c:cat>
          <c:val>
            <c:numRef>
              <c:f>Sheet1!$B$2</c:f>
              <c:numCache>
                <c:formatCode>General</c:formatCode>
                <c:ptCount val="1"/>
                <c:pt idx="0">
                  <c:v>2409.39</c:v>
                </c:pt>
              </c:numCache>
            </c:numRef>
          </c:val>
        </c:ser>
        <c:ser>
          <c:idx val="1"/>
          <c:order val="1"/>
          <c:tx>
            <c:strRef>
              <c:f>Sheet1!$A$3</c:f>
              <c:strCache>
                <c:ptCount val="1"/>
                <c:pt idx="0">
                  <c:v>2020年</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Sheet1!$B$1</c:f>
              <c:strCache>
                <c:ptCount val="1"/>
                <c:pt idx="0">
                  <c:v>一般公共预算财政拨款支出</c:v>
                </c:pt>
              </c:strCache>
            </c:strRef>
          </c:cat>
          <c:val>
            <c:numRef>
              <c:f>Sheet1!$B$3</c:f>
              <c:numCache>
                <c:formatCode>General</c:formatCode>
                <c:ptCount val="1"/>
                <c:pt idx="0">
                  <c:v>193.85</c:v>
                </c:pt>
              </c:numCache>
            </c:numRef>
          </c:val>
        </c:ser>
        <c:ser>
          <c:idx val="2"/>
          <c:order val="2"/>
          <c:tx>
            <c:strRef>
              <c:f>Sheet1!$A$4</c:f>
              <c:strCache>
                <c:ptCount val="1"/>
                <c:pt idx="0">
                  <c:v>单位：万元</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Sheet1!$B$1</c:f>
              <c:strCache>
                <c:ptCount val="1"/>
                <c:pt idx="0">
                  <c:v>一般公共预算财政拨款支出</c:v>
                </c:pt>
              </c:strCache>
            </c:strRef>
          </c:cat>
          <c:val>
            <c:numRef>
              <c:f>Sheet1!$B$4</c:f>
              <c:numCache>
                <c:formatCode>General</c:formatCode>
                <c:ptCount val="1"/>
              </c:numCache>
            </c:numRef>
          </c:val>
        </c:ser>
        <c:dLbls>
          <c:showLegendKey val="0"/>
          <c:showVal val="1"/>
          <c:showCatName val="0"/>
          <c:showSerName val="0"/>
          <c:showPercent val="0"/>
          <c:showBubbleSize val="0"/>
        </c:dLbls>
        <c:gapWidth val="65"/>
        <c:overlap val="0"/>
        <c:axId val="952870190"/>
        <c:axId val="62312753"/>
      </c:barChart>
      <c:catAx>
        <c:axId val="952870190"/>
        <c:scaling>
          <c:orientation val="minMax"/>
        </c:scaling>
        <c:delete val="0"/>
        <c:axPos val="b"/>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62312753"/>
        <c:crosses val="autoZero"/>
        <c:auto val="1"/>
        <c:lblAlgn val="ctr"/>
        <c:lblOffset val="100"/>
        <c:noMultiLvlLbl val="0"/>
      </c:catAx>
      <c:valAx>
        <c:axId val="62312753"/>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952870190"/>
        <c:crosses val="autoZero"/>
        <c:crossBetween val="between"/>
      </c:valAx>
      <c:spPr>
        <a:noFill/>
        <a:ln>
          <a:noFill/>
        </a:ln>
        <a:effectLst/>
      </c:spPr>
    </c:plotArea>
    <c:legend>
      <c:legendPos val="b"/>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b="1"/>
              <a:t>一般公共预算财政拨款支出决算机构</a:t>
            </a:r>
            <a:r>
              <a:rPr lang="en-US" altLang="zh-CN"/>
              <a:t>       </a:t>
            </a:r>
            <a:r>
              <a:rPr altLang="en-US" sz="900"/>
              <a:t>单位：万元</a:t>
            </a:r>
            <a:endParaRPr altLang="en-US" sz="900"/>
          </a:p>
        </c:rich>
      </c:tx>
      <c:layout>
        <c:manualLayout>
          <c:xMode val="edge"/>
          <c:yMode val="edge"/>
          <c:x val="0.1651875"/>
          <c:y val="0.0325"/>
        </c:manualLayout>
      </c:layout>
      <c:overlay val="0"/>
      <c:spPr>
        <a:noFill/>
        <a:ln>
          <a:noFill/>
        </a:ln>
        <a:effectLst/>
      </c:spPr>
    </c:title>
    <c:autoTitleDeleted val="0"/>
    <c:plotArea>
      <c:layout>
        <c:manualLayout>
          <c:layoutTarget val="inner"/>
          <c:xMode val="edge"/>
          <c:yMode val="edge"/>
          <c:x val="0.25761"/>
          <c:y val="0.21523"/>
          <c:w val="0.48103"/>
          <c:h val="0.641373333333333"/>
        </c:manualLayout>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233680812467721"/>
                  <c:y val="-0.0838888007482425"/>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863705793254728"/>
                  <c:y val="0.063419741744717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135144214996644"/>
                  <c:y val="-0.0365350159564947"/>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984670368101539"/>
                  <c:y val="0.0138708051268619"/>
                </c:manualLayout>
              </c:layout>
              <c:dLblPos val="bestFit"/>
              <c:showLegendKey val="0"/>
              <c:showVal val="1"/>
              <c:showCatName val="0"/>
              <c:showSerName val="0"/>
              <c:showPercent val="1"/>
              <c:showBubbleSize val="0"/>
              <c:extLst>
                <c:ext xmlns:c15="http://schemas.microsoft.com/office/drawing/2012/chart" uri="{CE6537A1-D6FC-4f65-9D91-7224C49458BB}">
                  <c15:layout>
                    <c:manualLayout>
                      <c:w val="0.202"/>
                      <c:h val="0.0611666666666667"/>
                    </c:manualLayout>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pt idx="3">
                  <c:v>农林水支出</c:v>
                </c:pt>
              </c:strCache>
            </c:strRef>
          </c:cat>
          <c:val>
            <c:numRef>
              <c:f>Sheet1!$B$2:$B$5</c:f>
              <c:numCache>
                <c:formatCode>General</c:formatCode>
                <c:ptCount val="4"/>
                <c:pt idx="0">
                  <c:v>1807.86</c:v>
                </c:pt>
                <c:pt idx="1">
                  <c:v>11.38</c:v>
                </c:pt>
                <c:pt idx="2">
                  <c:v>31.74</c:v>
                </c:pt>
                <c:pt idx="3">
                  <c:v>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17875"/>
          <c:y val="0.922"/>
          <c:w val="0.686375"/>
          <c:h val="0.055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fe32c25-eda0-4717-aac9-ff0edc3d791b}"/>
        <w:style w:val=""/>
        <w:category>
          <w:name w:val="常规"/>
          <w:gallery w:val="placeholder"/>
        </w:category>
        <w:types>
          <w:type w:val="bbPlcHdr"/>
        </w:types>
        <w:behaviors>
          <w:behavior w:val="content"/>
        </w:behaviors>
        <w:description w:val=""/>
        <w:guid w:val="{0fe32c25-eda0-4717-aac9-ff0edc3d791b}"/>
      </w:docPartPr>
      <w:docPartBody>
        <w:p>
          <w:r>
            <w:rPr>
              <w:color w:val="808080"/>
            </w:rPr>
            <w:t>单击此处输入文字。</w:t>
          </w:r>
        </w:p>
      </w:docPartBody>
    </w:docPart>
    <w:docPart>
      <w:docPartPr>
        <w:name w:val="{56d5ff74-f4df-4a00-90da-cc8aa9c1c24c}"/>
        <w:style w:val=""/>
        <w:category>
          <w:name w:val="常规"/>
          <w:gallery w:val="placeholder"/>
        </w:category>
        <w:types>
          <w:type w:val="bbPlcHdr"/>
        </w:types>
        <w:behaviors>
          <w:behavior w:val="content"/>
        </w:behaviors>
        <w:description w:val=""/>
        <w:guid w:val="{56d5ff74-f4df-4a00-90da-cc8aa9c1c24c}"/>
      </w:docPartPr>
      <w:docPartBody>
        <w:p>
          <w:r>
            <w:rPr>
              <w:color w:val="808080"/>
            </w:rPr>
            <w:t>单击此处输入文字。</w:t>
          </w:r>
        </w:p>
      </w:docPartBody>
    </w:docPart>
    <w:docPart>
      <w:docPartPr>
        <w:name w:val="{61b66f2b-3762-4f4c-97d2-7d4cc80991fb}"/>
        <w:style w:val=""/>
        <w:category>
          <w:name w:val="常规"/>
          <w:gallery w:val="placeholder"/>
        </w:category>
        <w:types>
          <w:type w:val="bbPlcHdr"/>
        </w:types>
        <w:behaviors>
          <w:behavior w:val="content"/>
        </w:behaviors>
        <w:description w:val=""/>
        <w:guid w:val="{61b66f2b-3762-4f4c-97d2-7d4cc80991fb}"/>
      </w:docPartPr>
      <w:docPartBody>
        <w:p>
          <w:r>
            <w:rPr>
              <w:color w:val="808080"/>
            </w:rPr>
            <w:t>单击此处输入文字。</w:t>
          </w:r>
        </w:p>
      </w:docPartBody>
    </w:docPart>
    <w:docPart>
      <w:docPartPr>
        <w:name w:val="{370577fd-b505-4750-931f-e61708bc447d}"/>
        <w:style w:val=""/>
        <w:category>
          <w:name w:val="常规"/>
          <w:gallery w:val="placeholder"/>
        </w:category>
        <w:types>
          <w:type w:val="bbPlcHdr"/>
        </w:types>
        <w:behaviors>
          <w:behavior w:val="content"/>
        </w:behaviors>
        <w:description w:val=""/>
        <w:guid w:val="{370577fd-b505-4750-931f-e61708bc447d}"/>
      </w:docPartPr>
      <w:docPartBody>
        <w:p>
          <w:r>
            <w:rPr>
              <w:color w:val="808080"/>
            </w:rPr>
            <w:t>单击此处输入文字。</w:t>
          </w:r>
        </w:p>
      </w:docPartBody>
    </w:docPart>
    <w:docPart>
      <w:docPartPr>
        <w:name w:val="{782e88cc-a410-4215-8c7f-e12e15f4ccdb}"/>
        <w:style w:val=""/>
        <w:category>
          <w:name w:val="常规"/>
          <w:gallery w:val="placeholder"/>
        </w:category>
        <w:types>
          <w:type w:val="bbPlcHdr"/>
        </w:types>
        <w:behaviors>
          <w:behavior w:val="content"/>
        </w:behaviors>
        <w:description w:val=""/>
        <w:guid w:val="{782e88cc-a410-4215-8c7f-e12e15f4ccdb}"/>
      </w:docPartPr>
      <w:docPartBody>
        <w:p>
          <w:r>
            <w:rPr>
              <w:color w:val="808080"/>
            </w:rPr>
            <w:t>单击此处输入文字。</w:t>
          </w:r>
        </w:p>
      </w:docPartBody>
    </w:docPart>
    <w:docPart>
      <w:docPartPr>
        <w:name w:val="{e81aff8e-7cd1-4bea-b838-a81022650b7c}"/>
        <w:style w:val=""/>
        <w:category>
          <w:name w:val="常规"/>
          <w:gallery w:val="placeholder"/>
        </w:category>
        <w:types>
          <w:type w:val="bbPlcHdr"/>
        </w:types>
        <w:behaviors>
          <w:behavior w:val="content"/>
        </w:behaviors>
        <w:description w:val=""/>
        <w:guid w:val="{e81aff8e-7cd1-4bea-b838-a81022650b7c}"/>
      </w:docPartPr>
      <w:docPartBody>
        <w:p>
          <w:r>
            <w:rPr>
              <w:color w:val="808080"/>
            </w:rPr>
            <w:t>单击此处输入文字。</w:t>
          </w:r>
        </w:p>
      </w:docPartBody>
    </w:docPart>
    <w:docPart>
      <w:docPartPr>
        <w:name w:val="{8a54d676-7f1f-4b9d-9ddf-f96ab48320a2}"/>
        <w:style w:val=""/>
        <w:category>
          <w:name w:val="常规"/>
          <w:gallery w:val="placeholder"/>
        </w:category>
        <w:types>
          <w:type w:val="bbPlcHdr"/>
        </w:types>
        <w:behaviors>
          <w:behavior w:val="content"/>
        </w:behaviors>
        <w:description w:val=""/>
        <w:guid w:val="{8a54d676-7f1f-4b9d-9ddf-f96ab48320a2}"/>
      </w:docPartPr>
      <w:docPartBody>
        <w:p>
          <w:r>
            <w:rPr>
              <w:color w:val="808080"/>
            </w:rPr>
            <w:t>单击此处输入文字。</w:t>
          </w:r>
        </w:p>
      </w:docPartBody>
    </w:docPart>
    <w:docPart>
      <w:docPartPr>
        <w:name w:val="{ff38c639-3b6a-4dc5-9b61-9df67b8be157}"/>
        <w:style w:val=""/>
        <w:category>
          <w:name w:val="常规"/>
          <w:gallery w:val="placeholder"/>
        </w:category>
        <w:types>
          <w:type w:val="bbPlcHdr"/>
        </w:types>
        <w:behaviors>
          <w:behavior w:val="content"/>
        </w:behaviors>
        <w:description w:val=""/>
        <w:guid w:val="{ff38c639-3b6a-4dc5-9b61-9df67b8be157}"/>
      </w:docPartPr>
      <w:docPartBody>
        <w:p>
          <w:r>
            <w:rPr>
              <w:color w:val="808080"/>
            </w:rPr>
            <w:t>单击此处输入文字。</w:t>
          </w:r>
        </w:p>
      </w:docPartBody>
    </w:docPart>
    <w:docPart>
      <w:docPartPr>
        <w:name w:val="{5bb5d573-98e4-42ef-a0e9-c5298c16ab85}"/>
        <w:style w:val=""/>
        <w:category>
          <w:name w:val="常规"/>
          <w:gallery w:val="placeholder"/>
        </w:category>
        <w:types>
          <w:type w:val="bbPlcHdr"/>
        </w:types>
        <w:behaviors>
          <w:behavior w:val="content"/>
        </w:behaviors>
        <w:description w:val=""/>
        <w:guid w:val="{5bb5d573-98e4-42ef-a0e9-c5298c16ab85}"/>
      </w:docPartPr>
      <w:docPartBody>
        <w:p>
          <w:r>
            <w:rPr>
              <w:color w:val="808080"/>
            </w:rPr>
            <w:t>单击此处输入文字。</w:t>
          </w:r>
        </w:p>
      </w:docPartBody>
    </w:docPart>
    <w:docPart>
      <w:docPartPr>
        <w:name w:val="{23210cab-24de-455f-a841-e7b8328c456c}"/>
        <w:style w:val=""/>
        <w:category>
          <w:name w:val="常规"/>
          <w:gallery w:val="placeholder"/>
        </w:category>
        <w:types>
          <w:type w:val="bbPlcHdr"/>
        </w:types>
        <w:behaviors>
          <w:behavior w:val="content"/>
        </w:behaviors>
        <w:description w:val=""/>
        <w:guid w:val="{23210cab-24de-455f-a841-e7b8328c456c}"/>
      </w:docPartPr>
      <w:docPartBody>
        <w:p>
          <w:r>
            <w:rPr>
              <w:color w:val="808080"/>
            </w:rPr>
            <w:t>单击此处输入文字。</w:t>
          </w:r>
        </w:p>
      </w:docPartBody>
    </w:docPart>
    <w:docPart>
      <w:docPartPr>
        <w:name w:val="{4de432b4-30df-4fe0-a6d5-94831222bdc5}"/>
        <w:style w:val=""/>
        <w:category>
          <w:name w:val="常规"/>
          <w:gallery w:val="placeholder"/>
        </w:category>
        <w:types>
          <w:type w:val="bbPlcHdr"/>
        </w:types>
        <w:behaviors>
          <w:behavior w:val="content"/>
        </w:behaviors>
        <w:description w:val=""/>
        <w:guid w:val="{4de432b4-30df-4fe0-a6d5-94831222bdc5}"/>
      </w:docPartPr>
      <w:docPartBody>
        <w:p>
          <w:r>
            <w:rPr>
              <w:color w:val="808080"/>
            </w:rPr>
            <w:t>单击此处输入文字。</w:t>
          </w:r>
        </w:p>
      </w:docPartBody>
    </w:docPart>
    <w:docPart>
      <w:docPartPr>
        <w:name w:val="{64831609-372f-4ce1-945c-3aba334f00c8}"/>
        <w:style w:val=""/>
        <w:category>
          <w:name w:val="常规"/>
          <w:gallery w:val="placeholder"/>
        </w:category>
        <w:types>
          <w:type w:val="bbPlcHdr"/>
        </w:types>
        <w:behaviors>
          <w:behavior w:val="content"/>
        </w:behaviors>
        <w:description w:val=""/>
        <w:guid w:val="{64831609-372f-4ce1-945c-3aba334f00c8}"/>
      </w:docPartPr>
      <w:docPartBody>
        <w:p>
          <w:r>
            <w:rPr>
              <w:color w:val="808080"/>
            </w:rPr>
            <w:t>单击此处输入文字。</w:t>
          </w:r>
        </w:p>
      </w:docPartBody>
    </w:docPart>
    <w:docPart>
      <w:docPartPr>
        <w:name w:val="{c8e91b54-069c-4e7b-8cd3-6ff06b31da88}"/>
        <w:style w:val=""/>
        <w:category>
          <w:name w:val="常规"/>
          <w:gallery w:val="placeholder"/>
        </w:category>
        <w:types>
          <w:type w:val="bbPlcHdr"/>
        </w:types>
        <w:behaviors>
          <w:behavior w:val="content"/>
        </w:behaviors>
        <w:description w:val=""/>
        <w:guid w:val="{c8e91b54-069c-4e7b-8cd3-6ff06b31da88}"/>
      </w:docPartPr>
      <w:docPartBody>
        <w:p>
          <w:r>
            <w:rPr>
              <w:color w:val="808080"/>
            </w:rPr>
            <w:t>单击此处输入文字。</w:t>
          </w:r>
        </w:p>
      </w:docPartBody>
    </w:docPart>
    <w:docPart>
      <w:docPartPr>
        <w:name w:val="{c382775c-57e4-4792-9fe8-36c3d4eb7cb8}"/>
        <w:style w:val=""/>
        <w:category>
          <w:name w:val="常规"/>
          <w:gallery w:val="placeholder"/>
        </w:category>
        <w:types>
          <w:type w:val="bbPlcHdr"/>
        </w:types>
        <w:behaviors>
          <w:behavior w:val="content"/>
        </w:behaviors>
        <w:description w:val=""/>
        <w:guid w:val="{c382775c-57e4-4792-9fe8-36c3d4eb7cb8}"/>
      </w:docPartPr>
      <w:docPartBody>
        <w:p>
          <w:r>
            <w:rPr>
              <w:color w:val="808080"/>
            </w:rPr>
            <w:t>单击此处输入文字。</w:t>
          </w:r>
        </w:p>
      </w:docPartBody>
    </w:docPart>
    <w:docPart>
      <w:docPartPr>
        <w:name w:val="{c2551df8-3142-41e2-907a-8abaa6e2ac58}"/>
        <w:style w:val=""/>
        <w:category>
          <w:name w:val="常规"/>
          <w:gallery w:val="placeholder"/>
        </w:category>
        <w:types>
          <w:type w:val="bbPlcHdr"/>
        </w:types>
        <w:behaviors>
          <w:behavior w:val="content"/>
        </w:behaviors>
        <w:description w:val=""/>
        <w:guid w:val="{c2551df8-3142-41e2-907a-8abaa6e2ac58}"/>
      </w:docPartPr>
      <w:docPartBody>
        <w:p>
          <w:r>
            <w:rPr>
              <w:color w:val="808080"/>
            </w:rPr>
            <w:t>单击此处输入文字。</w:t>
          </w:r>
        </w:p>
      </w:docPartBody>
    </w:docPart>
    <w:docPart>
      <w:docPartPr>
        <w:name w:val="{835d966d-9e50-4488-a54e-cb134640bbaf}"/>
        <w:style w:val=""/>
        <w:category>
          <w:name w:val="常规"/>
          <w:gallery w:val="placeholder"/>
        </w:category>
        <w:types>
          <w:type w:val="bbPlcHdr"/>
        </w:types>
        <w:behaviors>
          <w:behavior w:val="content"/>
        </w:behaviors>
        <w:description w:val=""/>
        <w:guid w:val="{835d966d-9e50-4488-a54e-cb134640bbaf}"/>
      </w:docPartPr>
      <w:docPartBody>
        <w:p>
          <w:r>
            <w:rPr>
              <w:color w:val="808080"/>
            </w:rPr>
            <w:t>单击此处输入文字。</w:t>
          </w:r>
        </w:p>
      </w:docPartBody>
    </w:docPart>
    <w:docPart>
      <w:docPartPr>
        <w:name w:val="{480f6fc0-23fc-49e4-b9bf-f56043e6dd3e}"/>
        <w:style w:val=""/>
        <w:category>
          <w:name w:val="常规"/>
          <w:gallery w:val="placeholder"/>
        </w:category>
        <w:types>
          <w:type w:val="bbPlcHdr"/>
        </w:types>
        <w:behaviors>
          <w:behavior w:val="content"/>
        </w:behaviors>
        <w:description w:val=""/>
        <w:guid w:val="{480f6fc0-23fc-49e4-b9bf-f56043e6dd3e}"/>
      </w:docPartPr>
      <w:docPartBody>
        <w:p>
          <w:r>
            <w:rPr>
              <w:color w:val="808080"/>
            </w:rPr>
            <w:t>单击此处输入文字。</w:t>
          </w:r>
        </w:p>
      </w:docPartBody>
    </w:docPart>
    <w:docPart>
      <w:docPartPr>
        <w:name w:val="{a14dc704-31ab-4aea-bc74-d3bc65896b6e}"/>
        <w:style w:val=""/>
        <w:category>
          <w:name w:val="常规"/>
          <w:gallery w:val="placeholder"/>
        </w:category>
        <w:types>
          <w:type w:val="bbPlcHdr"/>
        </w:types>
        <w:behaviors>
          <w:behavior w:val="content"/>
        </w:behaviors>
        <w:description w:val=""/>
        <w:guid w:val="{a14dc704-31ab-4aea-bc74-d3bc65896b6e}"/>
      </w:docPartPr>
      <w:docPartBody>
        <w:p>
          <w:r>
            <w:rPr>
              <w:color w:val="808080"/>
            </w:rPr>
            <w:t>单击此处输入文字。</w:t>
          </w:r>
        </w:p>
      </w:docPartBody>
    </w:docPart>
    <w:docPart>
      <w:docPartPr>
        <w:name w:val="{3273767a-9321-4a88-8a7a-984396646678}"/>
        <w:style w:val=""/>
        <w:category>
          <w:name w:val="常规"/>
          <w:gallery w:val="placeholder"/>
        </w:category>
        <w:types>
          <w:type w:val="bbPlcHdr"/>
        </w:types>
        <w:behaviors>
          <w:behavior w:val="content"/>
        </w:behaviors>
        <w:description w:val=""/>
        <w:guid w:val="{3273767a-9321-4a88-8a7a-984396646678}"/>
      </w:docPartPr>
      <w:docPartBody>
        <w:p>
          <w:r>
            <w:rPr>
              <w:color w:val="808080"/>
            </w:rPr>
            <w:t>单击此处输入文字。</w:t>
          </w:r>
        </w:p>
      </w:docPartBody>
    </w:docPart>
    <w:docPart>
      <w:docPartPr>
        <w:name w:val="{6fe66098-47a5-46a7-a38f-ec07f5a41ecb}"/>
        <w:style w:val=""/>
        <w:category>
          <w:name w:val="常规"/>
          <w:gallery w:val="placeholder"/>
        </w:category>
        <w:types>
          <w:type w:val="bbPlcHdr"/>
        </w:types>
        <w:behaviors>
          <w:behavior w:val="content"/>
        </w:behaviors>
        <w:description w:val=""/>
        <w:guid w:val="{6fe66098-47a5-46a7-a38f-ec07f5a41ecb}"/>
      </w:docPartPr>
      <w:docPartBody>
        <w:p>
          <w:r>
            <w:rPr>
              <w:color w:val="808080"/>
            </w:rPr>
            <w:t>单击此处输入文字。</w:t>
          </w:r>
        </w:p>
      </w:docPartBody>
    </w:docPart>
    <w:docPart>
      <w:docPartPr>
        <w:name w:val="{07c97f17-ae13-47ad-bee8-4a842dd6fe37}"/>
        <w:style w:val=""/>
        <w:category>
          <w:name w:val="常规"/>
          <w:gallery w:val="placeholder"/>
        </w:category>
        <w:types>
          <w:type w:val="bbPlcHdr"/>
        </w:types>
        <w:behaviors>
          <w:behavior w:val="content"/>
        </w:behaviors>
        <w:description w:val=""/>
        <w:guid w:val="{07c97f17-ae13-47ad-bee8-4a842dd6fe37}"/>
      </w:docPartPr>
      <w:docPartBody>
        <w:p>
          <w:r>
            <w:rPr>
              <w:color w:val="808080"/>
            </w:rPr>
            <w:t>单击此处输入文字。</w:t>
          </w:r>
        </w:p>
      </w:docPartBody>
    </w:docPart>
    <w:docPart>
      <w:docPartPr>
        <w:name w:val="{69fa9f4d-f36c-4dc4-ab33-e1b2f436b6d8}"/>
        <w:style w:val=""/>
        <w:category>
          <w:name w:val="常规"/>
          <w:gallery w:val="placeholder"/>
        </w:category>
        <w:types>
          <w:type w:val="bbPlcHdr"/>
        </w:types>
        <w:behaviors>
          <w:behavior w:val="content"/>
        </w:behaviors>
        <w:description w:val=""/>
        <w:guid w:val="{69fa9f4d-f36c-4dc4-ab33-e1b2f436b6d8}"/>
      </w:docPartPr>
      <w:docPartBody>
        <w:p>
          <w:r>
            <w:rPr>
              <w:color w:val="808080"/>
            </w:rPr>
            <w:t>单击此处输入文字。</w:t>
          </w:r>
        </w:p>
      </w:docPartBody>
    </w:docPart>
    <w:docPart>
      <w:docPartPr>
        <w:name w:val="{c5a4ea38-1d60-4f12-a2ad-1a27a932b3e3}"/>
        <w:style w:val=""/>
        <w:category>
          <w:name w:val="常规"/>
          <w:gallery w:val="placeholder"/>
        </w:category>
        <w:types>
          <w:type w:val="bbPlcHdr"/>
        </w:types>
        <w:behaviors>
          <w:behavior w:val="content"/>
        </w:behaviors>
        <w:description w:val=""/>
        <w:guid w:val="{c5a4ea38-1d60-4f12-a2ad-1a27a932b3e3}"/>
      </w:docPartPr>
      <w:docPartBody>
        <w:p>
          <w:r>
            <w:rPr>
              <w:color w:val="808080"/>
            </w:rPr>
            <w:t>单击此处输入文字。</w:t>
          </w:r>
        </w:p>
      </w:docPartBody>
    </w:docPart>
    <w:docPart>
      <w:docPartPr>
        <w:name w:val="{09e97e12-7a26-4395-9eda-cdd4f3af9de8}"/>
        <w:style w:val=""/>
        <w:category>
          <w:name w:val="常规"/>
          <w:gallery w:val="placeholder"/>
        </w:category>
        <w:types>
          <w:type w:val="bbPlcHdr"/>
        </w:types>
        <w:behaviors>
          <w:behavior w:val="content"/>
        </w:behaviors>
        <w:description w:val=""/>
        <w:guid w:val="{09e97e12-7a26-4395-9eda-cdd4f3af9de8}"/>
      </w:docPartPr>
      <w:docPartBody>
        <w:p>
          <w:r>
            <w:rPr>
              <w:color w:val="808080"/>
            </w:rPr>
            <w:t>单击此处输入文字。</w:t>
          </w:r>
        </w:p>
      </w:docPartBody>
    </w:docPart>
    <w:docPart>
      <w:docPartPr>
        <w:name w:val="{4393961f-e0fb-4fd1-adf5-6dbca308f99f}"/>
        <w:style w:val=""/>
        <w:category>
          <w:name w:val="常规"/>
          <w:gallery w:val="placeholder"/>
        </w:category>
        <w:types>
          <w:type w:val="bbPlcHdr"/>
        </w:types>
        <w:behaviors>
          <w:behavior w:val="content"/>
        </w:behaviors>
        <w:description w:val=""/>
        <w:guid w:val="{4393961f-e0fb-4fd1-adf5-6dbca308f99f}"/>
      </w:docPartPr>
      <w:docPartBody>
        <w:p>
          <w:r>
            <w:rPr>
              <w:color w:val="808080"/>
            </w:rPr>
            <w:t>单击此处输入文字。</w:t>
          </w:r>
        </w:p>
      </w:docPartBody>
    </w:docPart>
    <w:docPart>
      <w:docPartPr>
        <w:name w:val="{bc7b916d-ba66-4a70-a84d-05ca099ce216}"/>
        <w:style w:val=""/>
        <w:category>
          <w:name w:val="常规"/>
          <w:gallery w:val="placeholder"/>
        </w:category>
        <w:types>
          <w:type w:val="bbPlcHdr"/>
        </w:types>
        <w:behaviors>
          <w:behavior w:val="content"/>
        </w:behaviors>
        <w:description w:val=""/>
        <w:guid w:val="{bc7b916d-ba66-4a70-a84d-05ca099ce216}"/>
      </w:docPartPr>
      <w:docPartBody>
        <w:p>
          <w:r>
            <w:rPr>
              <w:color w:val="808080"/>
            </w:rPr>
            <w:t>单击此处输入文字。</w:t>
          </w:r>
        </w:p>
      </w:docPartBody>
    </w:docPart>
    <w:docPart>
      <w:docPartPr>
        <w:name w:val="{f9a7ac7b-e15d-47cc-b6ae-d066d10adb51}"/>
        <w:style w:val=""/>
        <w:category>
          <w:name w:val="常规"/>
          <w:gallery w:val="placeholder"/>
        </w:category>
        <w:types>
          <w:type w:val="bbPlcHdr"/>
        </w:types>
        <w:behaviors>
          <w:behavior w:val="content"/>
        </w:behaviors>
        <w:description w:val=""/>
        <w:guid w:val="{f9a7ac7b-e15d-47cc-b6ae-d066d10adb51}"/>
      </w:docPartPr>
      <w:docPartBody>
        <w:p>
          <w:r>
            <w:rPr>
              <w:color w:val="808080"/>
            </w:rPr>
            <w:t>单击此处输入文字。</w:t>
          </w:r>
        </w:p>
      </w:docPartBody>
    </w:docPart>
    <w:docPart>
      <w:docPartPr>
        <w:name w:val="{0bae6d05-1358-49b8-a38b-d21cad62a7c4}"/>
        <w:style w:val=""/>
        <w:category>
          <w:name w:val="常规"/>
          <w:gallery w:val="placeholder"/>
        </w:category>
        <w:types>
          <w:type w:val="bbPlcHdr"/>
        </w:types>
        <w:behaviors>
          <w:behavior w:val="content"/>
        </w:behaviors>
        <w:description w:val=""/>
        <w:guid w:val="{0bae6d05-1358-49b8-a38b-d21cad62a7c4}"/>
      </w:docPartPr>
      <w:docPartBody>
        <w:p>
          <w:r>
            <w:rPr>
              <w:color w:val="808080"/>
            </w:rPr>
            <w:t>单击此处输入文字。</w:t>
          </w:r>
        </w:p>
      </w:docPartBody>
    </w:docPart>
    <w:docPart>
      <w:docPartPr>
        <w:name w:val="{2cdbcaaf-1391-4f9c-998a-a9880826bf82}"/>
        <w:style w:val=""/>
        <w:category>
          <w:name w:val="常规"/>
          <w:gallery w:val="placeholder"/>
        </w:category>
        <w:types>
          <w:type w:val="bbPlcHdr"/>
        </w:types>
        <w:behaviors>
          <w:behavior w:val="content"/>
        </w:behaviors>
        <w:description w:val=""/>
        <w:guid w:val="{2cdbcaaf-1391-4f9c-998a-a9880826bf82}"/>
      </w:docPartPr>
      <w:docPartBody>
        <w:p>
          <w:r>
            <w:rPr>
              <w:color w:val="808080"/>
            </w:rPr>
            <w:t>单击此处输入文字。</w:t>
          </w:r>
        </w:p>
      </w:docPartBody>
    </w:docPart>
    <w:docPart>
      <w:docPartPr>
        <w:name w:val="{f6d1ee0a-4c70-473f-a10f-4eb37f6c6efb}"/>
        <w:style w:val=""/>
        <w:category>
          <w:name w:val="常规"/>
          <w:gallery w:val="placeholder"/>
        </w:category>
        <w:types>
          <w:type w:val="bbPlcHdr"/>
        </w:types>
        <w:behaviors>
          <w:behavior w:val="content"/>
        </w:behaviors>
        <w:description w:val=""/>
        <w:guid w:val="{f6d1ee0a-4c70-473f-a10f-4eb37f6c6efb}"/>
      </w:docPartPr>
      <w:docPartBody>
        <w:p>
          <w:r>
            <w:rPr>
              <w:color w:val="808080"/>
            </w:rPr>
            <w:t>单击此处输入文字。</w:t>
          </w:r>
        </w:p>
      </w:docPartBody>
    </w:docPart>
    <w:docPart>
      <w:docPartPr>
        <w:name w:val="{9a6e2d1b-876c-43c0-a92c-f5df2f86f52d}"/>
        <w:style w:val=""/>
        <w:category>
          <w:name w:val="常规"/>
          <w:gallery w:val="placeholder"/>
        </w:category>
        <w:types>
          <w:type w:val="bbPlcHdr"/>
        </w:types>
        <w:behaviors>
          <w:behavior w:val="content"/>
        </w:behaviors>
        <w:description w:val=""/>
        <w:guid w:val="{9a6e2d1b-876c-43c0-a92c-f5df2f86f52d}"/>
      </w:docPartPr>
      <w:docPartBody>
        <w:p>
          <w:r>
            <w:rPr>
              <w:color w:val="808080"/>
            </w:rPr>
            <w:t>单击此处输入文字。</w:t>
          </w:r>
        </w:p>
      </w:docPartBody>
    </w:docPart>
    <w:docPart>
      <w:docPartPr>
        <w:name w:val="{154c7294-8bf2-434f-89a4-465ade5c5e16}"/>
        <w:style w:val=""/>
        <w:category>
          <w:name w:val="常规"/>
          <w:gallery w:val="placeholder"/>
        </w:category>
        <w:types>
          <w:type w:val="bbPlcHdr"/>
        </w:types>
        <w:behaviors>
          <w:behavior w:val="content"/>
        </w:behaviors>
        <w:description w:val=""/>
        <w:guid w:val="{154c7294-8bf2-434f-89a4-465ade5c5e16}"/>
      </w:docPartPr>
      <w:docPartBody>
        <w:p>
          <w:r>
            <w:rPr>
              <w:color w:val="808080"/>
            </w:rPr>
            <w:t>单击此处输入文字。</w:t>
          </w:r>
        </w:p>
      </w:docPartBody>
    </w:docPart>
    <w:docPart>
      <w:docPartPr>
        <w:name w:val="{ac3f82e3-1aec-4753-aa28-df417a4cdbb2}"/>
        <w:style w:val=""/>
        <w:category>
          <w:name w:val="常规"/>
          <w:gallery w:val="placeholder"/>
        </w:category>
        <w:types>
          <w:type w:val="bbPlcHdr"/>
        </w:types>
        <w:behaviors>
          <w:behavior w:val="content"/>
        </w:behaviors>
        <w:description w:val=""/>
        <w:guid w:val="{ac3f82e3-1aec-4753-aa28-df417a4cdbb2}"/>
      </w:docPartPr>
      <w:docPartBody>
        <w:p>
          <w:r>
            <w:rPr>
              <w:color w:val="808080"/>
            </w:rPr>
            <w:t>单击此处输入文字。</w:t>
          </w:r>
        </w:p>
      </w:docPartBody>
    </w:docPart>
    <w:docPart>
      <w:docPartPr>
        <w:name w:val="{934ad30d-34f9-4d11-ab5a-a4657a86f7d3}"/>
        <w:style w:val=""/>
        <w:category>
          <w:name w:val="常规"/>
          <w:gallery w:val="placeholder"/>
        </w:category>
        <w:types>
          <w:type w:val="bbPlcHdr"/>
        </w:types>
        <w:behaviors>
          <w:behavior w:val="content"/>
        </w:behaviors>
        <w:description w:val=""/>
        <w:guid w:val="{934ad30d-34f9-4d11-ab5a-a4657a86f7d3}"/>
      </w:docPartPr>
      <w:docPartBody>
        <w:p>
          <w:r>
            <w:rPr>
              <w:color w:val="808080"/>
            </w:rPr>
            <w:t>单击此处输入文字。</w:t>
          </w:r>
        </w:p>
      </w:docPartBody>
    </w:docPart>
    <w:docPart>
      <w:docPartPr>
        <w:name w:val="{460e6278-8a08-4a80-857f-46c10d7dc4a5}"/>
        <w:style w:val=""/>
        <w:category>
          <w:name w:val="常规"/>
          <w:gallery w:val="placeholder"/>
        </w:category>
        <w:types>
          <w:type w:val="bbPlcHdr"/>
        </w:types>
        <w:behaviors>
          <w:behavior w:val="content"/>
        </w:behaviors>
        <w:description w:val=""/>
        <w:guid w:val="{460e6278-8a08-4a80-857f-46c10d7dc4a5}"/>
      </w:docPartPr>
      <w:docPartBody>
        <w:p>
          <w:r>
            <w:rPr>
              <w:color w:val="808080"/>
            </w:rPr>
            <w:t>单击此处输入文字。</w:t>
          </w:r>
        </w:p>
      </w:docPartBody>
    </w:docPart>
    <w:docPart>
      <w:docPartPr>
        <w:name w:val="{fd73ac30-dbe7-440f-9bd1-b70aef7a3a47}"/>
        <w:style w:val=""/>
        <w:category>
          <w:name w:val="常规"/>
          <w:gallery w:val="placeholder"/>
        </w:category>
        <w:types>
          <w:type w:val="bbPlcHdr"/>
        </w:types>
        <w:behaviors>
          <w:behavior w:val="content"/>
        </w:behaviors>
        <w:description w:val=""/>
        <w:guid w:val="{fd73ac30-dbe7-440f-9bd1-b70aef7a3a47}"/>
      </w:docPartPr>
      <w:docPartBody>
        <w:p>
          <w:r>
            <w:rPr>
              <w:color w:val="808080"/>
            </w:rPr>
            <w:t>单击此处输入文字。</w:t>
          </w:r>
        </w:p>
      </w:docPartBody>
    </w:docPart>
    <w:docPart>
      <w:docPartPr>
        <w:name w:val="{566094da-8b83-416a-8b8d-ceba7c4ee9be}"/>
        <w:style w:val=""/>
        <w:category>
          <w:name w:val="常规"/>
          <w:gallery w:val="placeholder"/>
        </w:category>
        <w:types>
          <w:type w:val="bbPlcHdr"/>
        </w:types>
        <w:behaviors>
          <w:behavior w:val="content"/>
        </w:behaviors>
        <w:description w:val=""/>
        <w:guid w:val="{566094da-8b83-416a-8b8d-ceba7c4ee9be}"/>
      </w:docPartPr>
      <w:docPartBody>
        <w:p>
          <w:r>
            <w:rPr>
              <w:color w:val="808080"/>
            </w:rPr>
            <w:t>单击此处输入文字。</w:t>
          </w:r>
        </w:p>
      </w:docPartBody>
    </w:docPart>
    <w:docPart>
      <w:docPartPr>
        <w:name w:val="{43ba9d02-befd-47ab-9527-2aef4167d9e0}"/>
        <w:style w:val=""/>
        <w:category>
          <w:name w:val="常规"/>
          <w:gallery w:val="placeholder"/>
        </w:category>
        <w:types>
          <w:type w:val="bbPlcHdr"/>
        </w:types>
        <w:behaviors>
          <w:behavior w:val="content"/>
        </w:behaviors>
        <w:description w:val=""/>
        <w:guid w:val="{43ba9d02-befd-47ab-9527-2aef4167d9e0}"/>
      </w:docPartPr>
      <w:docPartBody>
        <w:p>
          <w:r>
            <w:rPr>
              <w:color w:val="808080"/>
            </w:rPr>
            <w:t>单击此处输入文字。</w:t>
          </w:r>
        </w:p>
      </w:docPartBody>
    </w:docPart>
    <w:docPart>
      <w:docPartPr>
        <w:name w:val="{25f5c791-a248-4fc5-9051-0db82b899889}"/>
        <w:style w:val=""/>
        <w:category>
          <w:name w:val="常规"/>
          <w:gallery w:val="placeholder"/>
        </w:category>
        <w:types>
          <w:type w:val="bbPlcHdr"/>
        </w:types>
        <w:behaviors>
          <w:behavior w:val="content"/>
        </w:behaviors>
        <w:description w:val=""/>
        <w:guid w:val="{25f5c791-a248-4fc5-9051-0db82b899889}"/>
      </w:docPartPr>
      <w:docPartBody>
        <w:p>
          <w:r>
            <w:rPr>
              <w:color w:val="808080"/>
            </w:rPr>
            <w:t>单击此处输入文字。</w:t>
          </w:r>
        </w:p>
      </w:docPartBody>
    </w:docPart>
    <w:docPart>
      <w:docPartPr>
        <w:name w:val="{008ee48f-b283-4639-b56b-d927c35558d9}"/>
        <w:style w:val=""/>
        <w:category>
          <w:name w:val="常规"/>
          <w:gallery w:val="placeholder"/>
        </w:category>
        <w:types>
          <w:type w:val="bbPlcHdr"/>
        </w:types>
        <w:behaviors>
          <w:behavior w:val="content"/>
        </w:behaviors>
        <w:description w:val=""/>
        <w:guid w:val="{008ee48f-b283-4639-b56b-d927c35558d9}"/>
      </w:docPartPr>
      <w:docPartBody>
        <w:p>
          <w:r>
            <w:rPr>
              <w:color w:val="808080"/>
            </w:rPr>
            <w:t>单击此处输入文字。</w:t>
          </w:r>
        </w:p>
      </w:docPartBody>
    </w:docPart>
    <w:docPart>
      <w:docPartPr>
        <w:name w:val="{476f8319-5f10-41e1-b991-67863bbef2b2}"/>
        <w:style w:val=""/>
        <w:category>
          <w:name w:val="常规"/>
          <w:gallery w:val="placeholder"/>
        </w:category>
        <w:types>
          <w:type w:val="bbPlcHdr"/>
        </w:types>
        <w:behaviors>
          <w:behavior w:val="content"/>
        </w:behaviors>
        <w:description w:val=""/>
        <w:guid w:val="{476f8319-5f10-41e1-b991-67863bbef2b2}"/>
      </w:docPartPr>
      <w:docPartBody>
        <w:p>
          <w:r>
            <w:rPr>
              <w:color w:val="808080"/>
            </w:rPr>
            <w:t>单击此处输入文字。</w:t>
          </w:r>
        </w:p>
      </w:docPartBody>
    </w:docPart>
    <w:docPart>
      <w:docPartPr>
        <w:name w:val="{fde3290c-f96e-4607-a1e8-842be21f9eaa}"/>
        <w:style w:val=""/>
        <w:category>
          <w:name w:val="常规"/>
          <w:gallery w:val="placeholder"/>
        </w:category>
        <w:types>
          <w:type w:val="bbPlcHdr"/>
        </w:types>
        <w:behaviors>
          <w:behavior w:val="content"/>
        </w:behaviors>
        <w:description w:val=""/>
        <w:guid w:val="{fde3290c-f96e-4607-a1e8-842be21f9eaa}"/>
      </w:docPartPr>
      <w:docPartBody>
        <w:p>
          <w:r>
            <w:rPr>
              <w:color w:val="808080"/>
            </w:rPr>
            <w:t>单击此处输入文字。</w:t>
          </w:r>
        </w:p>
      </w:docPartBody>
    </w:docPart>
    <w:docPart>
      <w:docPartPr>
        <w:name w:val="{e2ab819d-1f5b-4720-bc36-2cfb299262ce}"/>
        <w:style w:val=""/>
        <w:category>
          <w:name w:val="常规"/>
          <w:gallery w:val="placeholder"/>
        </w:category>
        <w:types>
          <w:type w:val="bbPlcHdr"/>
        </w:types>
        <w:behaviors>
          <w:behavior w:val="content"/>
        </w:behaviors>
        <w:description w:val=""/>
        <w:guid w:val="{e2ab819d-1f5b-4720-bc36-2cfb299262ce}"/>
      </w:docPartPr>
      <w:docPartBody>
        <w:p>
          <w:r>
            <w:rPr>
              <w:color w:val="808080"/>
            </w:rPr>
            <w:t>单击此处输入文字。</w:t>
          </w:r>
        </w:p>
      </w:docPartBody>
    </w:docPart>
    <w:docPart>
      <w:docPartPr>
        <w:name w:val="{1bbbaae6-6e6b-478a-b480-6762e984ecd0}"/>
        <w:style w:val=""/>
        <w:category>
          <w:name w:val="常规"/>
          <w:gallery w:val="placeholder"/>
        </w:category>
        <w:types>
          <w:type w:val="bbPlcHdr"/>
        </w:types>
        <w:behaviors>
          <w:behavior w:val="content"/>
        </w:behaviors>
        <w:description w:val=""/>
        <w:guid w:val="{1bbbaae6-6e6b-478a-b480-6762e984ecd0}"/>
      </w:docPartPr>
      <w:docPartBody>
        <w:p>
          <w:r>
            <w:rPr>
              <w:color w:val="808080"/>
            </w:rPr>
            <w:t>单击此处输入文字。</w:t>
          </w:r>
        </w:p>
      </w:docPartBody>
    </w:docPart>
    <w:docPart>
      <w:docPartPr>
        <w:name w:val="{6d17e101-0a09-497f-bb26-c109f788f8a9}"/>
        <w:style w:val=""/>
        <w:category>
          <w:name w:val="常规"/>
          <w:gallery w:val="placeholder"/>
        </w:category>
        <w:types>
          <w:type w:val="bbPlcHdr"/>
        </w:types>
        <w:behaviors>
          <w:behavior w:val="content"/>
        </w:behaviors>
        <w:description w:val=""/>
        <w:guid w:val="{6d17e101-0a09-497f-bb26-c109f788f8a9}"/>
      </w:docPartPr>
      <w:docPartBody>
        <w:p>
          <w:r>
            <w:rPr>
              <w:color w:val="808080"/>
            </w:rPr>
            <w:t>单击此处输入文字。</w:t>
          </w:r>
        </w:p>
      </w:docPartBody>
    </w:docPart>
    <w:docPart>
      <w:docPartPr>
        <w:name w:val="{16b971ee-ce85-48e3-b9a2-609e83f2976c}"/>
        <w:style w:val=""/>
        <w:category>
          <w:name w:val="常规"/>
          <w:gallery w:val="placeholder"/>
        </w:category>
        <w:types>
          <w:type w:val="bbPlcHdr"/>
        </w:types>
        <w:behaviors>
          <w:behavior w:val="content"/>
        </w:behaviors>
        <w:description w:val=""/>
        <w:guid w:val="{16b971ee-ce85-48e3-b9a2-609e83f2976c}"/>
      </w:docPartPr>
      <w:docPartBody>
        <w:p>
          <w:r>
            <w:rPr>
              <w:color w:val="808080"/>
            </w:rPr>
            <w:t>单击此处输入文字。</w:t>
          </w:r>
        </w:p>
      </w:docPartBody>
    </w:docPart>
    <w:docPart>
      <w:docPartPr>
        <w:name w:val="{34dfcca5-a925-4e6c-abc4-fc5d99d0e032}"/>
        <w:style w:val=""/>
        <w:category>
          <w:name w:val="常规"/>
          <w:gallery w:val="placeholder"/>
        </w:category>
        <w:types>
          <w:type w:val="bbPlcHdr"/>
        </w:types>
        <w:behaviors>
          <w:behavior w:val="content"/>
        </w:behaviors>
        <w:description w:val=""/>
        <w:guid w:val="{34dfcca5-a925-4e6c-abc4-fc5d99d0e032}"/>
      </w:docPartPr>
      <w:docPartBody>
        <w:p>
          <w:r>
            <w:rPr>
              <w:color w:val="808080"/>
            </w:rPr>
            <w:t>单击此处输入文字。</w:t>
          </w:r>
        </w:p>
      </w:docPartBody>
    </w:docPart>
    <w:docPart>
      <w:docPartPr>
        <w:name w:val="{c2106387-b37a-4099-bc05-f17205e3d570}"/>
        <w:style w:val=""/>
        <w:category>
          <w:name w:val="常规"/>
          <w:gallery w:val="placeholder"/>
        </w:category>
        <w:types>
          <w:type w:val="bbPlcHdr"/>
        </w:types>
        <w:behaviors>
          <w:behavior w:val="content"/>
        </w:behaviors>
        <w:description w:val=""/>
        <w:guid w:val="{c2106387-b37a-4099-bc05-f17205e3d570}"/>
      </w:docPartPr>
      <w:docPartBody>
        <w:p>
          <w:r>
            <w:rPr>
              <w:color w:val="808080"/>
            </w:rPr>
            <w:t>单击此处输入文字。</w:t>
          </w:r>
        </w:p>
      </w:docPartBody>
    </w:docPart>
    <w:docPart>
      <w:docPartPr>
        <w:name w:val="{1da128a3-4d4d-4c20-b034-ad21e350d9d6}"/>
        <w:style w:val=""/>
        <w:category>
          <w:name w:val="常规"/>
          <w:gallery w:val="placeholder"/>
        </w:category>
        <w:types>
          <w:type w:val="bbPlcHdr"/>
        </w:types>
        <w:behaviors>
          <w:behavior w:val="content"/>
        </w:behaviors>
        <w:description w:val=""/>
        <w:guid w:val="{1da128a3-4d4d-4c20-b034-ad21e350d9d6}"/>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附件2：2020年部门决算编制说明范本.dot</Template>
  <Pages>48</Pages>
  <Words>16395</Words>
  <Characters>18236</Characters>
  <Lines>7</Lines>
  <Paragraphs>17</Paragraphs>
  <TotalTime>1</TotalTime>
  <ScaleCrop>false</ScaleCrop>
  <LinksUpToDate>false</LinksUpToDate>
  <CharactersWithSpaces>18292</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2021-09-07T07:51:00Z</dcterms:created>
  <dc:creator>PK</dc:creator>
  <cp:lastModifiedBy>廖盈盈</cp:lastModifiedBy>
  <cp:lastPrinted>2021-09-27T02:39:00Z</cp:lastPrinted>
  <dcterms:modified xsi:type="dcterms:W3CDTF">2026-08-21T02:42:38Z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3C3D3F03DC9042A5A54597DD03DB2CB0_13</vt:lpwstr>
  </property>
</Properties>
</file>