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78441"/>
      <w:bookmarkStart w:id="4" w:name="_Toc15396475"/>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194"/>
      <w:bookmarkStart w:id="9" w:name="_Toc15378442"/>
      <w:bookmarkStart w:id="10" w:name="_Toc15377426"/>
      <w:r>
        <w:rPr>
          <w:rFonts w:hint="eastAsia" w:ascii="方正小标宋简体" w:hAnsi="宋体" w:eastAsia="方正小标宋简体"/>
          <w:color w:val="000000"/>
          <w:sz w:val="72"/>
          <w:szCs w:val="72"/>
        </w:rPr>
        <w:t>四川省乐山市井研县</w:t>
      </w:r>
      <w:bookmarkEnd w:id="0"/>
      <w:bookmarkStart w:id="11" w:name="_Toc15306268"/>
      <w:r>
        <w:rPr>
          <w:rFonts w:hint="eastAsia" w:ascii="方正小标宋简体" w:hAnsi="宋体" w:eastAsia="方正小标宋简体"/>
          <w:color w:val="000000"/>
          <w:sz w:val="72"/>
          <w:szCs w:val="72"/>
        </w:rPr>
        <w:t>科学技术协会部门决算</w:t>
      </w:r>
      <w:bookmarkEnd w:id="6"/>
      <w:bookmarkEnd w:id="7"/>
      <w:bookmarkEnd w:id="8"/>
      <w:bookmarkEnd w:id="9"/>
      <w:bookmarkEnd w:id="10"/>
      <w:bookmarkEnd w:id="11"/>
    </w:p>
    <w:p>
      <w:pPr>
        <w:widowControl/>
        <w:jc w:val="center"/>
        <w:rPr>
          <w:rFonts w:ascii="方正小标宋_GBK" w:hAnsi="黑体" w:eastAsia="方正小标宋_GBK"/>
          <w:color w:val="000000"/>
          <w:sz w:val="48"/>
          <w:szCs w:val="48"/>
        </w:rPr>
      </w:pPr>
      <w:r>
        <w:rPr>
          <w:rFonts w:ascii="方正小标宋简体" w:hAnsi="宋体" w:eastAsia="方正小标宋简体"/>
          <w:color w:val="000000"/>
          <w:sz w:val="36"/>
          <w:szCs w:val="36"/>
        </w:rPr>
        <w:br w:type="page"/>
      </w:r>
      <w:r>
        <w:rPr>
          <w:rFonts w:hint="eastAsia" w:ascii="方正小标宋_GBK" w:hAnsi="黑体" w:eastAsia="方正小标宋_GBK"/>
          <w:color w:val="000000"/>
          <w:sz w:val="48"/>
          <w:szCs w:val="48"/>
        </w:rPr>
        <w:t>目  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公开时间：2019年10月30日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 xml:space="preserve">一、基本职能及主要工作 </w:t>
      </w:r>
      <w:r>
        <w:rPr>
          <w:rFonts w:ascii="仿宋" w:hAnsi="仿宋" w:eastAsia="仿宋"/>
          <w:sz w:val="28"/>
          <w:szCs w:val="28"/>
        </w:rPr>
        <w:tab/>
      </w:r>
      <w:r>
        <w:rPr>
          <w:rFonts w:hint="eastAsia" w:ascii="仿宋" w:hAnsi="仿宋" w:eastAsia="仿宋"/>
          <w:sz w:val="28"/>
          <w:szCs w:val="28"/>
        </w:rPr>
        <w:t xml:space="preserve">       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十、预算绩效情况说明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r>
        <w:fldChar w:fldCharType="begin"/>
      </w:r>
      <w:r>
        <w:instrText xml:space="preserve"> HYPERLINK \l "_Toc15396617" </w:instrText>
      </w:r>
      <w:r>
        <w:fldChar w:fldCharType="separate"/>
      </w:r>
      <w: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fldChar w:fldCharType="begin"/>
      </w:r>
      <w:r>
        <w:instrText xml:space="preserve"> PAGEREF _Toc15396618 \h </w:instrText>
      </w:r>
      <w:r>
        <w:fldChar w:fldCharType="separate"/>
      </w:r>
      <w:r>
        <w:t>24</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方正小标宋_GBK" w:hAnsi="黑体" w:eastAsia="方正小标宋_GBK"/>
          <w:b/>
          <w:bCs w:val="0"/>
        </w:rPr>
      </w:pPr>
      <w:r>
        <w:rPr>
          <w:rFonts w:hint="eastAsia" w:ascii="方正小标宋_GBK" w:hAnsi="黑体" w:eastAsia="方正小标宋_GBK"/>
          <w:b w:val="0"/>
        </w:rPr>
        <w:t xml:space="preserve">第一部分 </w:t>
      </w:r>
      <w:r>
        <w:rPr>
          <w:rStyle w:val="24"/>
          <w:rFonts w:hint="eastAsia" w:ascii="方正小标宋_GBK" w:hAnsi="黑体" w:eastAsia="方正小标宋_GBK"/>
          <w:b w:val="0"/>
          <w:bCs w:val="0"/>
        </w:rPr>
        <w:t>部门概况</w:t>
      </w:r>
      <w:bookmarkEnd w:id="12"/>
      <w:bookmarkEnd w:id="13"/>
    </w:p>
    <w:p>
      <w:pPr>
        <w:pStyle w:val="3"/>
        <w:spacing w:line="600" w:lineRule="exact"/>
        <w:rPr>
          <w:rFonts w:ascii="黑体" w:hAnsi="黑体" w:eastAsia="黑体"/>
          <w:b w:val="0"/>
          <w:color w:val="000000"/>
        </w:rPr>
      </w:pPr>
      <w:bookmarkStart w:id="14" w:name="_Toc15377197"/>
      <w:bookmarkStart w:id="15" w:name="_Toc15396600"/>
    </w:p>
    <w:p>
      <w:pPr>
        <w:pStyle w:val="3"/>
        <w:spacing w:line="600" w:lineRule="exact"/>
        <w:rPr>
          <w:rStyle w:val="25"/>
          <w:rFonts w:ascii="仿宋" w:hAnsi="仿宋" w:eastAsia="仿宋"/>
          <w:b w:val="0"/>
          <w:bCs w:val="0"/>
        </w:rPr>
      </w:pPr>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kern w:val="2"/>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r>
        <w:rPr>
          <w:rFonts w:hint="eastAsia" w:ascii="仿宋" w:hAnsi="仿宋" w:eastAsia="仿宋"/>
          <w:kern w:val="2"/>
          <w:sz w:val="32"/>
          <w:szCs w:val="32"/>
        </w:rPr>
        <w:t>井研县科学技术协会</w:t>
      </w:r>
      <w:r>
        <w:rPr>
          <w:rFonts w:ascii="仿宋" w:hAnsi="仿宋" w:eastAsia="仿宋"/>
          <w:kern w:val="2"/>
          <w:sz w:val="32"/>
          <w:szCs w:val="32"/>
        </w:rPr>
        <w:t>,</w:t>
      </w:r>
      <w:r>
        <w:rPr>
          <w:rFonts w:hint="eastAsia" w:ascii="仿宋" w:hAnsi="仿宋" w:eastAsia="仿宋"/>
          <w:kern w:val="2"/>
          <w:sz w:val="32"/>
          <w:szCs w:val="32"/>
        </w:rPr>
        <w:t>是中国共产党井研县委员会领导下的人民团体，是党和政府联系科学技术工作者的桥梁和纽带，是我县推动科学技术事业发展的重要力量，主要职责有：开展学术交流，活跃学术思想，促进学科发展;普及科学知识，传播科学思想和科学方法，推广先进技术，开展青少年科技教育活动，提高全县公民科学文化素质;反映科学技术工作者的意见和要求，维护科技工作者的合法权益，组织科学技术工作者参与全县科学技术政策、法规制定，参与政治协商、科学决策、民主监督工作;表彰奖励优秀科技工作者，举荐人才;开展科学论证、科技咨询服务，提出政策建议，促进科学技术成果的转化;开展民间科学技术交流活动，促进对外开放，推动科技工作者的交流与合作;开展继续教育和技术培训工作;对所属县级学会、协会、研究会进行管理，对乡镇科协和县属企业科协进行业务指导;承担县委、县政府和市科协交办的其他事项。</w:t>
      </w:r>
    </w:p>
    <w:p>
      <w:pPr>
        <w:spacing w:line="600" w:lineRule="exact"/>
        <w:ind w:firstLine="640" w:firstLineChars="200"/>
        <w:textAlignment w:val="baseline"/>
        <w:rPr>
          <w:rFonts w:ascii="仿宋" w:hAnsi="仿宋" w:eastAsia="仿宋"/>
          <w:sz w:val="32"/>
          <w:szCs w:val="32"/>
        </w:rPr>
      </w:pPr>
      <w:bookmarkStart w:id="18" w:name="_Toc15377199"/>
      <w:bookmarkStart w:id="19" w:name="_Toc15378446"/>
      <w:r>
        <w:rPr>
          <w:rFonts w:hint="eastAsia" w:ascii="仿宋" w:hAnsi="仿宋" w:eastAsia="仿宋"/>
          <w:sz w:val="32"/>
          <w:szCs w:val="32"/>
        </w:rPr>
        <w:t>（二）</w:t>
      </w:r>
      <w:r>
        <w:rPr>
          <w:rFonts w:ascii="仿宋" w:hAnsi="仿宋" w:eastAsia="仿宋"/>
          <w:sz w:val="32"/>
          <w:szCs w:val="32"/>
        </w:rPr>
        <w:t>201</w:t>
      </w:r>
      <w:r>
        <w:rPr>
          <w:rFonts w:hint="eastAsia" w:ascii="仿宋" w:hAnsi="仿宋" w:eastAsia="仿宋"/>
          <w:sz w:val="32"/>
          <w:szCs w:val="32"/>
        </w:rPr>
        <w:t>8年重点工作完成情况。</w:t>
      </w:r>
      <w:bookmarkEnd w:id="18"/>
      <w:bookmarkEnd w:id="19"/>
      <w:r>
        <w:rPr>
          <w:rFonts w:hint="eastAsia" w:ascii="仿宋" w:hAnsi="仿宋" w:eastAsia="仿宋"/>
          <w:sz w:val="32"/>
          <w:szCs w:val="32"/>
        </w:rPr>
        <w:t>围绕县委</w:t>
      </w:r>
      <w:r>
        <w:rPr>
          <w:rFonts w:ascii="仿宋" w:hAnsi="仿宋" w:eastAsia="仿宋"/>
          <w:sz w:val="32"/>
          <w:szCs w:val="32"/>
        </w:rPr>
        <w:t>“</w:t>
      </w:r>
      <w:r>
        <w:rPr>
          <w:rFonts w:hint="eastAsia" w:ascii="仿宋" w:hAnsi="仿宋" w:eastAsia="仿宋"/>
          <w:sz w:val="32"/>
          <w:szCs w:val="32"/>
        </w:rPr>
        <w:t>四个全面</w:t>
      </w:r>
      <w:r>
        <w:rPr>
          <w:rFonts w:ascii="仿宋" w:hAnsi="仿宋" w:eastAsia="仿宋"/>
          <w:sz w:val="32"/>
          <w:szCs w:val="32"/>
        </w:rPr>
        <w:t>”</w:t>
      </w:r>
      <w:r>
        <w:rPr>
          <w:rFonts w:hint="eastAsia" w:ascii="仿宋" w:hAnsi="仿宋" w:eastAsia="仿宋"/>
          <w:sz w:val="32"/>
          <w:szCs w:val="32"/>
        </w:rPr>
        <w:t>战略布局，结合我县实际，完成乐山市“金桥工程”申报立项项目2项，分别是农学会实施的《井研县稻虾综合种养项目 》、《有机农业高产优质物质技术体系探索》，项目的实施将实现产值2775万元。学习传达《乐山市科协系统改革方案》，全体干部职工围绕新形势下科协工作定位及深化改革促进发展等问题进行讨论，根据井研实际于11月初完成了《井研县科协系统改革方案》（定稿）。</w:t>
      </w:r>
    </w:p>
    <w:p>
      <w:pPr>
        <w:spacing w:line="560" w:lineRule="exact"/>
        <w:rPr>
          <w:rFonts w:ascii="仿宋" w:hAnsi="仿宋" w:eastAsia="仿宋"/>
          <w:sz w:val="32"/>
          <w:szCs w:val="32"/>
        </w:rPr>
      </w:pPr>
      <w:r>
        <w:rPr>
          <w:rFonts w:hint="eastAsia" w:ascii="仿宋" w:hAnsi="仿宋" w:eastAsia="仿宋"/>
          <w:sz w:val="32"/>
          <w:szCs w:val="32"/>
        </w:rPr>
        <w:t>组织科技人员分别在三教乡、马踏镇、门坎乡、研经镇开展了“送科技、卫生、文化”下乡活动。在活动中县科协展示科普挂图20幅，接受科普咨询120余人次；发放规范化稻田养鱼技术要点、肉兔养殖技术、肉用仔鸡的饲养管理、生猪快速育肥、小春病虫防治须知、果树优质高效管理技术要点、玉米育苗技术、水稻旱育秧栽培技术等三十余种农村实用技术宣传资料；发放《优质禽养殖》、《井研县无公害水产养殖技术》、《农业科技入户——灾后重建农业技术培训》、《地震后实用科普知识》、《中华人民共和国科普普及法》等书籍；发放了中风的家庭急救、休克急救、酒醉有方、怎样护送急症病人等十六种卫生保健科普宣传资料1万余份。开展农村实用技术培训，组织农业科技专家分别在乌抛、四合、研经、胜泉、东林5个乡镇开展养鸡、养猪、养羊</w:t>
      </w:r>
      <w:r>
        <w:rPr>
          <w:rFonts w:ascii="仿宋" w:hAnsi="仿宋" w:eastAsia="仿宋"/>
          <w:sz w:val="32"/>
          <w:szCs w:val="32"/>
        </w:rPr>
        <w:t>技术培训</w:t>
      </w:r>
      <w:r>
        <w:rPr>
          <w:rFonts w:hint="eastAsia" w:ascii="仿宋" w:hAnsi="仿宋" w:eastAsia="仿宋"/>
          <w:sz w:val="32"/>
          <w:szCs w:val="32"/>
        </w:rPr>
        <w:t>和新品种试验示范工作</w:t>
      </w:r>
      <w:r>
        <w:rPr>
          <w:rFonts w:ascii="仿宋" w:hAnsi="仿宋" w:eastAsia="仿宋"/>
          <w:sz w:val="32"/>
          <w:szCs w:val="32"/>
        </w:rPr>
        <w:t>，培训</w:t>
      </w:r>
      <w:r>
        <w:rPr>
          <w:rFonts w:hint="eastAsia" w:ascii="仿宋" w:hAnsi="仿宋" w:eastAsia="仿宋"/>
          <w:sz w:val="32"/>
          <w:szCs w:val="32"/>
        </w:rPr>
        <w:t>种</w:t>
      </w:r>
      <w:r>
        <w:rPr>
          <w:rFonts w:ascii="仿宋" w:hAnsi="仿宋" w:eastAsia="仿宋"/>
          <w:sz w:val="32"/>
          <w:szCs w:val="32"/>
        </w:rPr>
        <w:t>养殖户</w:t>
      </w:r>
      <w:r>
        <w:rPr>
          <w:rFonts w:hint="eastAsia" w:ascii="仿宋" w:hAnsi="仿宋" w:eastAsia="仿宋"/>
          <w:sz w:val="32"/>
          <w:szCs w:val="32"/>
        </w:rPr>
        <w:t>10</w:t>
      </w:r>
      <w:r>
        <w:rPr>
          <w:rFonts w:ascii="仿宋" w:hAnsi="仿宋" w:eastAsia="仿宋"/>
          <w:sz w:val="32"/>
          <w:szCs w:val="32"/>
        </w:rPr>
        <w:t>00余人。同时发动县级涉农学会，乡镇科协和农技协开展实用技</w:t>
      </w:r>
      <w:r>
        <w:rPr>
          <w:rFonts w:hint="eastAsia" w:ascii="仿宋" w:hAnsi="仿宋" w:eastAsia="仿宋"/>
          <w:sz w:val="32"/>
          <w:szCs w:val="32"/>
        </w:rPr>
        <w:t>术培训，共举办科技培训班35期，培训农民7000余人次，通过培训，有85%的农民群众掌握了1—2门农村实用新技术，提高了他们的综合素质和增收致富能力。认真做好“2018年专项资金项目申报”工作。认真完成井研县农技协农村实用技术培训、柑桔生产技术培训及新品种推广、省级一流农村科普示范基地建设和科普e站建设。争取项目资金50万元，在周坡镇创建省级一流农村科普示范基地一个；争取项目资金20万元，建设科普e站2个（县委和县政府办公楼大厅分别建设科普e站1个）、周坡东橙水果基地新品种引进和技术培训以及县科协对东林等5个乡镇养鸡、养羊、养猪培训引种。</w:t>
      </w:r>
    </w:p>
    <w:p>
      <w:pPr>
        <w:spacing w:line="600" w:lineRule="exact"/>
        <w:textAlignment w:val="baseline"/>
        <w:rPr>
          <w:rFonts w:ascii="仿宋" w:hAnsi="仿宋" w:eastAsia="仿宋"/>
          <w:sz w:val="32"/>
          <w:szCs w:val="32"/>
        </w:rPr>
      </w:pPr>
      <w:r>
        <w:rPr>
          <w:rFonts w:hint="eastAsia" w:ascii="仿宋" w:hAnsi="仿宋" w:eastAsia="仿宋"/>
          <w:sz w:val="32"/>
          <w:szCs w:val="32"/>
        </w:rPr>
        <w:t>组织作品参加市第十七届青少年科技创新大赛，向组委会报送青少年科技竞赛项目共 9项，科技辅导员创新成果项目共 3 项，青少年科技竞赛项目共 4项，科幻画作品共61件，科技实践活动共 2 项，科学影像作品共 2 件。获少儿科幻画类一等奖4项，二等奖11项，三等奖14项，四等奖11项；科学影像类三等奖1项；科技辅导员科教创新类三等奖5项，科技实践活动作品获三等奖2项。努力打造省级一流农村科普示范基地</w:t>
      </w:r>
      <w:r>
        <w:rPr>
          <w:rFonts w:ascii="仿宋" w:hAnsi="仿宋" w:eastAsia="仿宋"/>
          <w:sz w:val="32"/>
          <w:szCs w:val="32"/>
        </w:rPr>
        <w:t>—</w:t>
      </w:r>
      <w:r>
        <w:rPr>
          <w:rFonts w:hint="eastAsia" w:ascii="仿宋" w:hAnsi="仿宋" w:eastAsia="仿宋"/>
          <w:sz w:val="32"/>
          <w:szCs w:val="32"/>
        </w:rPr>
        <w:t>周坡东橙水果基地，提倡以基地建设带动周边群众科学致富，有力助推精准扶贫工作。基地主要致力于建设院士（专家）大院、技术培训中心、以柑橘文化为主题的民宿改造及景观打造。基地发展优质杂交柑桔种植的同时发展乡村旅游，园区农民得到实惠不断增加，东橙水果基地将55户建档立卡贫困户邀入基地，让他们成为股东，既能就近在园区务工又能分红还能发展杂交柑橘产业，免费提供建园、种植技术服务，基地将持续多措帮扶，确保他们脱贫不返贫。同时与55户贫困户签订“代种代养”协议，确保每年为贫困户增收1200元以上。科协制发了《井研县科学技术协会关于继续组织实施科技助力精准扶贫工程的通知》，下发有关协会，组织三个协会一个学会开展结对帮扶工作，充分发挥科协智能优势，服务于脱贫攻坚工作。及时召开会议布置，千方百计筹集资金，开展科技助力精准扶贫工作。一是组织协会深入贫困户开展扶贫政策宣传，教育贫困户自力更生、感恩奋进，与贫困户开展面对面交流，同时组织乡镇科协开展科协宣传活动55次，二是积极开展科技助力精准扶贫。结对帮扶贫困户108户。聘请专家，开展养蚕、养虾、养鸡、养鱼、养羊、养猪管理等使用技术和科协讲座8期，为贫困户购买鸡苗、仔猪、小羊。通过智力和科技扶贫，实施农民技能化工程，使贫困户能熟练掌握一至二门技术。做好县科协负责帮扶的市列贫困村</w:t>
      </w:r>
      <w:r>
        <w:rPr>
          <w:rFonts w:ascii="仿宋" w:hAnsi="仿宋" w:eastAsia="仿宋"/>
          <w:sz w:val="32"/>
          <w:szCs w:val="32"/>
        </w:rPr>
        <w:t>—</w:t>
      </w:r>
      <w:r>
        <w:rPr>
          <w:rFonts w:hint="eastAsia" w:ascii="仿宋" w:hAnsi="仿宋" w:eastAsia="仿宋"/>
          <w:sz w:val="32"/>
          <w:szCs w:val="32"/>
        </w:rPr>
        <w:t>研经镇五同村脱贫攻坚工作。为全村12户贫困户，制定帮扶措施，因户施策，制定脱贫计划。为贫困户发展养鸡、养猪产业筹措资金2万元，争取各项扶贫政策，硬化入户路和补短板项目资金6万元，确保所有贫困户达到一超六有，实现该村整体脱贫。</w:t>
      </w:r>
    </w:p>
    <w:p>
      <w:pPr>
        <w:pStyle w:val="3"/>
        <w:spacing w:line="600" w:lineRule="exact"/>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pacing w:line="600" w:lineRule="exact"/>
        <w:ind w:firstLine="800" w:firstLineChars="250"/>
        <w:rPr>
          <w:rFonts w:ascii="仿宋" w:hAnsi="仿宋" w:eastAsia="仿宋"/>
          <w:sz w:val="32"/>
          <w:szCs w:val="32"/>
        </w:rPr>
      </w:pPr>
      <w:r>
        <w:rPr>
          <w:rFonts w:hint="eastAsia" w:ascii="仿宋" w:hAnsi="仿宋" w:eastAsia="仿宋"/>
          <w:sz w:val="32"/>
          <w:szCs w:val="32"/>
        </w:rPr>
        <w:t>井研县科学技术协会是参照公务员法管理的事业单位</w:t>
      </w:r>
      <w:r>
        <w:rPr>
          <w:rFonts w:hint="eastAsia" w:ascii="仿宋" w:hAnsi="仿宋" w:eastAsia="仿宋"/>
          <w:bCs/>
          <w:sz w:val="32"/>
          <w:szCs w:val="32"/>
        </w:rPr>
        <w:t>1</w:t>
      </w:r>
      <w:r>
        <w:rPr>
          <w:rFonts w:hint="eastAsia" w:ascii="仿宋" w:hAnsi="仿宋" w:eastAsia="仿宋"/>
          <w:sz w:val="32"/>
          <w:szCs w:val="32"/>
        </w:rPr>
        <w:t>个。</w:t>
      </w:r>
      <w:bookmarkStart w:id="22" w:name="_Toc15396602"/>
      <w:bookmarkStart w:id="23" w:name="_Toc15377204"/>
    </w:p>
    <w:p>
      <w:pPr>
        <w:pStyle w:val="2"/>
        <w:tabs>
          <w:tab w:val="right" w:pos="8461"/>
        </w:tabs>
        <w:ind w:right="440"/>
        <w:rPr>
          <w:rFonts w:ascii="方正小标宋_GBK" w:hAnsi="黑体" w:eastAsia="方正小标宋_GBK"/>
          <w:b w:val="0"/>
          <w:color w:val="000000"/>
        </w:rPr>
      </w:pPr>
      <w:r>
        <w:rPr>
          <w:rFonts w:ascii="方正小标宋_GBK" w:hAnsi="黑体" w:eastAsia="方正小标宋_GBK"/>
          <w:b w:val="0"/>
          <w:color w:val="000000"/>
        </w:rPr>
        <w:tab/>
      </w:r>
    </w:p>
    <w:p>
      <w:pPr>
        <w:pStyle w:val="2"/>
        <w:tabs>
          <w:tab w:val="right" w:pos="8461"/>
        </w:tabs>
        <w:ind w:right="440"/>
        <w:rPr>
          <w:rStyle w:val="24"/>
          <w:rFonts w:ascii="方正小标宋_GBK" w:hAnsi="黑体" w:eastAsia="方正小标宋_GBK"/>
          <w:b w:val="0"/>
          <w:bCs w:val="0"/>
        </w:rPr>
      </w:pPr>
      <w:r>
        <w:rPr>
          <w:rFonts w:hint="eastAsia" w:ascii="方正小标宋_GBK" w:hAnsi="黑体" w:eastAsia="方正小标宋_GBK"/>
          <w:b w:val="0"/>
          <w:color w:val="000000"/>
        </w:rPr>
        <w:t>第二部分</w:t>
      </w:r>
      <w:r>
        <w:rPr>
          <w:rStyle w:val="24"/>
          <w:rFonts w:hint="eastAsia" w:ascii="方正小标宋_GBK" w:hAnsi="黑体" w:eastAsia="方正小标宋_GBK"/>
          <w:b w:val="0"/>
          <w:bCs w:val="0"/>
        </w:rPr>
        <w:t>2018年度部门决算情况说明</w:t>
      </w:r>
      <w:bookmarkEnd w:id="22"/>
      <w:bookmarkEnd w:id="23"/>
    </w:p>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8年财政拨款收收支总计170.8万元。与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7年相比，财政拨款收支总计116.56万元54.24万元，增长46.5</w:t>
      </w:r>
      <w:r>
        <w:rPr>
          <w:rFonts w:ascii="仿宋" w:hAnsi="仿宋" w:eastAsia="仿宋"/>
          <w:color w:val="000000"/>
          <w:sz w:val="32"/>
          <w:szCs w:val="32"/>
        </w:rPr>
        <w:t>%</w:t>
      </w:r>
      <w:r>
        <w:rPr>
          <w:rFonts w:hint="eastAsia" w:ascii="仿宋" w:hAnsi="仿宋" w:eastAsia="仿宋"/>
          <w:color w:val="000000"/>
          <w:sz w:val="32"/>
          <w:szCs w:val="32"/>
        </w:rPr>
        <w:t>。主要变动原因一是增资增补工资及津贴，并且实行了新机保补缴了养老保险；二是项目资金增加。</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427990</wp:posOffset>
            </wp:positionH>
            <wp:positionV relativeFrom="paragraph">
              <wp:posOffset>136525</wp:posOffset>
            </wp:positionV>
            <wp:extent cx="4572000" cy="2905125"/>
            <wp:effectExtent l="19050" t="0" r="19050" b="0"/>
            <wp:wrapNone/>
            <wp:docPr id="2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b/>
          <w:color w:val="000000" w:themeColor="text1"/>
          <w:sz w:val="32"/>
          <w:szCs w:val="32"/>
        </w:rPr>
      </w:pPr>
    </w:p>
    <w:p>
      <w:pPr>
        <w:spacing w:line="600" w:lineRule="exact"/>
        <w:rPr>
          <w:rFonts w:ascii="仿宋" w:hAnsi="仿宋" w:eastAsia="仿宋"/>
          <w:b/>
          <w:color w:val="000000" w:themeColor="text1"/>
          <w:sz w:val="32"/>
          <w:szCs w:val="32"/>
        </w:rPr>
      </w:pPr>
    </w:p>
    <w:p>
      <w:pPr>
        <w:spacing w:line="600" w:lineRule="exact"/>
        <w:rPr>
          <w:rFonts w:ascii="仿宋" w:hAnsi="仿宋" w:eastAsia="仿宋"/>
          <w:b/>
          <w:color w:val="000000" w:themeColor="text1"/>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8年本年收入合计170.8万元，其中：一般公共预算财政拨款收入168.8万元，占98.83</w:t>
      </w:r>
      <w:r>
        <w:rPr>
          <w:rFonts w:ascii="仿宋" w:hAnsi="仿宋" w:eastAsia="仿宋"/>
          <w:color w:val="000000"/>
          <w:sz w:val="32"/>
          <w:szCs w:val="32"/>
        </w:rPr>
        <w:t>%</w:t>
      </w:r>
      <w:r>
        <w:rPr>
          <w:rFonts w:hint="eastAsia" w:ascii="仿宋" w:hAnsi="仿宋" w:eastAsia="仿宋"/>
          <w:color w:val="000000"/>
          <w:sz w:val="32"/>
          <w:szCs w:val="32"/>
        </w:rPr>
        <w:t>；上级补助收入1.6万元，占0.94</w:t>
      </w:r>
      <w:r>
        <w:rPr>
          <w:rFonts w:ascii="仿宋" w:hAnsi="仿宋" w:eastAsia="仿宋"/>
          <w:color w:val="000000"/>
          <w:sz w:val="32"/>
          <w:szCs w:val="32"/>
        </w:rPr>
        <w:t>%</w:t>
      </w:r>
      <w:r>
        <w:rPr>
          <w:rFonts w:hint="eastAsia" w:ascii="仿宋" w:hAnsi="仿宋" w:eastAsia="仿宋"/>
          <w:color w:val="000000"/>
          <w:sz w:val="32"/>
          <w:szCs w:val="32"/>
        </w:rPr>
        <w:t>；年初结转0.4万元，占0.23%。</w:t>
      </w:r>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64384" behindDoc="0" locked="0" layoutInCell="1" allowOverlap="1">
            <wp:simplePos x="0" y="0"/>
            <wp:positionH relativeFrom="column">
              <wp:posOffset>380365</wp:posOffset>
            </wp:positionH>
            <wp:positionV relativeFrom="paragraph">
              <wp:posOffset>62865</wp:posOffset>
            </wp:positionV>
            <wp:extent cx="4019550" cy="2066925"/>
            <wp:effectExtent l="19050" t="0" r="19050" b="0"/>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hint="eastAsia" w:ascii="仿宋_GB2312" w:hAnsi="仿宋" w:eastAsia="仿宋_GB2312"/>
          <w:sz w:val="30"/>
          <w:szCs w:val="30"/>
        </w:rPr>
        <w:t>2018年，我单位支入决算数为140.8万元，其中：机构运行（2060701）67.42万元，占总收入的47.88%；科普活动（2060702）10万元，占总收入的7.1%；青少年科技活动（2060703）10万元，占总收入的7.1%；其他科学技术普及支出（2060799）40.4万元，占总收入的28.69%；机关事业单位基本养老保险缴费支出（2080505）5.53万元，占总收入的3.93%；事业单位医疗（2101102）1.12万元，占总收入的0.8%；住房公积金（2210201）6.33万元，占总收入的4.5%。</w:t>
      </w:r>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59264" behindDoc="0" locked="0" layoutInCell="1" allowOverlap="1">
            <wp:simplePos x="0" y="0"/>
            <wp:positionH relativeFrom="column">
              <wp:posOffset>427990</wp:posOffset>
            </wp:positionH>
            <wp:positionV relativeFrom="paragraph">
              <wp:posOffset>91440</wp:posOffset>
            </wp:positionV>
            <wp:extent cx="4572000" cy="2362200"/>
            <wp:effectExtent l="19050" t="0" r="1905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8年财政拨款收入总计170.8万元，支出总计140.8万元。与</w:t>
      </w:r>
      <w:r>
        <w:rPr>
          <w:rFonts w:ascii="仿宋" w:hAnsi="仿宋" w:eastAsia="仿宋"/>
          <w:color w:val="000000"/>
          <w:sz w:val="32"/>
          <w:szCs w:val="32"/>
        </w:rPr>
        <w:t>201</w:t>
      </w:r>
      <w:r>
        <w:rPr>
          <w:rFonts w:hint="eastAsia" w:ascii="仿宋" w:hAnsi="仿宋" w:eastAsia="仿宋"/>
          <w:color w:val="000000"/>
          <w:sz w:val="32"/>
          <w:szCs w:val="32"/>
        </w:rPr>
        <w:t>7年相比，财政拨款收入总计116.56万元，支出总计116.16万元，收入增加54.24万元，增长46.5</w:t>
      </w:r>
      <w:r>
        <w:rPr>
          <w:rFonts w:ascii="仿宋" w:hAnsi="仿宋" w:eastAsia="仿宋"/>
          <w:color w:val="000000"/>
          <w:sz w:val="32"/>
          <w:szCs w:val="32"/>
        </w:rPr>
        <w:t>%</w:t>
      </w:r>
      <w:r>
        <w:rPr>
          <w:rFonts w:hint="eastAsia" w:ascii="仿宋" w:hAnsi="仿宋" w:eastAsia="仿宋"/>
          <w:color w:val="000000"/>
          <w:sz w:val="32"/>
          <w:szCs w:val="32"/>
        </w:rPr>
        <w:t>，支出增加24.64万元，增加21.21%。主要变动原因一是增资增补工资及津贴，并且实行了新机保补缴了养老保险；二是项目资金增加。</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427990</wp:posOffset>
            </wp:positionH>
            <wp:positionV relativeFrom="paragraph">
              <wp:posOffset>139065</wp:posOffset>
            </wp:positionV>
            <wp:extent cx="4572000" cy="2524125"/>
            <wp:effectExtent l="19050" t="0" r="1905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1"/>
        <w:rPr>
          <w:rFonts w:ascii="黑体" w:hAnsi="黑体" w:eastAsia="黑体"/>
          <w:color w:val="000000"/>
          <w:sz w:val="32"/>
          <w:szCs w:val="32"/>
        </w:rPr>
      </w:pPr>
      <w:bookmarkStart w:id="32" w:name="_Toc15377209"/>
      <w:bookmarkStart w:id="33" w:name="_Toc15396607"/>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201</w:t>
      </w:r>
      <w:r>
        <w:rPr>
          <w:rFonts w:hint="eastAsia" w:ascii="仿宋" w:hAnsi="仿宋" w:eastAsia="仿宋"/>
          <w:color w:val="000000" w:themeColor="text1"/>
          <w:sz w:val="32"/>
          <w:szCs w:val="32"/>
        </w:rPr>
        <w:t>8年一般公共预算财政拨款支出139.2万元，占本年支出合计的99.86</w:t>
      </w:r>
      <w:r>
        <w:rPr>
          <w:rFonts w:ascii="仿宋" w:hAnsi="仿宋" w:eastAsia="仿宋"/>
          <w:color w:val="000000" w:themeColor="text1"/>
          <w:sz w:val="32"/>
          <w:szCs w:val="32"/>
        </w:rPr>
        <w:t>%</w:t>
      </w:r>
      <w:r>
        <w:rPr>
          <w:rFonts w:hint="eastAsia" w:ascii="仿宋" w:hAnsi="仿宋" w:eastAsia="仿宋"/>
          <w:color w:val="000000" w:themeColor="text1"/>
          <w:sz w:val="32"/>
          <w:szCs w:val="32"/>
        </w:rPr>
        <w:t>。与</w:t>
      </w:r>
      <w:r>
        <w:rPr>
          <w:rFonts w:ascii="仿宋" w:hAnsi="仿宋" w:eastAsia="仿宋"/>
          <w:color w:val="000000" w:themeColor="text1"/>
          <w:sz w:val="32"/>
          <w:szCs w:val="32"/>
        </w:rPr>
        <w:t>201</w:t>
      </w:r>
      <w:r>
        <w:rPr>
          <w:rFonts w:hint="eastAsia" w:ascii="仿宋" w:hAnsi="仿宋" w:eastAsia="仿宋"/>
          <w:color w:val="000000" w:themeColor="text1"/>
          <w:sz w:val="32"/>
          <w:szCs w:val="32"/>
        </w:rPr>
        <w:t>7年相比，一般公共预算财政拨款增加23.04万元，增长19.83</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。主要变动原因一是增资增补工资及津贴，并且实行了新机保补缴了养老保险；二是项目资金增加。</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1312" behindDoc="0" locked="0" layoutInCell="1" allowOverlap="1">
            <wp:simplePos x="0" y="0"/>
            <wp:positionH relativeFrom="column">
              <wp:posOffset>427990</wp:posOffset>
            </wp:positionH>
            <wp:positionV relativeFrom="paragraph">
              <wp:posOffset>-327660</wp:posOffset>
            </wp:positionV>
            <wp:extent cx="5048250" cy="2276475"/>
            <wp:effectExtent l="19050" t="0" r="1905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_GB2312" w:hAnsi="仿宋" w:eastAsia="仿宋_GB2312"/>
          <w:sz w:val="30"/>
          <w:szCs w:val="30"/>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政拨款支出139.2万元，主要用于以下方面</w:t>
      </w:r>
      <w:r>
        <w:rPr>
          <w:rFonts w:ascii="仿宋" w:hAnsi="仿宋" w:eastAsia="仿宋"/>
          <w:color w:val="000000" w:themeColor="text1"/>
          <w:sz w:val="32"/>
          <w:szCs w:val="32"/>
        </w:rPr>
        <w:t>:</w:t>
      </w:r>
      <w:r>
        <w:rPr>
          <w:rFonts w:hint="eastAsia" w:ascii="仿宋_GB2312" w:hAnsi="仿宋" w:eastAsia="仿宋_GB2312"/>
          <w:sz w:val="30"/>
          <w:szCs w:val="30"/>
        </w:rPr>
        <w:t xml:space="preserve"> 机构运行（2060701）65.82万元，占总收入的47.28%；科普活动（2060702）10万元，占总收入的7.19%；青少年科技活动（2060703）10万元，占总收入的7.19%；其他科学技术普及支出（2060799）40.4万元，占总收入的29.02%；机关事业单位基本养老保险缴费支出（2080505）5.53万元，占总收入的3.97%；事业单位医疗（2101102）1.12万元，占总收入的0.8%；住房公积金（2210201）6.33万元，占总收入的4.55%。</w:t>
      </w:r>
    </w:p>
    <w:p>
      <w:pPr>
        <w:spacing w:line="600" w:lineRule="exact"/>
        <w:ind w:firstLine="640"/>
        <w:rPr>
          <w:rFonts w:ascii="仿宋_GB2312" w:hAnsi="仿宋" w:eastAsia="仿宋_GB2312"/>
          <w:sz w:val="30"/>
          <w:szCs w:val="30"/>
        </w:rPr>
      </w:pPr>
    </w:p>
    <w:p>
      <w:pPr>
        <w:spacing w:line="600" w:lineRule="exact"/>
        <w:ind w:firstLine="640"/>
        <w:rPr>
          <w:rFonts w:ascii="仿宋_GB2312" w:hAnsi="仿宋" w:eastAsia="仿宋_GB2312"/>
          <w:sz w:val="30"/>
          <w:szCs w:val="30"/>
        </w:rPr>
      </w:pPr>
    </w:p>
    <w:p>
      <w:pPr>
        <w:spacing w:line="600" w:lineRule="exact"/>
        <w:ind w:firstLine="640"/>
        <w:rPr>
          <w:rFonts w:ascii="仿宋_GB2312" w:hAnsi="仿宋" w:eastAsia="仿宋_GB2312"/>
          <w:sz w:val="30"/>
          <w:szCs w:val="30"/>
        </w:rPr>
      </w:pPr>
    </w:p>
    <w:p>
      <w:pPr>
        <w:spacing w:line="600" w:lineRule="exact"/>
        <w:ind w:firstLine="640"/>
        <w:rPr>
          <w:rFonts w:ascii="仿宋_GB2312" w:hAnsi="仿宋" w:eastAsia="仿宋_GB2312"/>
          <w:sz w:val="30"/>
          <w:szCs w:val="30"/>
        </w:rPr>
      </w:pPr>
    </w:p>
    <w:p>
      <w:pPr>
        <w:spacing w:line="600" w:lineRule="exact"/>
        <w:ind w:firstLine="643" w:firstLineChars="200"/>
        <w:outlineLvl w:val="2"/>
        <w:rPr>
          <w:rFonts w:ascii="仿宋" w:hAnsi="仿宋" w:eastAsia="仿宋"/>
          <w:b/>
          <w:color w:val="000000" w:themeColor="text1"/>
          <w:sz w:val="32"/>
          <w:szCs w:val="32"/>
        </w:rPr>
      </w:pPr>
      <w:bookmarkStart w:id="36" w:name="_Toc15377212"/>
    </w:p>
    <w:p>
      <w:pPr>
        <w:spacing w:line="600" w:lineRule="exact"/>
        <w:ind w:firstLine="643" w:firstLineChars="200"/>
        <w:outlineLvl w:val="2"/>
        <w:rPr>
          <w:rFonts w:ascii="仿宋" w:hAnsi="仿宋" w:eastAsia="仿宋"/>
          <w:b/>
          <w:color w:val="000000" w:themeColor="text1"/>
          <w:sz w:val="32"/>
          <w:szCs w:val="32"/>
        </w:rPr>
      </w:pPr>
    </w:p>
    <w:p>
      <w:pPr>
        <w:spacing w:line="600" w:lineRule="exact"/>
        <w:ind w:firstLine="643" w:firstLineChars="200"/>
        <w:outlineLvl w:val="2"/>
        <w:rPr>
          <w:rFonts w:ascii="仿宋" w:hAnsi="仿宋" w:eastAsia="仿宋"/>
          <w:b/>
          <w:color w:val="000000" w:themeColor="text1"/>
          <w:sz w:val="32"/>
          <w:szCs w:val="32"/>
        </w:rPr>
      </w:pPr>
    </w:p>
    <w:p>
      <w:pPr>
        <w:spacing w:line="600" w:lineRule="exact"/>
        <w:ind w:firstLine="643" w:firstLineChars="200"/>
        <w:outlineLvl w:val="2"/>
        <w:rPr>
          <w:rFonts w:ascii="仿宋" w:hAnsi="仿宋" w:eastAsia="仿宋"/>
          <w:b/>
          <w:color w:val="000000" w:themeColor="text1"/>
          <w:sz w:val="32"/>
          <w:szCs w:val="32"/>
        </w:rPr>
      </w:pPr>
      <w:r>
        <w:rPr>
          <w:rFonts w:ascii="仿宋" w:hAnsi="仿宋" w:eastAsia="仿宋"/>
          <w:b/>
          <w:color w:val="000000" w:themeColor="text1"/>
          <w:sz w:val="32"/>
          <w:szCs w:val="32"/>
        </w:rPr>
        <w:drawing>
          <wp:anchor distT="0" distB="0" distL="114300" distR="114300" simplePos="0" relativeHeight="251662336" behindDoc="0" locked="0" layoutInCell="1" allowOverlap="1">
            <wp:simplePos x="0" y="0"/>
            <wp:positionH relativeFrom="column">
              <wp:posOffset>427990</wp:posOffset>
            </wp:positionH>
            <wp:positionV relativeFrom="paragraph">
              <wp:posOffset>-2442210</wp:posOffset>
            </wp:positionV>
            <wp:extent cx="4572000" cy="2743200"/>
            <wp:effectExtent l="19050" t="0" r="1905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rPr>
        <w:t>2018年一般公共预算支出决算数为139.2万元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预算205.9</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left="319" w:leftChars="152" w:firstLine="308" w:firstLineChars="96"/>
        <w:rPr>
          <w:rStyle w:val="14"/>
          <w:color w:val="000000" w:themeColor="text1"/>
        </w:rPr>
      </w:pPr>
      <w:r>
        <w:rPr>
          <w:rStyle w:val="14"/>
          <w:rFonts w:hint="eastAsia" w:ascii="仿宋" w:hAnsi="仿宋" w:eastAsia="仿宋"/>
          <w:bCs/>
          <w:color w:val="000000" w:themeColor="text1"/>
          <w:sz w:val="32"/>
          <w:szCs w:val="32"/>
        </w:rPr>
        <w:t>1.科学技术支出126.22万元：</w:t>
      </w:r>
      <w:r>
        <w:rPr>
          <w:rStyle w:val="14"/>
          <w:rFonts w:hint="eastAsia" w:ascii="仿宋" w:hAnsi="仿宋" w:eastAsia="仿宋"/>
          <w:b w:val="0"/>
          <w:bCs/>
          <w:color w:val="000000" w:themeColor="text1"/>
          <w:sz w:val="32"/>
          <w:szCs w:val="32"/>
        </w:rPr>
        <w:t>其中2060701（科学技术支出机构运行）支出决算数为65.82万元，完成预算176.94%，决算数大于预算数的主要原因</w:t>
      </w:r>
      <w:r>
        <w:rPr>
          <w:rFonts w:hint="eastAsia" w:ascii="仿宋" w:hAnsi="仿宋" w:eastAsia="仿宋"/>
          <w:color w:val="000000" w:themeColor="text1"/>
          <w:sz w:val="32"/>
          <w:szCs w:val="32"/>
        </w:rPr>
        <w:t>增资增补工资及津贴，并且实行了新机保补缴了养老保险</w:t>
      </w:r>
      <w:r>
        <w:rPr>
          <w:rStyle w:val="14"/>
          <w:rFonts w:hint="eastAsia" w:ascii="仿宋" w:hAnsi="仿宋" w:eastAsia="仿宋"/>
          <w:b w:val="0"/>
          <w:bCs/>
          <w:color w:val="000000" w:themeColor="text1"/>
          <w:sz w:val="32"/>
          <w:szCs w:val="32"/>
        </w:rPr>
        <w:t>；2060702（科学技术支出  科普活动）支出决算数为10万元，完成预算100%；2060703（科学技术支出  青少年科技活动）支出决算数为10万元，完成预算100%；2060799（科学技术支出  其他科学技术普及支出）支出决算数为40.4万元，未预算，主要用于一是农村实用技术培训10万元，二是井研县周坡东橙柑桔基地柑桔生产技术培训及新品种推广5.4万元，三是井研县科普</w:t>
      </w:r>
      <w:r>
        <w:rPr>
          <w:rStyle w:val="14"/>
          <w:rFonts w:ascii="仿宋" w:hAnsi="仿宋" w:eastAsia="仿宋"/>
          <w:b w:val="0"/>
          <w:bCs/>
          <w:color w:val="000000" w:themeColor="text1"/>
          <w:sz w:val="32"/>
          <w:szCs w:val="32"/>
        </w:rPr>
        <w:t>e</w:t>
      </w:r>
      <w:r>
        <w:rPr>
          <w:rStyle w:val="14"/>
          <w:rFonts w:hint="eastAsia" w:ascii="仿宋" w:hAnsi="仿宋" w:eastAsia="仿宋"/>
          <w:b w:val="0"/>
          <w:bCs/>
          <w:color w:val="000000" w:themeColor="text1"/>
          <w:sz w:val="32"/>
          <w:szCs w:val="32"/>
        </w:rPr>
        <w:t>站建设4.6万元，三是井研县石马金鱼桥现代农业专业合作社联合社省级一流农村科普示范基地建设20万元，四是“金桥工程”和第十二届优秀科技学术论文获奖0.4万元。</w:t>
      </w:r>
    </w:p>
    <w:p>
      <w:pPr>
        <w:spacing w:line="600" w:lineRule="exact"/>
        <w:ind w:firstLine="643" w:firstLineChars="200"/>
        <w:rPr>
          <w:rFonts w:ascii="仿宋" w:hAnsi="仿宋" w:eastAsia="仿宋"/>
          <w:b/>
          <w:color w:val="000000" w:themeColor="text1"/>
          <w:sz w:val="32"/>
          <w:szCs w:val="32"/>
        </w:rPr>
      </w:pPr>
      <w:r>
        <w:rPr>
          <w:rStyle w:val="14"/>
          <w:rFonts w:ascii="仿宋" w:hAnsi="仿宋" w:eastAsia="仿宋"/>
          <w:bCs/>
          <w:color w:val="000000" w:themeColor="text1"/>
          <w:sz w:val="32"/>
          <w:szCs w:val="32"/>
        </w:rPr>
        <w:t>2.</w:t>
      </w:r>
      <w:r>
        <w:rPr>
          <w:rStyle w:val="14"/>
          <w:rFonts w:hint="eastAsia" w:ascii="仿宋" w:hAnsi="仿宋" w:eastAsia="仿宋"/>
          <w:bCs/>
          <w:color w:val="000000" w:themeColor="text1"/>
          <w:sz w:val="32"/>
          <w:szCs w:val="32"/>
        </w:rPr>
        <w:t>社会保障就业支出5.53万元</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其中：2080505（机关事业单位基本养老保险缴费支出）支出决算为5.53万元，完成预算63</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，决算数小于预算数的主要原因是人员调整缴费基数下降。</w:t>
      </w:r>
    </w:p>
    <w:p>
      <w:pPr>
        <w:spacing w:line="600" w:lineRule="exact"/>
        <w:ind w:firstLine="643" w:firstLineChars="200"/>
        <w:rPr>
          <w:rFonts w:ascii="仿宋" w:hAnsi="仿宋" w:eastAsia="仿宋"/>
          <w:b/>
          <w:color w:val="000000" w:themeColor="text1"/>
          <w:sz w:val="32"/>
          <w:szCs w:val="32"/>
        </w:rPr>
      </w:pPr>
      <w:r>
        <w:rPr>
          <w:rStyle w:val="14"/>
          <w:rFonts w:ascii="仿宋" w:hAnsi="仿宋" w:eastAsia="仿宋"/>
          <w:bCs/>
          <w:color w:val="000000" w:themeColor="text1"/>
          <w:sz w:val="32"/>
          <w:szCs w:val="32"/>
        </w:rPr>
        <w:t>3.</w:t>
      </w:r>
      <w:r>
        <w:rPr>
          <w:rStyle w:val="14"/>
          <w:rFonts w:hint="eastAsia" w:ascii="仿宋" w:hAnsi="仿宋" w:eastAsia="仿宋"/>
          <w:bCs/>
          <w:color w:val="000000" w:themeColor="text1"/>
          <w:sz w:val="32"/>
          <w:szCs w:val="32"/>
        </w:rPr>
        <w:t>医疗卫生与计划生育支出1.12万元</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其中2101102（事业单位医疗）支出决算为1.12万元，完成预算94</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，决算数小于预算数的主要原因是预算缴费基数大于实际缴费基数。</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住房保障支出6.33万元</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其中2210201（住房公积金）支出决算为6.33万元，完成预算182.95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，决算数大于预算数的主要原因是本年度住房公积金缴费基数调整。</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8年一般公共预算财政拨款基本支出139.2万元，其中：</w:t>
      </w:r>
    </w:p>
    <w:p>
      <w:pPr>
        <w:spacing w:line="600" w:lineRule="exact"/>
        <w:ind w:firstLine="645"/>
        <w:rPr>
          <w:rFonts w:ascii="仿宋" w:hAnsi="仿宋" w:eastAsia="仿宋"/>
          <w:color w:val="000000" w:themeColor="text1"/>
          <w:sz w:val="32"/>
          <w:szCs w:val="32"/>
        </w:rPr>
      </w:pPr>
      <w:r>
        <w:rPr>
          <w:rFonts w:hint="eastAsia" w:ascii="仿宋" w:hAnsi="仿宋" w:eastAsia="仿宋"/>
          <w:color w:val="000000" w:themeColor="text1"/>
          <w:sz w:val="32"/>
          <w:szCs w:val="32"/>
        </w:rPr>
        <w:t>人员经费74.46万元，主要包括：基本工资、津贴补贴、奖金、伙食补助费、机关事业单位基本养老保险缴费、职业年金缴费、其他社会保障缴费、职工基本医疗保险缴费医疗费、住房公积金、其他对个人和家庭的补助支出等。</w:t>
      </w:r>
      <w:r>
        <w:rPr>
          <w:rFonts w:ascii="仿宋" w:hAnsi="仿宋" w:eastAsia="仿宋"/>
          <w:color w:val="000000" w:themeColor="text1"/>
          <w:sz w:val="32"/>
          <w:szCs w:val="32"/>
        </w:rPr>
        <w:br w:type="textWrapping"/>
      </w:r>
      <w:r>
        <w:rPr>
          <w:rFonts w:hint="eastAsia" w:ascii="仿宋" w:hAnsi="仿宋" w:eastAsia="仿宋"/>
          <w:color w:val="000000" w:themeColor="text1"/>
          <w:sz w:val="32"/>
          <w:szCs w:val="32"/>
        </w:rPr>
        <w:t>　　公用经费4.34万元，主要包括：办公费、水费、电费、邮电费、物业管理费、差旅费、公务接待费、工会经费、其他交通费。</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8年“三公”经费财政拨款支出决算为0.31万元，完成预算100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themeColor="text1"/>
          <w:sz w:val="32"/>
          <w:szCs w:val="32"/>
        </w:rPr>
      </w:pPr>
      <w:bookmarkStart w:id="45" w:name="_Toc15377217"/>
      <w:r>
        <w:rPr>
          <w:rFonts w:hint="eastAsia" w:ascii="仿宋" w:hAnsi="仿宋" w:eastAsia="仿宋"/>
          <w:b/>
          <w:color w:val="000000" w:themeColor="text1"/>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8年“三公”经费财政拨款支出决算中，公务接待费支出决算0.31万元，占100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427355</wp:posOffset>
            </wp:positionH>
            <wp:positionV relativeFrom="paragraph">
              <wp:posOffset>110490</wp:posOffset>
            </wp:positionV>
            <wp:extent cx="2886075" cy="1504950"/>
            <wp:effectExtent l="19050" t="0" r="9525"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 w:hAnsi="仿宋" w:eastAsia="仿宋"/>
          <w:color w:val="000000" w:themeColor="text1"/>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rPr>
        <w:t>0.31万元，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themeColor="text1"/>
          <w:sz w:val="32"/>
          <w:szCs w:val="32"/>
        </w:rPr>
        <w:t>公务接待费支出决算比</w:t>
      </w:r>
      <w:r>
        <w:rPr>
          <w:rFonts w:ascii="仿宋" w:hAnsi="仿宋" w:eastAsia="仿宋"/>
          <w:color w:val="000000" w:themeColor="text1"/>
          <w:sz w:val="32"/>
          <w:szCs w:val="32"/>
        </w:rPr>
        <w:t>201</w:t>
      </w:r>
      <w:r>
        <w:rPr>
          <w:rFonts w:hint="eastAsia" w:ascii="仿宋" w:hAnsi="仿宋" w:eastAsia="仿宋"/>
          <w:color w:val="000000" w:themeColor="text1"/>
          <w:sz w:val="32"/>
          <w:szCs w:val="32"/>
        </w:rPr>
        <w:t>7年增加0.19万元，增长158.33</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。主要原因是共享科技馆选址接待。</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主要用于执行公务、开展业务活动开支的交通费、住宿费、用餐费等。国内公务接待3批次，48人次（不包括陪同人员），共计支出0.31万元，具体内容包括：一是接待省科技馆、市科协来井研调研共享科技馆筹备情况午餐0.15万元，晚餐0.072万元；二是峨眉山市科协到井研科协开展“大学习大讨论大调研活动”餐费0.053万元；市科协到井研县科协指导科普e站建设工作餐费0.036万元。</w:t>
      </w:r>
    </w:p>
    <w:p>
      <w:pPr>
        <w:spacing w:line="600" w:lineRule="exact"/>
        <w:ind w:firstLine="640"/>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spacing w:line="600" w:lineRule="exact"/>
        <w:ind w:firstLine="640" w:firstLineChars="20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九、国有资本经营预算支出决算情况说明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pStyle w:val="23"/>
        <w:numPr>
          <w:ilvl w:val="0"/>
          <w:numId w:val="3"/>
        </w:numPr>
        <w:spacing w:line="60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600" w:lineRule="exact"/>
        <w:ind w:firstLine="643" w:firstLineChars="200"/>
        <w:rPr>
          <w:rFonts w:ascii="楷体_GB2312" w:hAnsi="仿宋" w:eastAsia="楷体_GB2312" w:cs="楷体_GB2312"/>
          <w:b/>
          <w:bCs/>
          <w:sz w:val="32"/>
          <w:szCs w:val="32"/>
        </w:rPr>
      </w:pPr>
      <w:r>
        <w:rPr>
          <w:rFonts w:hint="eastAsia" w:ascii="楷体_GB2312" w:hAnsi="仿宋" w:eastAsia="楷体_GB2312" w:cs="楷体_GB2312"/>
          <w:b/>
          <w:bCs/>
          <w:sz w:val="32"/>
          <w:szCs w:val="32"/>
        </w:rPr>
        <w:t>预算绩效管理工作开展情况。</w:t>
      </w:r>
    </w:p>
    <w:p>
      <w:pPr>
        <w:spacing w:line="600"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我单位领导高度重视财政支出绩效评价工作，成立了以主席为组长的财政支出绩效自评工作领导小组，部署按通知要求开展财政支出绩效自评工作，全面、客观的完成2018年度财政支出绩效自评工作</w:t>
      </w:r>
      <w:r>
        <w:rPr>
          <w:rFonts w:hint="eastAsia" w:ascii="仿宋_GB2312" w:hAnsi="仿宋_GB2312" w:eastAsia="仿宋_GB2312" w:cs="仿宋_GB2312"/>
          <w:sz w:val="32"/>
          <w:szCs w:val="32"/>
        </w:rPr>
        <w:t>。</w:t>
      </w:r>
    </w:p>
    <w:p>
      <w:pPr>
        <w:numPr>
          <w:ilvl w:val="0"/>
          <w:numId w:val="4"/>
        </w:numPr>
        <w:spacing w:line="600" w:lineRule="exact"/>
        <w:ind w:firstLine="643" w:firstLineChars="200"/>
        <w:rPr>
          <w:rFonts w:ascii="仿宋_GB2312" w:hAnsi="仿宋_GB2312" w:eastAsia="仿宋_GB2312" w:cs="仿宋_GB2312"/>
          <w:sz w:val="32"/>
          <w:szCs w:val="32"/>
        </w:rPr>
      </w:pPr>
      <w:r>
        <w:rPr>
          <w:rFonts w:hint="eastAsia" w:ascii="楷体_GB2312" w:hAnsi="仿宋" w:eastAsia="楷体_GB2312" w:cs="楷体_GB2312"/>
          <w:b/>
          <w:bCs/>
          <w:sz w:val="32"/>
          <w:szCs w:val="32"/>
        </w:rPr>
        <w:t>项目绩效目标完成情况。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无。</w:t>
      </w: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好。</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 w:hAnsi="仿宋" w:eastAsia="仿宋"/>
          <w:color w:val="000000" w:themeColor="text1"/>
          <w:sz w:val="32"/>
          <w:szCs w:val="32"/>
        </w:rPr>
        <w:t>201</w:t>
      </w:r>
      <w:r>
        <w:rPr>
          <w:rFonts w:hint="eastAsia" w:ascii="仿宋" w:hAnsi="仿宋" w:eastAsia="仿宋"/>
          <w:color w:val="000000" w:themeColor="text1"/>
          <w:sz w:val="32"/>
          <w:szCs w:val="32"/>
        </w:rPr>
        <w:t>8年，县科协机关运行经费支出139.2万元，比</w:t>
      </w:r>
      <w:r>
        <w:rPr>
          <w:rFonts w:ascii="仿宋" w:hAnsi="仿宋" w:eastAsia="仿宋"/>
          <w:color w:val="000000" w:themeColor="text1"/>
          <w:sz w:val="32"/>
          <w:szCs w:val="32"/>
        </w:rPr>
        <w:t>201</w:t>
      </w:r>
      <w:r>
        <w:rPr>
          <w:rFonts w:hint="eastAsia" w:ascii="仿宋" w:hAnsi="仿宋" w:eastAsia="仿宋"/>
          <w:color w:val="000000" w:themeColor="text1"/>
          <w:sz w:val="32"/>
          <w:szCs w:val="32"/>
        </w:rPr>
        <w:t>7年增加116.16万元，增长19.83</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。主要变动原因一是增资增补工资及津贴，并且实行了新机保补缴了养老保险；二是项目资金增加。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201</w:t>
      </w:r>
      <w:r>
        <w:rPr>
          <w:rFonts w:hint="eastAsia" w:ascii="仿宋" w:hAnsi="仿宋" w:eastAsia="仿宋"/>
          <w:color w:val="000000" w:themeColor="text1"/>
          <w:sz w:val="32"/>
          <w:szCs w:val="32"/>
        </w:rPr>
        <w:t>8年，县科协政府采购支出总额0万元。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截至</w:t>
      </w:r>
      <w:r>
        <w:rPr>
          <w:rFonts w:ascii="仿宋" w:hAnsi="仿宋" w:eastAsia="仿宋"/>
          <w:color w:val="000000" w:themeColor="text1"/>
          <w:sz w:val="32"/>
          <w:szCs w:val="32"/>
        </w:rPr>
        <w:t>201</w:t>
      </w:r>
      <w:r>
        <w:rPr>
          <w:rFonts w:hint="eastAsia" w:ascii="仿宋" w:hAnsi="仿宋" w:eastAsia="仿宋"/>
          <w:color w:val="000000" w:themeColor="text1"/>
          <w:sz w:val="32"/>
          <w:szCs w:val="32"/>
        </w:rPr>
        <w:t>8年</w:t>
      </w:r>
      <w:r>
        <w:rPr>
          <w:rFonts w:ascii="仿宋" w:hAnsi="仿宋" w:eastAsia="仿宋"/>
          <w:color w:val="000000" w:themeColor="text1"/>
          <w:sz w:val="32"/>
          <w:szCs w:val="32"/>
        </w:rPr>
        <w:t>12</w:t>
      </w:r>
      <w:r>
        <w:rPr>
          <w:rFonts w:hint="eastAsia" w:ascii="仿宋" w:hAnsi="仿宋" w:eastAsia="仿宋"/>
          <w:color w:val="000000" w:themeColor="text1"/>
          <w:sz w:val="32"/>
          <w:szCs w:val="32"/>
        </w:rPr>
        <w:t>月</w:t>
      </w:r>
      <w:r>
        <w:rPr>
          <w:rFonts w:ascii="仿宋" w:hAnsi="仿宋" w:eastAsia="仿宋"/>
          <w:color w:val="000000" w:themeColor="text1"/>
          <w:sz w:val="32"/>
          <w:szCs w:val="32"/>
        </w:rPr>
        <w:t>31</w:t>
      </w:r>
      <w:r>
        <w:rPr>
          <w:rFonts w:hint="eastAsia" w:ascii="仿宋" w:hAnsi="仿宋" w:eastAsia="仿宋"/>
          <w:color w:val="000000" w:themeColor="text1"/>
          <w:sz w:val="32"/>
          <w:szCs w:val="32"/>
        </w:rPr>
        <w:t>日，县科协共有车辆0辆，单价</w:t>
      </w:r>
      <w:r>
        <w:rPr>
          <w:rFonts w:ascii="仿宋" w:hAnsi="仿宋" w:eastAsia="仿宋"/>
          <w:color w:val="000000" w:themeColor="text1"/>
          <w:sz w:val="32"/>
          <w:szCs w:val="32"/>
        </w:rPr>
        <w:t>50</w:t>
      </w:r>
      <w:r>
        <w:rPr>
          <w:rFonts w:hint="eastAsia" w:ascii="仿宋" w:hAnsi="仿宋" w:eastAsia="仿宋"/>
          <w:color w:val="000000" w:themeColor="text1"/>
          <w:sz w:val="32"/>
          <w:szCs w:val="32"/>
        </w:rPr>
        <w:t>万元以上通用设备0台（套），单价</w:t>
      </w:r>
      <w:r>
        <w:rPr>
          <w:rFonts w:ascii="仿宋" w:hAnsi="仿宋" w:eastAsia="仿宋"/>
          <w:color w:val="000000" w:themeColor="text1"/>
          <w:sz w:val="32"/>
          <w:szCs w:val="32"/>
        </w:rPr>
        <w:t>100</w:t>
      </w:r>
      <w:r>
        <w:rPr>
          <w:rFonts w:hint="eastAsia" w:ascii="仿宋" w:hAnsi="仿宋" w:eastAsia="仿宋"/>
          <w:color w:val="000000" w:themeColor="text1"/>
          <w:sz w:val="32"/>
          <w:szCs w:val="32"/>
        </w:rPr>
        <w:t>万元以上专用设备0台（套）。</w:t>
      </w:r>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br w:type="page"/>
      </w:r>
    </w:p>
    <w:p>
      <w:pPr>
        <w:numPr>
          <w:ilvl w:val="0"/>
          <w:numId w:val="5"/>
        </w:numPr>
        <w:spacing w:line="600" w:lineRule="exact"/>
        <w:ind w:firstLine="660" w:firstLineChars="150"/>
        <w:jc w:val="center"/>
        <w:outlineLvl w:val="0"/>
        <w:rPr>
          <w:rStyle w:val="24"/>
          <w:rFonts w:ascii="方正小标宋_GBK" w:hAnsi="黑体" w:eastAsia="方正小标宋_GBK"/>
          <w:b w:val="0"/>
        </w:rPr>
      </w:pPr>
      <w:bookmarkStart w:id="55" w:name="_Toc15377225"/>
      <w:bookmarkStart w:id="56" w:name="_Toc15396613"/>
      <w:r>
        <w:rPr>
          <w:rFonts w:hint="eastAsia" w:ascii="方正小标宋_GBK" w:hAnsi="黑体" w:eastAsia="方正小标宋_GBK"/>
          <w:b/>
          <w:color w:val="000000"/>
          <w:sz w:val="44"/>
          <w:szCs w:val="44"/>
        </w:rPr>
        <w:t>名</w:t>
      </w:r>
      <w:r>
        <w:rPr>
          <w:rStyle w:val="24"/>
          <w:rFonts w:hint="eastAsia" w:ascii="方正小标宋_GBK" w:hAnsi="黑体" w:eastAsia="方正小标宋_GBK"/>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hAnsi="仿宋" w:cs="Times New Roman"/>
          <w:color w:val="000000" w:themeColor="text1"/>
          <w:kern w:val="2"/>
          <w:sz w:val="32"/>
          <w:szCs w:val="32"/>
        </w:rPr>
      </w:pPr>
      <w:r>
        <w:rPr>
          <w:rFonts w:hint="eastAsia" w:hAnsi="仿宋" w:cs="Times New Roman"/>
          <w:color w:val="000000" w:themeColor="text1"/>
          <w:kern w:val="2"/>
          <w:sz w:val="32"/>
          <w:szCs w:val="32"/>
        </w:rPr>
        <w:t xml:space="preserve">1.财政拨款收入：指单位从同级财政部门取得的财政预算资金。 </w:t>
      </w:r>
    </w:p>
    <w:p>
      <w:pPr>
        <w:pStyle w:val="22"/>
        <w:spacing w:line="560" w:lineRule="exact"/>
        <w:ind w:firstLine="640" w:firstLineChars="200"/>
        <w:rPr>
          <w:rFonts w:hAnsi="仿宋" w:cs="Times New Roman"/>
          <w:color w:val="000000" w:themeColor="text1"/>
          <w:kern w:val="2"/>
          <w:sz w:val="32"/>
          <w:szCs w:val="32"/>
        </w:rPr>
      </w:pPr>
      <w:r>
        <w:rPr>
          <w:rFonts w:hint="eastAsia" w:hAnsi="仿宋" w:cs="Times New Roman"/>
          <w:color w:val="000000" w:themeColor="text1"/>
          <w:kern w:val="2"/>
          <w:sz w:val="32"/>
          <w:szCs w:val="32"/>
        </w:rPr>
        <w:t xml:space="preserve">2.其他收入：指单位取得的除上述收入以外的各项收入。主要是市级部门给予的补助等。 </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3.科学技术支出：指反映单位运行和职工福利方面的支出。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4.社会保障和就业支出：指反映政府在社会保障与就业方面的支出。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（1）机关事业单位基本养老保险缴费支出：指反映机关单位实施养老保险制度由单位缴纳的基本养老保险费支出。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5.医疗卫生与计划生育支出：指反映政府医疗卫生与计划生育管理方面的支出。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（1）事业单位医疗：指反映财政部门安排的事业单位基本医疗保险缴费经费。</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6.住房保障支出：指集中反映政府用于住房方面的支出。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（1）住房公积金：指反映行政事业单位按人力资源和社会保障部、财政部规定的基本工资和津贴补贴以及规定比例为职工缴纳的住房公积金。</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7.基本支出：指为保障机构正常运转、完成日常工作任务而发生的人员支出和公用支出。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8.项目支出：指在基本支出之外为完成特定行政任务和事业发展目标所发生的支出。 </w:t>
      </w:r>
    </w:p>
    <w:p>
      <w:pPr>
        <w:pStyle w:val="22"/>
        <w:spacing w:line="560" w:lineRule="exact"/>
        <w:ind w:firstLine="640" w:firstLineChars="200"/>
        <w:rPr>
          <w:rFonts w:hAnsi="仿宋" w:cs="Times New Roman"/>
          <w:color w:val="000000" w:themeColor="text1"/>
          <w:kern w:val="2"/>
          <w:sz w:val="32"/>
          <w:szCs w:val="32"/>
        </w:rPr>
      </w:pPr>
      <w:r>
        <w:rPr>
          <w:rFonts w:hint="eastAsia" w:hAnsi="仿宋" w:cs="Times New Roman"/>
          <w:color w:val="000000" w:themeColor="text1"/>
          <w:kern w:val="2"/>
          <w:sz w:val="32"/>
          <w:szCs w:val="32"/>
        </w:rPr>
        <w:t>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hAnsi="仿宋" w:cs="Times New Roman"/>
          <w:color w:val="000000" w:themeColor="text1"/>
          <w:kern w:val="2"/>
          <w:sz w:val="32"/>
          <w:szCs w:val="32"/>
        </w:rPr>
      </w:pPr>
      <w:r>
        <w:rPr>
          <w:rFonts w:hint="eastAsia" w:hAnsi="仿宋" w:cs="Times New Roman"/>
          <w:color w:val="000000" w:themeColor="text1"/>
          <w:kern w:val="2"/>
          <w:sz w:val="32"/>
          <w:szCs w:val="32"/>
        </w:rPr>
        <w:t>10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11.结余分配：指事业单位按规定提取的职工福利基金、事业基金和缴纳的所得税，以及建设单位按规定应交回的基本建设竣工项目结余资金。</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12.年末结转和结余：指本年度或以前年度预算安排、因客观条件发生变化无法按原计划实施，需延迟到以后年度按有关规定继续使用的资金。</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13.基本支出：指为保障机构正常运转、完成日常工作任务而发生的人员支出和公用支出。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14.项目支出：指在基本支出之外为完成特定行政任务和事业发展目标所发生的支出。 </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15.经营支出：指事业单位在专业业务活动及其辅助活动之外开展非独立核算经营活动发生的支出。</w:t>
      </w:r>
    </w:p>
    <w:p>
      <w:pPr>
        <w:pStyle w:val="22"/>
        <w:spacing w:line="560" w:lineRule="exact"/>
        <w:ind w:firstLine="640" w:firstLineChars="200"/>
        <w:rPr>
          <w:rFonts w:hAnsi="仿宋" w:cs="Times New Roman"/>
          <w:color w:val="000000" w:themeColor="text1"/>
          <w:kern w:val="2"/>
          <w:sz w:val="32"/>
          <w:szCs w:val="32"/>
        </w:rPr>
      </w:pPr>
      <w:r>
        <w:rPr>
          <w:rFonts w:hint="eastAsia" w:hAnsi="仿宋" w:cs="Times New Roman"/>
          <w:color w:val="000000" w:themeColor="text1"/>
          <w:kern w:val="2"/>
          <w:sz w:val="32"/>
          <w:szCs w:val="32"/>
        </w:rPr>
        <w:t>16.“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hAnsi="仿宋" w:cs="Times New Roman"/>
          <w:color w:val="000000" w:themeColor="text1"/>
          <w:kern w:val="2"/>
          <w:sz w:val="32"/>
          <w:szCs w:val="32"/>
        </w:rPr>
      </w:pPr>
      <w:r>
        <w:rPr>
          <w:rFonts w:hint="eastAsia" w:hAnsi="仿宋" w:cs="Times New Roman"/>
          <w:color w:val="000000" w:themeColor="text1"/>
          <w:kern w:val="2"/>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方正小标宋_GBK" w:hAnsi="黑体" w:eastAsia="方正小标宋_GBK"/>
          <w:b w:val="0"/>
        </w:rPr>
      </w:pPr>
      <w:bookmarkStart w:id="57" w:name="_Toc15377226"/>
      <w:r>
        <w:rPr>
          <w:rFonts w:ascii="仿宋" w:hAnsi="仿宋" w:eastAsia="仿宋"/>
          <w:color w:val="000000" w:themeColor="text1"/>
          <w:sz w:val="32"/>
          <w:szCs w:val="32"/>
        </w:rPr>
        <w:br w:type="page"/>
      </w:r>
      <w:bookmarkStart w:id="58" w:name="_Toc15396614"/>
      <w:r>
        <w:rPr>
          <w:rFonts w:hint="eastAsia" w:ascii="方正小标宋_GBK" w:hAnsi="黑体" w:eastAsia="方正小标宋_GBK"/>
          <w:color w:val="000000"/>
          <w:sz w:val="44"/>
          <w:szCs w:val="44"/>
        </w:rPr>
        <w:t>第</w:t>
      </w:r>
      <w:r>
        <w:rPr>
          <w:rStyle w:val="24"/>
          <w:rFonts w:hint="eastAsia" w:ascii="方正小标宋_GBK" w:hAnsi="黑体" w:eastAsia="方正小标宋_GBK"/>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井研县科学技术协会部门2018年部门</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（一）机构组成。</w:t>
      </w:r>
    </w:p>
    <w:p>
      <w:pPr>
        <w:spacing w:line="5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县科协部门预算1个单位，其中：参公单位1个。</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（二）机构职能。</w:t>
      </w:r>
    </w:p>
    <w:p>
      <w:pPr>
        <w:spacing w:line="5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井研县科学技术协会,是中国共产党井研县委员会领导下的人民团体，是党和政府联系科学技术工作者的桥梁和纽带，是我县推动科学技术事业发展的重要力量，主要职责有：1.开展学术交流，活跃学术思想，促进学科发展；2.普及科学知识，传播科学思想和科学方法，推广先进技术，开展青少年科技教育活动，提高全县公民科学文化素质；3.反映科技工作者的意见和要求，维护科技工作者的合法权益；4. 举荐人才，表彰奖励优秀科技工作者；5.开展科学论证、咨询服务，提出政策建议，促进科技成果的转化；6.对所属县级学会、协会、研究会进行管理，对乡镇科协和县属厂矿科协进行业务指导；7.承担县委、</w:t>
      </w:r>
      <w:r>
        <w:rPr>
          <w:rFonts w:hint="eastAsia" w:ascii="仿宋" w:hAnsi="仿宋" w:eastAsia="仿宋"/>
          <w:color w:val="000000" w:themeColor="text1"/>
          <w:sz w:val="32"/>
          <w:szCs w:val="32"/>
          <w:lang w:eastAsia="zh-CN"/>
        </w:rPr>
        <w:t>县</w:t>
      </w:r>
      <w:bookmarkStart w:id="75" w:name="_GoBack"/>
      <w:bookmarkEnd w:id="75"/>
      <w:r>
        <w:rPr>
          <w:rFonts w:hint="eastAsia" w:ascii="仿宋" w:hAnsi="仿宋" w:eastAsia="仿宋"/>
          <w:color w:val="000000" w:themeColor="text1"/>
          <w:sz w:val="32"/>
          <w:szCs w:val="32"/>
        </w:rPr>
        <w:t>政府和市科协交办的其他事项。</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（三）人员概况。</w:t>
      </w:r>
    </w:p>
    <w:p>
      <w:pPr>
        <w:spacing w:line="580" w:lineRule="exact"/>
        <w:ind w:firstLine="640" w:firstLineChars="200"/>
        <w:rPr>
          <w:rFonts w:ascii="仿宋_GB2312" w:hAnsi="仿宋" w:eastAsia="仿宋_GB2312" w:cs="仿宋_GB2312"/>
          <w:sz w:val="32"/>
          <w:szCs w:val="32"/>
        </w:rPr>
      </w:pPr>
      <w:r>
        <w:rPr>
          <w:rFonts w:hint="eastAsia" w:ascii="仿宋" w:hAnsi="仿宋" w:eastAsia="仿宋"/>
          <w:color w:val="000000" w:themeColor="text1"/>
          <w:sz w:val="32"/>
          <w:szCs w:val="32"/>
        </w:rPr>
        <w:t>科协总编制4人，其中：参公编制4人。在职人员总数4人，其中：参公编制4人；离退休6人</w:t>
      </w:r>
      <w:r>
        <w:rPr>
          <w:rFonts w:hint="eastAsia" w:ascii="仿宋_GB2312" w:hAnsi="宋体" w:eastAsia="仿宋_GB2312" w:cs="宋体"/>
          <w:kern w:val="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楷体_GB2312" w:hAnsi="仿宋" w:eastAsia="楷体_GB2312" w:cs="仿宋_GB2312"/>
          <w:sz w:val="32"/>
          <w:szCs w:val="32"/>
        </w:rPr>
      </w:pPr>
      <w:r>
        <w:rPr>
          <w:rFonts w:ascii="楷体_GB2312" w:hAnsi="仿宋" w:eastAsia="楷体_GB2312" w:cs="仿宋_GB2312"/>
          <w:sz w:val="32"/>
          <w:szCs w:val="32"/>
        </w:rPr>
        <w:t>（一）部门财政资金收入情况。</w:t>
      </w:r>
    </w:p>
    <w:p>
      <w:pPr>
        <w:spacing w:line="5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2018年收入为170.8万元。其中机构运行67.42万元；科普活动10万元；青少年科技活动10万元；其他科学技术普及支出70.4万元；机关事业单位基本养老保险缴费支出5.53万元；事业单位医疗1.12万元；住房公积金6.33万元。</w:t>
      </w:r>
    </w:p>
    <w:p>
      <w:pPr>
        <w:spacing w:line="580" w:lineRule="exact"/>
        <w:ind w:firstLine="640" w:firstLineChars="200"/>
        <w:rPr>
          <w:rFonts w:ascii="楷体_GB2312" w:hAnsi="仿宋" w:eastAsia="楷体_GB2312" w:cs="仿宋_GB2312"/>
          <w:sz w:val="32"/>
          <w:szCs w:val="32"/>
        </w:rPr>
      </w:pPr>
      <w:r>
        <w:rPr>
          <w:rFonts w:ascii="楷体_GB2312" w:hAnsi="仿宋" w:eastAsia="楷体_GB2312" w:cs="仿宋_GB2312"/>
          <w:sz w:val="32"/>
          <w:szCs w:val="32"/>
        </w:rPr>
        <w:t>（二）部门财政资金支出情况。</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2018年支出140.8万元。其中机构运行67.42万元；科普活动10万元；青少年科技活动10万元；其他科学技术普及支出40.4万元；机关事业单位基本养老保险缴费支出5.53万元；事业单位医疗1.12万元；住房公积金6.33万元。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（一）部门预算管理。</w:t>
      </w:r>
    </w:p>
    <w:p>
      <w:pPr>
        <w:pStyle w:val="30"/>
        <w:numPr>
          <w:ilvl w:val="0"/>
          <w:numId w:val="6"/>
        </w:numPr>
        <w:spacing w:line="560" w:lineRule="exact"/>
        <w:rPr>
          <w:rFonts w:ascii="仿宋_GB2312" w:eastAsia="仿宋_GB2312"/>
          <w:szCs w:val="32"/>
          <w:shd w:val="clear" w:color="auto" w:fill="FFFFFF"/>
        </w:rPr>
      </w:pPr>
      <w:r>
        <w:rPr>
          <w:rFonts w:hint="eastAsia" w:ascii="仿宋_GB2312" w:eastAsia="仿宋_GB2312"/>
          <w:szCs w:val="32"/>
          <w:shd w:val="clear" w:color="auto" w:fill="FFFFFF"/>
        </w:rPr>
        <w:t>预决算编制情况。</w:t>
      </w:r>
    </w:p>
    <w:p>
      <w:pPr>
        <w:spacing w:line="560" w:lineRule="exact"/>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我们在预决算编制中严格执行预决算编制的相关规定，按程序编报预决算，增强了预决算编制的真实性和准确性。</w:t>
      </w:r>
    </w:p>
    <w:p>
      <w:pPr>
        <w:pStyle w:val="30"/>
        <w:numPr>
          <w:ilvl w:val="0"/>
          <w:numId w:val="7"/>
        </w:numPr>
        <w:spacing w:line="560" w:lineRule="exact"/>
        <w:rPr>
          <w:rFonts w:ascii="仿宋_GB2312" w:eastAsia="仿宋_GB2312"/>
          <w:szCs w:val="32"/>
          <w:shd w:val="clear" w:color="auto" w:fill="FFFFFF"/>
        </w:rPr>
      </w:pPr>
      <w:r>
        <w:rPr>
          <w:rFonts w:hint="eastAsia" w:ascii="仿宋_GB2312" w:eastAsia="仿宋_GB2312"/>
          <w:szCs w:val="32"/>
          <w:shd w:val="clear" w:color="auto" w:fill="FFFFFF"/>
        </w:rPr>
        <w:t>执行管理情况。</w:t>
      </w:r>
    </w:p>
    <w:p>
      <w:pPr>
        <w:pStyle w:val="30"/>
        <w:numPr>
          <w:ilvl w:val="0"/>
          <w:numId w:val="0"/>
        </w:numPr>
        <w:topLinePunct/>
        <w:spacing w:line="560" w:lineRule="exact"/>
        <w:ind w:firstLine="640" w:firstLineChars="200"/>
        <w:jc w:val="both"/>
        <w:rPr>
          <w:rFonts w:ascii="仿宋" w:hAnsi="仿宋" w:eastAsia="仿宋"/>
          <w:color w:val="000000" w:themeColor="text1"/>
          <w:szCs w:val="32"/>
          <w:lang w:val="en-US"/>
        </w:rPr>
      </w:pPr>
      <w:r>
        <w:rPr>
          <w:rFonts w:hint="eastAsia" w:ascii="仿宋" w:hAnsi="仿宋" w:eastAsia="仿宋"/>
          <w:color w:val="000000" w:themeColor="text1"/>
          <w:szCs w:val="32"/>
          <w:lang w:val="en-US"/>
        </w:rPr>
        <w:t>一般公共预算当年拨款具体使用情况。</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1.科学技术支出（206）科学技术普及（07）行政运行（01）:2018年预算数为37.23万元，主要用于：机关及参公管理事业单位正常运转的基本支出，包括基本工资、津贴补贴等人员经费以及办公费、印刷费、水电费等日常公用经费。</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2.科学技术支出（206）科学技术普及（07）科普活动（02）:2018年预算数为10万元，主要用于：机关及参公管理事业单位开展财政综合业务、预决算编审等未单独设置项级科目的专门性财政管理工作的项目支出。</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3.科学技术支出（206）科学技术普及（07）青少年科技活动（03）:2018年预算数为10万元，主要用于：开展其他财政事务方面专门性工作任务的项目支出。</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4.社会保障和就业（类）行政事业单位离退休（款）机关事业单位基本养老保险缴费支出（项）:2018年预算数为5.76万元，主要用于：实施养老保险制度后，部门按规定由单位缴纳的基本养老保险费支出。</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5.医疗卫生与计划生育支出（210）行政事业单位医疗（11）事业单位医疗（02）:2018年预算数为1.2万元，主要用于：机关及参公管理事业单位基本医疗保险缴费支出。</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6.住房保障（类）住房改革支出（款）住房公积金（项）:2018年预算数为3.46万元，主要用于：部门按人力资源和社会保障部、财政部规定的基本工资和津贴补贴以及规定比例为职工缴纳的住房公积金支出。</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三公经费预算安排情况说明。</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井研县科学技术协会2018年“三公”经费预算数1.2万元，较上年“三公”经费预算数减少0.6万元。其中财政拨款安排“三公”经费1.2万元。因公出国（境）经费0万元，公务接待费0.2万元，公务用车购置及运行维护费1万元。</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因公出国（境）经费2018年无预算，较上年预算持平；公务接待费较上年预算持平；县科协无公务用车。</w:t>
      </w:r>
    </w:p>
    <w:p>
      <w:pPr>
        <w:pStyle w:val="31"/>
        <w:spacing w:line="560" w:lineRule="exact"/>
        <w:ind w:firstLine="640"/>
        <w:rPr>
          <w:rFonts w:ascii="仿宋" w:hAnsi="仿宋" w:eastAsia="仿宋"/>
          <w:color w:val="000000" w:themeColor="text1"/>
        </w:rPr>
      </w:pPr>
      <w:r>
        <w:rPr>
          <w:rFonts w:hint="eastAsia" w:ascii="仿宋" w:hAnsi="仿宋" w:eastAsia="仿宋"/>
          <w:color w:val="000000" w:themeColor="text1"/>
        </w:rPr>
        <w:t xml:space="preserve"> 三公经费支出情况。</w:t>
      </w:r>
    </w:p>
    <w:p>
      <w:pPr>
        <w:snapToGrid w:val="0"/>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本年度发生接待费3批48人次，计0.31万元，比上年增加0.18万元，增加了158.33%，主要共享科技馆选址接待。</w:t>
      </w:r>
    </w:p>
    <w:p>
      <w:pPr>
        <w:pStyle w:val="30"/>
        <w:numPr>
          <w:ilvl w:val="0"/>
          <w:numId w:val="8"/>
        </w:numPr>
        <w:spacing w:line="560" w:lineRule="exact"/>
        <w:rPr>
          <w:rFonts w:ascii="仿宋_GB2312" w:eastAsia="仿宋_GB2312"/>
          <w:szCs w:val="32"/>
          <w:shd w:val="clear" w:color="auto" w:fill="FFFFFF"/>
        </w:rPr>
      </w:pPr>
      <w:r>
        <w:rPr>
          <w:rFonts w:hint="eastAsia" w:ascii="仿宋_GB2312" w:eastAsia="仿宋_GB2312"/>
          <w:szCs w:val="32"/>
          <w:shd w:val="clear" w:color="auto" w:fill="FFFFFF"/>
        </w:rPr>
        <w:t>综合管理情况。</w:t>
      </w:r>
    </w:p>
    <w:p>
      <w:pPr>
        <w:pStyle w:val="30"/>
        <w:numPr>
          <w:ilvl w:val="0"/>
          <w:numId w:val="0"/>
        </w:numPr>
        <w:spacing w:line="560" w:lineRule="exact"/>
        <w:ind w:firstLine="640" w:firstLineChars="200"/>
        <w:rPr>
          <w:rFonts w:ascii="仿宋" w:hAnsi="仿宋" w:eastAsia="仿宋"/>
          <w:color w:val="000000" w:themeColor="text1"/>
          <w:szCs w:val="32"/>
          <w:lang w:val="en-US"/>
        </w:rPr>
      </w:pPr>
      <w:r>
        <w:rPr>
          <w:rFonts w:hint="eastAsia" w:ascii="仿宋" w:hAnsi="仿宋" w:eastAsia="仿宋"/>
          <w:color w:val="000000" w:themeColor="text1"/>
          <w:szCs w:val="32"/>
          <w:lang w:val="en-US"/>
        </w:rPr>
        <w:t>我单位是执行事业单位会计制度，工作中按会计制度办事做事，坚持厉行节约的原则开展工作，合理安排经费的使用，项目资金的实施坚持按程序报批办理，执行政府采购制度。确保我单位中心各项工作的顺利开展。</w:t>
      </w:r>
    </w:p>
    <w:p>
      <w:pPr>
        <w:pStyle w:val="30"/>
        <w:numPr>
          <w:ilvl w:val="0"/>
          <w:numId w:val="0"/>
        </w:numPr>
        <w:spacing w:line="560" w:lineRule="exact"/>
        <w:ind w:firstLine="635"/>
        <w:rPr>
          <w:rFonts w:ascii="仿宋" w:hAnsi="仿宋" w:eastAsia="仿宋"/>
          <w:color w:val="000000" w:themeColor="text1"/>
          <w:szCs w:val="32"/>
          <w:lang w:val="en-US"/>
        </w:rPr>
      </w:pPr>
      <w:r>
        <w:rPr>
          <w:rFonts w:hint="eastAsia" w:ascii="仿宋" w:hAnsi="仿宋" w:eastAsia="仿宋"/>
          <w:color w:val="000000" w:themeColor="text1"/>
          <w:szCs w:val="32"/>
          <w:lang w:val="en-US"/>
        </w:rPr>
        <w:t>预算管理控制方面:实行全面预算管理，建立健全预算管理制度;编制收支预算坚持“以收定支、收支平衡、统筹兼顾”的原则;严格执行批复的预算、按照规定调整预算;按照财政部门决算编制要求，真实、完整、准确、及时编制决算。</w:t>
      </w:r>
    </w:p>
    <w:p>
      <w:pPr>
        <w:pStyle w:val="30"/>
        <w:numPr>
          <w:ilvl w:val="0"/>
          <w:numId w:val="0"/>
        </w:numPr>
        <w:spacing w:line="560" w:lineRule="exact"/>
        <w:ind w:firstLine="640" w:firstLineChars="200"/>
        <w:rPr>
          <w:rFonts w:ascii="仿宋" w:hAnsi="仿宋" w:eastAsia="仿宋"/>
          <w:color w:val="000000" w:themeColor="text1"/>
          <w:szCs w:val="32"/>
          <w:lang w:val="en-US"/>
        </w:rPr>
      </w:pPr>
      <w:r>
        <w:rPr>
          <w:rFonts w:hint="eastAsia" w:ascii="仿宋" w:hAnsi="仿宋" w:eastAsia="仿宋"/>
          <w:color w:val="000000" w:themeColor="text1"/>
          <w:szCs w:val="32"/>
          <w:lang w:val="en-US"/>
        </w:rPr>
        <w:t>收支管理控制方面:严格执行国家物价政策，建立健全各项收费管理制度。严格执行国家有关财务规章制度规定的开支范围及开支标准，严格执行支出控制，严格执行支付控制，资金支付均按报销业务流程和资金支付结算规定办理手续;严格执行支出核算控制，对各项支出实行复核、监督。</w:t>
      </w:r>
    </w:p>
    <w:p>
      <w:pPr>
        <w:pStyle w:val="30"/>
        <w:numPr>
          <w:ilvl w:val="0"/>
          <w:numId w:val="0"/>
        </w:numPr>
        <w:spacing w:line="560" w:lineRule="exact"/>
        <w:ind w:firstLine="640" w:firstLineChars="200"/>
        <w:rPr>
          <w:rFonts w:ascii="仿宋" w:hAnsi="仿宋" w:eastAsia="仿宋"/>
          <w:color w:val="000000" w:themeColor="text1"/>
          <w:szCs w:val="32"/>
          <w:lang w:val="en-US"/>
        </w:rPr>
      </w:pPr>
      <w:r>
        <w:rPr>
          <w:rFonts w:hint="eastAsia" w:ascii="仿宋" w:hAnsi="仿宋" w:eastAsia="仿宋"/>
          <w:color w:val="000000" w:themeColor="text1"/>
          <w:szCs w:val="32"/>
          <w:lang w:val="en-US"/>
        </w:rPr>
        <w:t>资产管理控制方面:指定人员对固定资产实施管理，并建立健全管理制度，包括固定资产购置、使用、保管、报废等各项制度;定期盘点，盈亏结果均报主管部门和财务部门]审核后再做账务处理，确保账实相符同时，对盘盈、盘亏的固定资产，应当及时查明原因;定期与财务部门进行账务核对，确保账账相符。</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w:t>
      </w:r>
      <w:r>
        <w:rPr>
          <w:rFonts w:ascii="仿宋" w:hAnsi="仿宋" w:eastAsia="仿宋" w:cs="仿宋_GB2312"/>
          <w:sz w:val="32"/>
          <w:szCs w:val="32"/>
        </w:rPr>
        <w:t>。</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2018年在县委县政府的正确领导下，经过县科协全体干部职工的共同努力，各项工作卓有成效。</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（一）评价结论。</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我单位领导高度重视财政支出绩效评价工作，成立了以主席为组长的财政支出绩效自评工作领导小组，部署按通知要求开展财政支出绩效自评工作，全面、客观的完成2018年度财政支出绩效自评工作。</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（二）存在问题。</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无。</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（三）改进建议。</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无。</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方正小标宋_GBK" w:hAnsi="黑体" w:eastAsia="方正小标宋_GBK"/>
          <w:b w:val="0"/>
        </w:rPr>
      </w:pPr>
      <w:bookmarkStart w:id="61" w:name="_Toc15396618"/>
      <w:r>
        <w:rPr>
          <w:rFonts w:hint="eastAsia" w:ascii="方正小标宋_GBK" w:hAnsi="黑体" w:eastAsia="方正小标宋_GBK"/>
          <w:color w:val="000000"/>
          <w:sz w:val="44"/>
          <w:szCs w:val="44"/>
        </w:rPr>
        <w:t>第</w:t>
      </w:r>
      <w:r>
        <w:rPr>
          <w:rStyle w:val="24"/>
          <w:rFonts w:hint="eastAsia" w:ascii="方正小标宋_GBK" w:hAnsi="黑体" w:eastAsia="方正小标宋_GBK"/>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Style w:val="25"/>
          <w:rFonts w:ascii="仿宋" w:hAnsi="仿宋" w:eastAsia="仿宋"/>
          <w:b w:val="0"/>
          <w:bCs w:val="0"/>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701" w:right="1474" w:bottom="1588"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4E6429AE"/>
    <w:multiLevelType w:val="multilevel"/>
    <w:tmpl w:val="4E6429AE"/>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EE55BF3"/>
    <w:multiLevelType w:val="multilevel"/>
    <w:tmpl w:val="7EE55BF3"/>
    <w:lvl w:ilvl="0" w:tentative="0">
      <w:start w:val="1"/>
      <w:numFmt w:val="chineseCountingThousand"/>
      <w:pStyle w:val="30"/>
      <w:suff w:val="nothing"/>
      <w:lvlText w:val="（%1）"/>
      <w:lvlJc w:val="left"/>
      <w:pPr>
        <w:ind w:left="0" w:firstLine="635"/>
      </w:pPr>
      <w:rPr>
        <w:rFonts w:hint="eastAsia"/>
      </w:rPr>
    </w:lvl>
    <w:lvl w:ilvl="1" w:tentative="0">
      <w:start w:val="1"/>
      <w:numFmt w:val="decimal"/>
      <w:lvlText w:val="%2."/>
      <w:lvlJc w:val="left"/>
      <w:pPr>
        <w:ind w:left="980" w:hanging="360"/>
      </w:pPr>
      <w:rPr>
        <w:rFonts w:hint="default"/>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5"/>
  </w:num>
  <w:num w:numId="2">
    <w:abstractNumId w:val="2"/>
  </w:num>
  <w:num w:numId="3">
    <w:abstractNumId w:val="3"/>
  </w:num>
  <w:num w:numId="4">
    <w:abstractNumId w:val="1"/>
  </w:num>
  <w:num w:numId="5">
    <w:abstractNumId w:val="0"/>
  </w:num>
  <w:num w:numId="6">
    <w:abstractNumId w:val="5"/>
    <w:lvlOverride w:ilvl="0">
      <w:startOverride w:val="1"/>
    </w:lvlOverride>
  </w:num>
  <w:num w:numId="7">
    <w:abstractNumId w:val="5"/>
    <w:lvlOverride w:ilvl="0">
      <w:startOverride w:val="2"/>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54CCF"/>
    <w:rsid w:val="0006487A"/>
    <w:rsid w:val="00065F8F"/>
    <w:rsid w:val="000768F2"/>
    <w:rsid w:val="00085229"/>
    <w:rsid w:val="0009184B"/>
    <w:rsid w:val="0009593C"/>
    <w:rsid w:val="000B047F"/>
    <w:rsid w:val="000B5923"/>
    <w:rsid w:val="000B5A48"/>
    <w:rsid w:val="000B6FF3"/>
    <w:rsid w:val="000C3467"/>
    <w:rsid w:val="000C3CA6"/>
    <w:rsid w:val="000D1267"/>
    <w:rsid w:val="000D1D50"/>
    <w:rsid w:val="000D5782"/>
    <w:rsid w:val="000D7184"/>
    <w:rsid w:val="000E6613"/>
    <w:rsid w:val="000E7119"/>
    <w:rsid w:val="00114E9B"/>
    <w:rsid w:val="00135B07"/>
    <w:rsid w:val="00145748"/>
    <w:rsid w:val="001468CC"/>
    <w:rsid w:val="0014729F"/>
    <w:rsid w:val="0015425A"/>
    <w:rsid w:val="00157BAB"/>
    <w:rsid w:val="001654D1"/>
    <w:rsid w:val="0018106D"/>
    <w:rsid w:val="001877A7"/>
    <w:rsid w:val="00191536"/>
    <w:rsid w:val="00191AF0"/>
    <w:rsid w:val="00196687"/>
    <w:rsid w:val="001C0962"/>
    <w:rsid w:val="001C77AF"/>
    <w:rsid w:val="001D7531"/>
    <w:rsid w:val="001E737D"/>
    <w:rsid w:val="001F0592"/>
    <w:rsid w:val="001F7506"/>
    <w:rsid w:val="002006CD"/>
    <w:rsid w:val="0020140F"/>
    <w:rsid w:val="00202B36"/>
    <w:rsid w:val="00204B7A"/>
    <w:rsid w:val="0021101A"/>
    <w:rsid w:val="00220536"/>
    <w:rsid w:val="00235629"/>
    <w:rsid w:val="00260C38"/>
    <w:rsid w:val="002616C0"/>
    <w:rsid w:val="002662AA"/>
    <w:rsid w:val="00280496"/>
    <w:rsid w:val="0028294F"/>
    <w:rsid w:val="00285CAA"/>
    <w:rsid w:val="00295495"/>
    <w:rsid w:val="002A7778"/>
    <w:rsid w:val="002B2613"/>
    <w:rsid w:val="002F1818"/>
    <w:rsid w:val="002F22FC"/>
    <w:rsid w:val="002F567B"/>
    <w:rsid w:val="003066D7"/>
    <w:rsid w:val="003216A9"/>
    <w:rsid w:val="00324086"/>
    <w:rsid w:val="003473D6"/>
    <w:rsid w:val="00365B14"/>
    <w:rsid w:val="0037013F"/>
    <w:rsid w:val="00380C92"/>
    <w:rsid w:val="00386DE5"/>
    <w:rsid w:val="003A484F"/>
    <w:rsid w:val="003B0BE0"/>
    <w:rsid w:val="003B0C1B"/>
    <w:rsid w:val="003B688C"/>
    <w:rsid w:val="003C0291"/>
    <w:rsid w:val="003C39AE"/>
    <w:rsid w:val="003C7B60"/>
    <w:rsid w:val="003D1FB2"/>
    <w:rsid w:val="003D66DA"/>
    <w:rsid w:val="003E1310"/>
    <w:rsid w:val="003E6F55"/>
    <w:rsid w:val="003F1E99"/>
    <w:rsid w:val="00406254"/>
    <w:rsid w:val="00410D62"/>
    <w:rsid w:val="004137A4"/>
    <w:rsid w:val="004223DE"/>
    <w:rsid w:val="00434489"/>
    <w:rsid w:val="00437085"/>
    <w:rsid w:val="00443880"/>
    <w:rsid w:val="004464F4"/>
    <w:rsid w:val="00471401"/>
    <w:rsid w:val="00473F31"/>
    <w:rsid w:val="00481E78"/>
    <w:rsid w:val="0048263A"/>
    <w:rsid w:val="004846C9"/>
    <w:rsid w:val="00487E5D"/>
    <w:rsid w:val="004A711F"/>
    <w:rsid w:val="004B199D"/>
    <w:rsid w:val="004B4690"/>
    <w:rsid w:val="004D29F6"/>
    <w:rsid w:val="004D6D9C"/>
    <w:rsid w:val="004E0A2D"/>
    <w:rsid w:val="004E206B"/>
    <w:rsid w:val="004E6DF7"/>
    <w:rsid w:val="004F0FBD"/>
    <w:rsid w:val="004F729C"/>
    <w:rsid w:val="00505A47"/>
    <w:rsid w:val="00512FDA"/>
    <w:rsid w:val="00520DA0"/>
    <w:rsid w:val="00543BA4"/>
    <w:rsid w:val="00544F9C"/>
    <w:rsid w:val="005664BB"/>
    <w:rsid w:val="0057481D"/>
    <w:rsid w:val="0058486E"/>
    <w:rsid w:val="00596D05"/>
    <w:rsid w:val="005A2C93"/>
    <w:rsid w:val="005C36DF"/>
    <w:rsid w:val="005D1C8B"/>
    <w:rsid w:val="005D5CED"/>
    <w:rsid w:val="005F1A4C"/>
    <w:rsid w:val="00604214"/>
    <w:rsid w:val="00605688"/>
    <w:rsid w:val="006070AF"/>
    <w:rsid w:val="00607E6C"/>
    <w:rsid w:val="006101B1"/>
    <w:rsid w:val="00614E44"/>
    <w:rsid w:val="00622830"/>
    <w:rsid w:val="00630AEF"/>
    <w:rsid w:val="006325F8"/>
    <w:rsid w:val="00634C9A"/>
    <w:rsid w:val="006440E4"/>
    <w:rsid w:val="0066343B"/>
    <w:rsid w:val="00664777"/>
    <w:rsid w:val="00665AE1"/>
    <w:rsid w:val="006748A4"/>
    <w:rsid w:val="00683E73"/>
    <w:rsid w:val="0068744A"/>
    <w:rsid w:val="00691068"/>
    <w:rsid w:val="006A3141"/>
    <w:rsid w:val="006A5E34"/>
    <w:rsid w:val="006B2422"/>
    <w:rsid w:val="006B2B9A"/>
    <w:rsid w:val="006C1937"/>
    <w:rsid w:val="006D2CE6"/>
    <w:rsid w:val="006D63FE"/>
    <w:rsid w:val="006F020C"/>
    <w:rsid w:val="007127B7"/>
    <w:rsid w:val="007226C9"/>
    <w:rsid w:val="007416B6"/>
    <w:rsid w:val="00741C53"/>
    <w:rsid w:val="00746F48"/>
    <w:rsid w:val="0075404D"/>
    <w:rsid w:val="0076182A"/>
    <w:rsid w:val="00767B7E"/>
    <w:rsid w:val="00773B62"/>
    <w:rsid w:val="007770C3"/>
    <w:rsid w:val="00784D24"/>
    <w:rsid w:val="00785FBA"/>
    <w:rsid w:val="00786E4A"/>
    <w:rsid w:val="007875EB"/>
    <w:rsid w:val="0079426B"/>
    <w:rsid w:val="007A317C"/>
    <w:rsid w:val="007D312A"/>
    <w:rsid w:val="007D3F19"/>
    <w:rsid w:val="007D554D"/>
    <w:rsid w:val="007E23B0"/>
    <w:rsid w:val="007F1991"/>
    <w:rsid w:val="007F2C2F"/>
    <w:rsid w:val="007F5225"/>
    <w:rsid w:val="007F55FC"/>
    <w:rsid w:val="007F5665"/>
    <w:rsid w:val="00800112"/>
    <w:rsid w:val="008253BB"/>
    <w:rsid w:val="0083706E"/>
    <w:rsid w:val="008375E6"/>
    <w:rsid w:val="008423A5"/>
    <w:rsid w:val="00850625"/>
    <w:rsid w:val="00853718"/>
    <w:rsid w:val="00855221"/>
    <w:rsid w:val="00855C2C"/>
    <w:rsid w:val="00860645"/>
    <w:rsid w:val="00871F71"/>
    <w:rsid w:val="00884373"/>
    <w:rsid w:val="00885AF4"/>
    <w:rsid w:val="00886AE1"/>
    <w:rsid w:val="008939CD"/>
    <w:rsid w:val="008A0FC3"/>
    <w:rsid w:val="008B4ABE"/>
    <w:rsid w:val="008B768C"/>
    <w:rsid w:val="008C2324"/>
    <w:rsid w:val="008C4DB1"/>
    <w:rsid w:val="008C4EAF"/>
    <w:rsid w:val="008C5176"/>
    <w:rsid w:val="008C7A0A"/>
    <w:rsid w:val="008C7FD0"/>
    <w:rsid w:val="008D0262"/>
    <w:rsid w:val="008D23D8"/>
    <w:rsid w:val="008D578A"/>
    <w:rsid w:val="008E1DE7"/>
    <w:rsid w:val="008E707C"/>
    <w:rsid w:val="00900B08"/>
    <w:rsid w:val="00902155"/>
    <w:rsid w:val="00902FA3"/>
    <w:rsid w:val="00914F36"/>
    <w:rsid w:val="00917D2B"/>
    <w:rsid w:val="00923564"/>
    <w:rsid w:val="0092392E"/>
    <w:rsid w:val="00926C1A"/>
    <w:rsid w:val="00927B7D"/>
    <w:rsid w:val="009315F9"/>
    <w:rsid w:val="009325AE"/>
    <w:rsid w:val="00946945"/>
    <w:rsid w:val="00951248"/>
    <w:rsid w:val="0095152F"/>
    <w:rsid w:val="00954C49"/>
    <w:rsid w:val="00962F74"/>
    <w:rsid w:val="00967C72"/>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308C3"/>
    <w:rsid w:val="00A40A00"/>
    <w:rsid w:val="00A4142F"/>
    <w:rsid w:val="00A467B8"/>
    <w:rsid w:val="00A56DF2"/>
    <w:rsid w:val="00A67AB5"/>
    <w:rsid w:val="00A85CC3"/>
    <w:rsid w:val="00A91760"/>
    <w:rsid w:val="00A93B00"/>
    <w:rsid w:val="00A93C21"/>
    <w:rsid w:val="00A9487F"/>
    <w:rsid w:val="00A97D33"/>
    <w:rsid w:val="00AA4AEA"/>
    <w:rsid w:val="00AA61FE"/>
    <w:rsid w:val="00AC3C6A"/>
    <w:rsid w:val="00AD30A6"/>
    <w:rsid w:val="00AD545C"/>
    <w:rsid w:val="00AD5620"/>
    <w:rsid w:val="00AD73AE"/>
    <w:rsid w:val="00AD7C1B"/>
    <w:rsid w:val="00AE16BA"/>
    <w:rsid w:val="00AE1EBE"/>
    <w:rsid w:val="00AF3FC2"/>
    <w:rsid w:val="00B03048"/>
    <w:rsid w:val="00B03C9D"/>
    <w:rsid w:val="00B060AE"/>
    <w:rsid w:val="00B10517"/>
    <w:rsid w:val="00B14E76"/>
    <w:rsid w:val="00B161B8"/>
    <w:rsid w:val="00B2048C"/>
    <w:rsid w:val="00B238D5"/>
    <w:rsid w:val="00B30083"/>
    <w:rsid w:val="00B310B9"/>
    <w:rsid w:val="00B35F3F"/>
    <w:rsid w:val="00B36CBB"/>
    <w:rsid w:val="00B425E0"/>
    <w:rsid w:val="00B440AA"/>
    <w:rsid w:val="00B44B70"/>
    <w:rsid w:val="00B475FB"/>
    <w:rsid w:val="00B500B9"/>
    <w:rsid w:val="00B53C56"/>
    <w:rsid w:val="00B72113"/>
    <w:rsid w:val="00B77EA6"/>
    <w:rsid w:val="00B81598"/>
    <w:rsid w:val="00B8370C"/>
    <w:rsid w:val="00B841F1"/>
    <w:rsid w:val="00B944D6"/>
    <w:rsid w:val="00B95868"/>
    <w:rsid w:val="00BB4DF0"/>
    <w:rsid w:val="00BC289F"/>
    <w:rsid w:val="00BC5361"/>
    <w:rsid w:val="00BC5460"/>
    <w:rsid w:val="00BC6B50"/>
    <w:rsid w:val="00BD0E25"/>
    <w:rsid w:val="00BD604C"/>
    <w:rsid w:val="00BF5BD6"/>
    <w:rsid w:val="00C03E31"/>
    <w:rsid w:val="00C23131"/>
    <w:rsid w:val="00C24ACB"/>
    <w:rsid w:val="00C33E72"/>
    <w:rsid w:val="00C354B2"/>
    <w:rsid w:val="00C35554"/>
    <w:rsid w:val="00C42709"/>
    <w:rsid w:val="00C533CC"/>
    <w:rsid w:val="00C5751C"/>
    <w:rsid w:val="00C61BFC"/>
    <w:rsid w:val="00C62B85"/>
    <w:rsid w:val="00C65438"/>
    <w:rsid w:val="00C85B14"/>
    <w:rsid w:val="00C91CBB"/>
    <w:rsid w:val="00C95B57"/>
    <w:rsid w:val="00CB7261"/>
    <w:rsid w:val="00CB7B85"/>
    <w:rsid w:val="00CC09B6"/>
    <w:rsid w:val="00CC666F"/>
    <w:rsid w:val="00CD1E3F"/>
    <w:rsid w:val="00CE44F6"/>
    <w:rsid w:val="00CE49DA"/>
    <w:rsid w:val="00CE7B61"/>
    <w:rsid w:val="00D00095"/>
    <w:rsid w:val="00D00C99"/>
    <w:rsid w:val="00D20620"/>
    <w:rsid w:val="00D26091"/>
    <w:rsid w:val="00D32BB0"/>
    <w:rsid w:val="00D34E7C"/>
    <w:rsid w:val="00D35489"/>
    <w:rsid w:val="00D41B11"/>
    <w:rsid w:val="00D42D30"/>
    <w:rsid w:val="00D51276"/>
    <w:rsid w:val="00D52C95"/>
    <w:rsid w:val="00D7035F"/>
    <w:rsid w:val="00D94FEF"/>
    <w:rsid w:val="00DA0E6A"/>
    <w:rsid w:val="00DA65AC"/>
    <w:rsid w:val="00DB1913"/>
    <w:rsid w:val="00DC3400"/>
    <w:rsid w:val="00DC410D"/>
    <w:rsid w:val="00DC68CA"/>
    <w:rsid w:val="00DC7CBA"/>
    <w:rsid w:val="00DD03A7"/>
    <w:rsid w:val="00DD73B7"/>
    <w:rsid w:val="00DE7F3A"/>
    <w:rsid w:val="00DF28BC"/>
    <w:rsid w:val="00DF34B9"/>
    <w:rsid w:val="00E01053"/>
    <w:rsid w:val="00E07ACF"/>
    <w:rsid w:val="00E2389C"/>
    <w:rsid w:val="00E331A1"/>
    <w:rsid w:val="00E33202"/>
    <w:rsid w:val="00E336A9"/>
    <w:rsid w:val="00E45CA2"/>
    <w:rsid w:val="00E50624"/>
    <w:rsid w:val="00E568DF"/>
    <w:rsid w:val="00E64269"/>
    <w:rsid w:val="00E82267"/>
    <w:rsid w:val="00E91825"/>
    <w:rsid w:val="00E94689"/>
    <w:rsid w:val="00E9726E"/>
    <w:rsid w:val="00EA010F"/>
    <w:rsid w:val="00EA6072"/>
    <w:rsid w:val="00EC3C64"/>
    <w:rsid w:val="00ED1B63"/>
    <w:rsid w:val="00ED3C1F"/>
    <w:rsid w:val="00ED4085"/>
    <w:rsid w:val="00ED420E"/>
    <w:rsid w:val="00EE2F57"/>
    <w:rsid w:val="00EF4517"/>
    <w:rsid w:val="00EF4C34"/>
    <w:rsid w:val="00EF77C6"/>
    <w:rsid w:val="00F05438"/>
    <w:rsid w:val="00F1361C"/>
    <w:rsid w:val="00F160C7"/>
    <w:rsid w:val="00F20F74"/>
    <w:rsid w:val="00F36D8F"/>
    <w:rsid w:val="00F417B1"/>
    <w:rsid w:val="00F43283"/>
    <w:rsid w:val="00F602DF"/>
    <w:rsid w:val="00F81FD9"/>
    <w:rsid w:val="00F841AA"/>
    <w:rsid w:val="00FA23E8"/>
    <w:rsid w:val="00FB39E2"/>
    <w:rsid w:val="00FD3CC1"/>
    <w:rsid w:val="00FE62D2"/>
    <w:rsid w:val="00FE6756"/>
    <w:rsid w:val="00FF1E02"/>
    <w:rsid w:val="00FF30B4"/>
    <w:rsid w:val="10C055FF"/>
    <w:rsid w:val="16BB723D"/>
    <w:rsid w:val="240371BF"/>
    <w:rsid w:val="29FD04D3"/>
    <w:rsid w:val="2E697621"/>
    <w:rsid w:val="319F7F4E"/>
    <w:rsid w:val="3EDA122B"/>
    <w:rsid w:val="5DEE51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Char"/>
    <w:basedOn w:val="13"/>
    <w:link w:val="2"/>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styleId="29">
    <w:name w:val="List Paragraph"/>
    <w:basedOn w:val="1"/>
    <w:unhideWhenUsed/>
    <w:uiPriority w:val="99"/>
    <w:pPr>
      <w:ind w:firstLine="420" w:firstLineChars="200"/>
    </w:pPr>
  </w:style>
  <w:style w:type="paragraph" w:customStyle="1" w:styleId="30">
    <w:name w:val="〖B02〗二级标题"/>
    <w:next w:val="1"/>
    <w:qFormat/>
    <w:uiPriority w:val="0"/>
    <w:pPr>
      <w:widowControl w:val="0"/>
      <w:numPr>
        <w:ilvl w:val="0"/>
        <w:numId w:val="1"/>
      </w:numPr>
      <w:spacing w:line="600" w:lineRule="exact"/>
      <w:outlineLvl w:val="1"/>
    </w:pPr>
    <w:rPr>
      <w:rFonts w:ascii="楷体_GB2312" w:hAnsi="Calibri" w:eastAsia="楷体_GB2312" w:cs="Times New Roman"/>
      <w:kern w:val="2"/>
      <w:sz w:val="32"/>
      <w:szCs w:val="21"/>
      <w:lang w:val="zh-CN" w:eastAsia="zh-CN" w:bidi="ar-SA"/>
    </w:rPr>
  </w:style>
  <w:style w:type="paragraph" w:customStyle="1" w:styleId="31">
    <w:name w:val="〖C01〗正文"/>
    <w:qFormat/>
    <w:uiPriority w:val="0"/>
    <w:pPr>
      <w:widowControl w:val="0"/>
      <w:topLinePunct/>
      <w:spacing w:line="600" w:lineRule="exact"/>
      <w:ind w:firstLine="637" w:firstLineChars="200"/>
    </w:pPr>
    <w:rPr>
      <w:rFonts w:ascii="仿宋_GB2312"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esktop\&#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收入支出决算</a:t>
            </a:r>
            <a:endParaRPr lang="zh-CN" altLang="en-US"/>
          </a:p>
        </c:rich>
      </c:tx>
      <c:layout/>
      <c:overlay val="0"/>
    </c:title>
    <c:autoTitleDeleted val="0"/>
    <c:plotArea>
      <c:layout/>
      <c:barChart>
        <c:barDir val="col"/>
        <c:grouping val="stacked"/>
        <c:varyColors val="0"/>
        <c:ser>
          <c:idx val="0"/>
          <c:order val="0"/>
          <c:tx>
            <c:strRef>
              <c:f>单位：万元</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Sheet1!$C$1:$D$1</c:f>
              <c:strCache>
                <c:ptCount val="2"/>
                <c:pt idx="0">
                  <c:v>2017年收支总计</c:v>
                </c:pt>
                <c:pt idx="1">
                  <c:v>2018年收支总计</c:v>
                </c:pt>
              </c:strCache>
            </c:strRef>
          </c:cat>
          <c:val>
            <c:numRef>
              <c:f>Sheet1!$C$2:$D$2</c:f>
              <c:numCache>
                <c:formatCode>General</c:formatCode>
                <c:ptCount val="2"/>
                <c:pt idx="0">
                  <c:v>116.56</c:v>
                </c:pt>
                <c:pt idx="1">
                  <c:v>170.8</c:v>
                </c:pt>
              </c:numCache>
            </c:numRef>
          </c:val>
        </c:ser>
        <c:dLbls>
          <c:showLegendKey val="0"/>
          <c:showVal val="1"/>
          <c:showCatName val="0"/>
          <c:showSerName val="0"/>
          <c:showPercent val="0"/>
          <c:showBubbleSize val="0"/>
        </c:dLbls>
        <c:gapWidth val="150"/>
        <c:overlap val="100"/>
        <c:axId val="128816640"/>
        <c:axId val="128818560"/>
      </c:barChart>
      <c:catAx>
        <c:axId val="1288166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8818560"/>
        <c:crosses val="autoZero"/>
        <c:auto val="1"/>
        <c:lblAlgn val="ctr"/>
        <c:lblOffset val="100"/>
        <c:noMultiLvlLbl val="0"/>
      </c:catAx>
      <c:valAx>
        <c:axId val="1288185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88166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2"/>
              <c:layout>
                <c:manualLayout>
                  <c:x val="0.105117672790901"/>
                  <c:y val="0.004827573636628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Sheet1!$A$1:$C$1</c:f>
              <c:strCache>
                <c:ptCount val="3"/>
                <c:pt idx="0">
                  <c:v>一般公共预算财政拨款收入168.8万元</c:v>
                </c:pt>
                <c:pt idx="1">
                  <c:v>上级补助收入1.6万元</c:v>
                </c:pt>
                <c:pt idx="2">
                  <c:v>年初结转0.4万元</c:v>
                </c:pt>
              </c:strCache>
            </c:strRef>
          </c:cat>
          <c:val>
            <c:numRef>
              <c:f>Sheet1!$A$2:$C$2</c:f>
              <c:numCache>
                <c:formatCode>0.00%</c:formatCode>
                <c:ptCount val="3"/>
                <c:pt idx="0">
                  <c:v>0.9883</c:v>
                </c:pt>
                <c:pt idx="1">
                  <c:v>0.00940000000000002</c:v>
                </c:pt>
                <c:pt idx="2">
                  <c:v>0.00230000000000001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Sheet1!$E$6:$K$6</c:f>
              <c:strCache>
                <c:ptCount val="7"/>
                <c:pt idx="0">
                  <c:v>机构运行67.42万元</c:v>
                </c:pt>
                <c:pt idx="1">
                  <c:v>科普活动10万元</c:v>
                </c:pt>
                <c:pt idx="2">
                  <c:v>青少年科技活动10万元</c:v>
                </c:pt>
                <c:pt idx="3">
                  <c:v>其他科学技术普及支出40.4万元</c:v>
                </c:pt>
                <c:pt idx="4">
                  <c:v>机关事业单位基本养老保险缴费支出5.53万元</c:v>
                </c:pt>
                <c:pt idx="5">
                  <c:v>事业单位医疗1.12万元</c:v>
                </c:pt>
                <c:pt idx="6">
                  <c:v>住房公积金6.33万元</c:v>
                </c:pt>
              </c:strCache>
            </c:strRef>
          </c:cat>
          <c:val>
            <c:numRef>
              <c:f>Sheet1!$E$7:$K$7</c:f>
              <c:numCache>
                <c:formatCode>0.00%</c:formatCode>
                <c:ptCount val="7"/>
                <c:pt idx="0">
                  <c:v>0.478800000000002</c:v>
                </c:pt>
                <c:pt idx="1">
                  <c:v>0.071</c:v>
                </c:pt>
                <c:pt idx="2">
                  <c:v>0.071</c:v>
                </c:pt>
                <c:pt idx="3">
                  <c:v>0.2869</c:v>
                </c:pt>
                <c:pt idx="4">
                  <c:v>0.0393</c:v>
                </c:pt>
                <c:pt idx="5">
                  <c:v>0.00800000000000002</c:v>
                </c:pt>
                <c:pt idx="6">
                  <c:v>0.045</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单位：万元</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Sheet1!$E$5:$H$5</c:f>
              <c:strCache>
                <c:ptCount val="4"/>
                <c:pt idx="0">
                  <c:v>2017年收入</c:v>
                </c:pt>
                <c:pt idx="1">
                  <c:v>2018年收入</c:v>
                </c:pt>
                <c:pt idx="2">
                  <c:v>2017年支出</c:v>
                </c:pt>
                <c:pt idx="3">
                  <c:v>2018年支出</c:v>
                </c:pt>
              </c:strCache>
            </c:strRef>
          </c:cat>
          <c:val>
            <c:numRef>
              <c:f>Sheet1!$E$6:$H$6</c:f>
              <c:numCache>
                <c:formatCode>General</c:formatCode>
                <c:ptCount val="4"/>
                <c:pt idx="0">
                  <c:v>116.56</c:v>
                </c:pt>
                <c:pt idx="1">
                  <c:v>170.8</c:v>
                </c:pt>
                <c:pt idx="2">
                  <c:v>116.16</c:v>
                </c:pt>
                <c:pt idx="3">
                  <c:v>140.8</c:v>
                </c:pt>
              </c:numCache>
            </c:numRef>
          </c:val>
        </c:ser>
        <c:dLbls>
          <c:showLegendKey val="0"/>
          <c:showVal val="1"/>
          <c:showCatName val="0"/>
          <c:showSerName val="0"/>
          <c:showPercent val="0"/>
          <c:showBubbleSize val="0"/>
        </c:dLbls>
        <c:gapWidth val="150"/>
        <c:axId val="123904000"/>
        <c:axId val="123905536"/>
      </c:barChart>
      <c:catAx>
        <c:axId val="1239040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3905536"/>
        <c:crosses val="autoZero"/>
        <c:auto val="1"/>
        <c:lblAlgn val="ctr"/>
        <c:lblOffset val="100"/>
        <c:noMultiLvlLbl val="0"/>
      </c:catAx>
      <c:valAx>
        <c:axId val="1239055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39040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单位：万元</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Sheet1!$D$5:$E$5</c:f>
              <c:strCache>
                <c:ptCount val="2"/>
                <c:pt idx="0">
                  <c:v>2017年一般公共预算财政拨款支出</c:v>
                </c:pt>
                <c:pt idx="1">
                  <c:v>2018年一般公共预算财政拨款支出</c:v>
                </c:pt>
              </c:strCache>
            </c:strRef>
          </c:cat>
          <c:val>
            <c:numRef>
              <c:f>Sheet1!$D$6:$E$6</c:f>
              <c:numCache>
                <c:formatCode>General</c:formatCode>
                <c:ptCount val="2"/>
                <c:pt idx="0">
                  <c:v>116.16</c:v>
                </c:pt>
                <c:pt idx="1">
                  <c:v>139.2</c:v>
                </c:pt>
              </c:numCache>
            </c:numRef>
          </c:val>
        </c:ser>
        <c:dLbls>
          <c:showLegendKey val="0"/>
          <c:showVal val="1"/>
          <c:showCatName val="0"/>
          <c:showSerName val="0"/>
          <c:showPercent val="0"/>
          <c:showBubbleSize val="0"/>
        </c:dLbls>
        <c:gapWidth val="150"/>
        <c:overlap val="100"/>
        <c:axId val="127546496"/>
        <c:axId val="127548032"/>
      </c:barChart>
      <c:catAx>
        <c:axId val="1275464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7548032"/>
        <c:crosses val="autoZero"/>
        <c:auto val="1"/>
        <c:lblAlgn val="ctr"/>
        <c:lblOffset val="100"/>
        <c:noMultiLvlLbl val="0"/>
      </c:catAx>
      <c:valAx>
        <c:axId val="127548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754649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Sheet1!$D$3:$J$3</c:f>
              <c:strCache>
                <c:ptCount val="7"/>
                <c:pt idx="0">
                  <c:v>机构运行65.82万元</c:v>
                </c:pt>
                <c:pt idx="1">
                  <c:v>科普活动10万元</c:v>
                </c:pt>
                <c:pt idx="2">
                  <c:v>青少年科技活动10万元</c:v>
                </c:pt>
                <c:pt idx="3">
                  <c:v>其他科学技术普及支出40.4万元</c:v>
                </c:pt>
                <c:pt idx="4">
                  <c:v>机关事业单位基本养老保险缴费支出5.53万元</c:v>
                </c:pt>
                <c:pt idx="5">
                  <c:v>事业单位医疗.12万元 </c:v>
                </c:pt>
                <c:pt idx="6">
                  <c:v>住房公积金6.33万元</c:v>
                </c:pt>
              </c:strCache>
            </c:strRef>
          </c:cat>
          <c:val>
            <c:numRef>
              <c:f>Sheet1!$D$4:$J$4</c:f>
              <c:numCache>
                <c:formatCode>0.00%</c:formatCode>
                <c:ptCount val="7"/>
                <c:pt idx="0">
                  <c:v>0.472800000000001</c:v>
                </c:pt>
                <c:pt idx="1">
                  <c:v>0.0719</c:v>
                </c:pt>
                <c:pt idx="2">
                  <c:v>0.0719</c:v>
                </c:pt>
                <c:pt idx="3">
                  <c:v>0.2902</c:v>
                </c:pt>
                <c:pt idx="4">
                  <c:v>0.0397</c:v>
                </c:pt>
                <c:pt idx="5">
                  <c:v>0.00800000000000002</c:v>
                </c:pt>
                <c:pt idx="6">
                  <c:v>0.0455</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a:t>公务接待费支出</a:t>
            </a:r>
            <a:r>
              <a:rPr lang="en-US" altLang="zh-CN" sz="1200"/>
              <a:t>0.31</a:t>
            </a:r>
            <a:r>
              <a:rPr lang="zh-CN" altLang="en-US" sz="1200"/>
              <a:t>万元</a:t>
            </a:r>
            <a:endParaRPr lang="zh-CN" altLang="en-US" sz="1200"/>
          </a:p>
        </c:rich>
      </c:tx>
      <c:layout/>
      <c:overlay val="0"/>
    </c:title>
    <c:autoTitleDeleted val="0"/>
    <c:plotArea>
      <c:layout/>
      <c:pieChart>
        <c:varyColors val="1"/>
        <c:ser>
          <c:idx val="0"/>
          <c:order val="0"/>
          <c:tx>
            <c:strRef>
              <c:f>Sheet1!$E$3</c:f>
              <c:strCache>
                <c:ptCount val="1"/>
                <c:pt idx="0">
                  <c:v>公务接待费支出0.31万元</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val>
            <c:numRef>
              <c:f>Sheet1!$E$4</c:f>
              <c:numCache>
                <c:formatCode>0.00%</c:formatCode>
                <c:ptCount val="1"/>
                <c:pt idx="0">
                  <c:v>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35132-36E4-42ED-96FC-62736DB8AE7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1737</Words>
  <Characters>9902</Characters>
  <Lines>82</Lines>
  <Paragraphs>23</Paragraphs>
  <TotalTime>890</TotalTime>
  <ScaleCrop>false</ScaleCrop>
  <LinksUpToDate>false</LinksUpToDate>
  <CharactersWithSpaces>11616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无法接通</cp:lastModifiedBy>
  <cp:lastPrinted>2019-10-31T01:40:00Z</cp:lastPrinted>
  <dcterms:modified xsi:type="dcterms:W3CDTF">2021-02-24T01:38:28Z</dcterms:modified>
  <dc:title>四川省***</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