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96475"/>
      <w:bookmarkStart w:id="4" w:name="_Toc15377193"/>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194"/>
      <w:bookmarkStart w:id="9" w:name="_Toc15377426"/>
      <w:bookmarkStart w:id="10" w:name="_Toc15396476"/>
      <w:r>
        <w:rPr>
          <w:rFonts w:hint="eastAsia" w:ascii="方正小标宋简体" w:hAnsi="宋体" w:eastAsia="方正小标宋简体"/>
          <w:color w:val="000000"/>
          <w:sz w:val="72"/>
          <w:szCs w:val="72"/>
        </w:rPr>
        <w:t>四川省乐山市井研县</w:t>
      </w:r>
      <w:bookmarkEnd w:id="0"/>
      <w:bookmarkStart w:id="11" w:name="_Toc15306268"/>
      <w:r>
        <w:rPr>
          <w:rFonts w:hint="eastAsia" w:ascii="方正小标宋简体" w:hAnsi="宋体" w:eastAsia="方正小标宋简体"/>
          <w:color w:val="000000"/>
          <w:sz w:val="72"/>
          <w:szCs w:val="72"/>
          <w:lang w:eastAsia="zh-CN"/>
        </w:rPr>
        <w:t>信访局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hint="eastAsia" w:ascii="方正小标宋_GBK" w:hAnsi="黑体" w:eastAsia="方正小标宋_GBK"/>
          <w:color w:val="000000"/>
          <w:sz w:val="48"/>
          <w:szCs w:val="48"/>
        </w:rPr>
      </w:pPr>
      <w:r>
        <w:rPr>
          <w:rFonts w:ascii="方正小标宋简体" w:hAnsi="宋体" w:eastAsia="方正小标宋简体"/>
          <w:color w:val="000000"/>
          <w:sz w:val="36"/>
          <w:szCs w:val="36"/>
        </w:rPr>
        <w:br w:type="page"/>
      </w:r>
      <w:r>
        <w:rPr>
          <w:rFonts w:hint="eastAsia" w:ascii="方正小标宋_GBK" w:hAnsi="黑体" w:eastAsia="方正小标宋_GBK"/>
          <w:color w:val="000000"/>
          <w:sz w:val="48"/>
          <w:szCs w:val="48"/>
        </w:rPr>
        <w:t>目  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10</w:t>
      </w:r>
      <w:r>
        <w:rPr>
          <w:rFonts w:hint="eastAsia"/>
        </w:rPr>
        <w:t>月</w:t>
      </w:r>
      <w:r>
        <w:rPr>
          <w:rFonts w:hint="eastAsia"/>
          <w:lang w:val="en-US" w:eastAsia="zh-CN"/>
        </w:rPr>
        <w:t>30</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 xml:space="preserve">一、基本职能及主要工作 </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8</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lang w:val="en-US" w:eastAsia="zh-CN"/>
        </w:rPr>
      </w:pPr>
      <w:r>
        <w:rPr>
          <w:rStyle w:val="16"/>
          <w:rFonts w:hint="eastAsia" w:ascii="仿宋" w:hAnsi="仿宋" w:eastAsia="仿宋" w:cstheme="majorBidi"/>
          <w:bCs/>
          <w:sz w:val="28"/>
          <w:szCs w:val="28"/>
          <w:lang w:eastAsia="zh-CN"/>
        </w:rPr>
        <w:t>十、</w:t>
      </w:r>
      <w:r>
        <w:rPr>
          <w:rStyle w:val="16"/>
          <w:rFonts w:hint="eastAsia" w:ascii="仿宋" w:hAnsi="仿宋" w:eastAsia="仿宋" w:cstheme="majorBidi"/>
          <w:bCs/>
          <w:sz w:val="28"/>
          <w:szCs w:val="28"/>
        </w:rPr>
        <w:t>预算绩效情况说明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rPr>
          <w:rFonts w:hint="eastAsia"/>
          <w:lang w:val="en-US" w:eastAsia="zh-CN"/>
        </w:rPr>
        <w:t>1</w:t>
      </w:r>
      <w:r>
        <w:fldChar w:fldCharType="end"/>
      </w:r>
      <w:r>
        <w:rPr>
          <w:rFonts w:hint="eastAsia"/>
          <w:lang w:val="en-US" w:eastAsia="zh-CN"/>
        </w:rPr>
        <w:t>7</w:t>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lang w:eastAsia="zh-CN"/>
        </w:rPr>
        <w:t>五</w:t>
      </w:r>
      <w:r>
        <w:rPr>
          <w:rStyle w:val="16"/>
          <w:rFonts w:hint="eastAsia"/>
          <w:bCs/>
          <w:kern w:val="44"/>
        </w:rPr>
        <w:t>部分</w:t>
      </w:r>
      <w:r>
        <w:rPr>
          <w:rStyle w:val="16"/>
          <w:rFonts w:hint="eastAsia"/>
          <w:bCs/>
          <w:kern w:val="44"/>
          <w:lang w:val="en-US" w:eastAsia="zh-CN"/>
        </w:rPr>
        <w:t xml:space="preserve">  </w:t>
      </w:r>
      <w:r>
        <w:rPr>
          <w:rStyle w:val="16"/>
          <w:rFonts w:hint="eastAsia"/>
          <w:bCs/>
          <w:kern w:val="44"/>
        </w:rPr>
        <w:t>附</w:t>
      </w:r>
      <w:r>
        <w:rPr>
          <w:rStyle w:val="16"/>
          <w:rFonts w:hint="eastAsia"/>
          <w:bCs/>
          <w:kern w:val="44"/>
          <w:lang w:eastAsia="zh-CN"/>
        </w:rPr>
        <w:t>表</w:t>
      </w:r>
      <w:r>
        <w:tab/>
      </w:r>
      <w:r>
        <w:rPr>
          <w:rFonts w:hint="eastAsia"/>
          <w:lang w:val="en-US" w:eastAsia="zh-CN"/>
        </w:rPr>
        <w:t>2</w:t>
      </w:r>
      <w:r>
        <w:fldChar w:fldCharType="end"/>
      </w:r>
      <w:r>
        <w:rPr>
          <w:rFonts w:hint="eastAsia"/>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hint="eastAsia" w:ascii="方正小标宋_GBK" w:hAnsi="黑体" w:eastAsia="方正小标宋_GBK"/>
          <w:b/>
          <w:bCs w:val="0"/>
        </w:rPr>
      </w:pPr>
      <w:r>
        <w:rPr>
          <w:rFonts w:hint="eastAsia" w:ascii="方正小标宋_GBK" w:hAnsi="黑体" w:eastAsia="方正小标宋_GBK"/>
          <w:b w:val="0"/>
        </w:rPr>
        <w:t xml:space="preserve">第一部分 </w:t>
      </w:r>
      <w:r>
        <w:rPr>
          <w:rStyle w:val="25"/>
          <w:rFonts w:hint="eastAsia" w:ascii="方正小标宋_GBK" w:hAnsi="黑体" w:eastAsia="方正小标宋_GBK"/>
          <w:b w:val="0"/>
          <w:bCs w:val="0"/>
        </w:rPr>
        <w:t>部门概况</w:t>
      </w:r>
      <w:bookmarkEnd w:id="12"/>
      <w:bookmarkEnd w:id="13"/>
    </w:p>
    <w:p>
      <w:pPr>
        <w:pStyle w:val="3"/>
        <w:spacing w:line="600" w:lineRule="exact"/>
        <w:rPr>
          <w:rFonts w:hint="eastAsia" w:ascii="黑体" w:hAnsi="黑体" w:eastAsia="黑体"/>
          <w:b w:val="0"/>
          <w:color w:val="000000"/>
        </w:rPr>
      </w:pPr>
      <w:bookmarkStart w:id="14" w:name="_Toc15396600"/>
      <w:bookmarkStart w:id="15" w:name="_Toc15377197"/>
    </w:p>
    <w:p>
      <w:pPr>
        <w:pStyle w:val="3"/>
        <w:spacing w:line="600" w:lineRule="exact"/>
        <w:rPr>
          <w:rStyle w:val="26"/>
          <w:rFonts w:ascii="仿宋" w:hAnsi="仿宋" w:eastAsia="仿宋"/>
          <w:b w:val="0"/>
          <w:bCs w:val="0"/>
        </w:rPr>
      </w:pPr>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hint="eastAsia" w:ascii="仿宋_GB2312" w:hAnsi="仿宋_GB2312" w:eastAsia="仿宋_GB2312" w:cs="仿宋_GB2312"/>
          <w:sz w:val="32"/>
          <w:szCs w:val="32"/>
        </w:rPr>
        <w:t>《中共乐山市委乐山市人民政府关于加强和改进新时期群众工作的实施意见》（乐委发〔2007〕11 号）和《中共乐山市机构编制委员会关于井研县设立中共井研县委井研县人民政府信访和群众工作局的批复》（乐编发〔2007〕75 号）精神，设立中共井研县委井研县人民政府信访和群众工作局，为县委、县政府处理群众信访问题的工作部门，列入县委工作机构。根据《中共井研县委机构编制委员会关于设立井研县群众来访接待中心的批复》（井委编委发〔2015〕34号）精神，为中共井研县委井研县人民政府信访和群众工作局内设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处理县内外群众给县委、县政府的来信，接待群众来访，保证信访渠道畅通；及时、准确地向县委、县政府领导反映来信来访中提出的重要建议、意见和问题；综合分析信访信息，开展调查研究，提出完善政策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（2）承办上级党委、政府和县委、县政府交办的信访事项；督促检查领导同志有关信访指示的落实情况；向各乡镇各部门交办信访事项，督促检查重要信访事项的处理和落实。</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（3）协调处理跨乡镇和部门的重要信访问题；协调处理群众集体到县委、县政府及有关部门的上访和异常、突发信访事件；检查、指导、协调各乡镇各部门的信访工作。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（4）总结推广各乡镇各部门信访工作的经验，提出改进和加强信访工作的意见和建议；通报重大信访问题和信访事件。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（5）了解掌握全县信访工作队伍建设情况，组织信访干部的培训；指导全县信访部门办公自动化建设。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（6）负责信访工作的宣传和信息发布；协调信访工作对外交流和联络。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（7）完成县委、县政府交办的其他任务。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2、内设机构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根据上述职责，中共井研县委井研县人民政府信访和群众工作局设 4个职能股室。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（1）办公室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机关人事、文秘、机要、档案、保密等行政事务和后勤保障；负责经费的管理和使用；负责组织综合性会议；负责全县信访工作的调查研究，研究新时期信访工作的特点；综合分析、反映信访动态和信息；组织起草有关文稿；负责全县的业务指导、培训工作；总结推广信访工作的经验；负责信访工作政策咨询；负责编辑信访工作政策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（2）信访股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县内外群众给县委、县政府以及县领导的来信；反映群众来信的重要信息；接待县内外群众到县委、县政府的来访；处理群众到县委、县政府的集体上访和有关突发事件；负责县委、县政府信访接待窗口日常工作；协调处理各乡镇各部门群众来访中遇到的复杂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（3）督查督办股</w:t>
      </w:r>
    </w:p>
    <w:p>
      <w:pPr>
        <w:keepNext w:val="0"/>
        <w:keepLines w:val="0"/>
        <w:pageBreakBefore w:val="0"/>
        <w:widowControl w:val="0"/>
        <w:kinsoku/>
        <w:wordWrap/>
        <w:overflowPunct/>
        <w:topLinePunct w:val="0"/>
        <w:autoSpaceDE/>
        <w:autoSpaceDN/>
        <w:bidi w:val="0"/>
        <w:adjustRightInd/>
        <w:snapToGrid/>
        <w:spacing w:line="600" w:lineRule="exact"/>
        <w:ind w:right="16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信访工作的决策、部署和法规、规章的贯彻实施情况进行督促检查；承办上级机关及其领导同志和县委、县政府领导同志批办、交办的重要信访事项；对全县各乡镇各部门办理重要信访事项和来访事项的复查、复核工作进行查办、协调和调研督导；负责对改进工作、追究责任、完善政策“三项建议权”的行使提出意见和建议；协调指导全县各级各部门的信访事项督查督办工作；负责督促检查中央、省、市、县处理信访突出问题及群众性事件联席会议及其办公室议定或交办事项的贯彻落实情况。</w:t>
      </w:r>
      <w:bookmarkStart w:id="20" w:name="page5"/>
      <w:bookmarkEnd w:id="20"/>
    </w:p>
    <w:p>
      <w:pPr>
        <w:keepNext w:val="0"/>
        <w:keepLines w:val="0"/>
        <w:pageBreakBefore w:val="0"/>
        <w:widowControl w:val="0"/>
        <w:kinsoku/>
        <w:wordWrap/>
        <w:overflowPunct/>
        <w:topLinePunct w:val="0"/>
        <w:autoSpaceDE/>
        <w:autoSpaceDN/>
        <w:bidi w:val="0"/>
        <w:adjustRightInd/>
        <w:snapToGrid/>
        <w:spacing w:line="600" w:lineRule="exact"/>
        <w:ind w:right="16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（4）群众来访接待中心</w:t>
      </w:r>
    </w:p>
    <w:p>
      <w:pPr>
        <w:keepNext w:val="0"/>
        <w:keepLines w:val="0"/>
        <w:pageBreakBefore w:val="0"/>
        <w:widowControl w:val="0"/>
        <w:kinsoku/>
        <w:wordWrap/>
        <w:overflowPunct/>
        <w:topLinePunct w:val="0"/>
        <w:autoSpaceDE/>
        <w:autoSpaceDN/>
        <w:bidi w:val="0"/>
        <w:adjustRightInd/>
        <w:snapToGrid/>
        <w:spacing w:line="600" w:lineRule="exact"/>
        <w:ind w:right="16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做好来访群众反映问题的登记、引导到相关部门或乡镇办理，并收集、反馈办理情况；协助相关部门做好到县委、县政府上访群众的现场疏导和劝返工作；做好“县领导接待日”接访协调和服务工作，维护信访秩序；宣传《信访条例》等法律、法规和政策，提供相应的咨询和服务，引导上访群众依法上访，维护正常工作秩序；收集、反馈来访群众反映的重大信访信息和社情民意，负责全县民情观察员的管理工作，定期编发《信访信息》、《社情民意》；完成局领导交办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3、人员编制及领导职数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中共井研县委井研县人民政府信访和群众工作局机关行政编制 9 名，其中局长 1 名（正科级），兼任县委办公室副主任、县政府办公室副主任；副局长 2 名（副科级）；督查专员 1 名（副科级）；中层领导职数 3 名。另核机关服务人员事业编制 1 名。群众来访接待中心，核定事业编制5名。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r>
        <w:rPr>
          <w:rFonts w:hint="eastAsia" w:ascii="仿宋_GB2312" w:hAnsi="仿宋_GB2312" w:eastAsia="仿宋_GB2312" w:cs="仿宋_GB2312"/>
          <w:sz w:val="32"/>
          <w:szCs w:val="32"/>
        </w:rPr>
        <w:t>按照年初计划，各项工作都按时保质保量完成。</w:t>
      </w:r>
    </w:p>
    <w:p>
      <w:pPr>
        <w:pStyle w:val="3"/>
        <w:spacing w:line="600" w:lineRule="exact"/>
        <w:rPr>
          <w:rStyle w:val="26"/>
          <w:b w:val="0"/>
          <w:bCs w:val="0"/>
        </w:rPr>
      </w:pPr>
      <w:bookmarkStart w:id="21" w:name="_Toc15396601"/>
      <w:bookmarkStart w:id="22"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1"/>
      <w:bookmarkEnd w:id="2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井研县信访局只有一个预算单位</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ind w:right="440"/>
        <w:jc w:val="right"/>
        <w:rPr>
          <w:rStyle w:val="25"/>
          <w:rFonts w:hint="eastAsia" w:ascii="方正小标宋_GBK" w:hAnsi="黑体" w:eastAsia="方正小标宋_GBK"/>
          <w:b w:val="0"/>
          <w:bCs w:val="0"/>
        </w:rPr>
      </w:pPr>
      <w:bookmarkStart w:id="23" w:name="_Toc15396602"/>
      <w:bookmarkStart w:id="24" w:name="_Toc15377204"/>
      <w:r>
        <w:rPr>
          <w:rFonts w:hint="eastAsia" w:ascii="方正小标宋_GBK" w:hAnsi="黑体" w:eastAsia="方正小标宋_GBK"/>
          <w:b w:val="0"/>
          <w:color w:val="000000"/>
        </w:rPr>
        <w:t>第二部分</w:t>
      </w:r>
      <w:r>
        <w:rPr>
          <w:rStyle w:val="25"/>
          <w:rFonts w:hint="eastAsia" w:ascii="方正小标宋_GBK" w:hAnsi="黑体" w:eastAsia="方正小标宋_GBK"/>
          <w:b w:val="0"/>
          <w:bCs w:val="0"/>
        </w:rPr>
        <w:t>2018年度部门决算情况说明</w:t>
      </w:r>
      <w:bookmarkEnd w:id="23"/>
      <w:bookmarkEnd w:id="24"/>
    </w:p>
    <w:p/>
    <w:p>
      <w:pPr>
        <w:pStyle w:val="24"/>
        <w:numPr>
          <w:ilvl w:val="0"/>
          <w:numId w:val="0"/>
        </w:numPr>
        <w:spacing w:line="600" w:lineRule="exact"/>
        <w:ind w:firstLine="640" w:firstLineChars="200"/>
        <w:outlineLvl w:val="1"/>
        <w:rPr>
          <w:rStyle w:val="26"/>
          <w:rFonts w:ascii="黑体" w:hAnsi="黑体" w:eastAsia="黑体"/>
          <w:b w:val="0"/>
        </w:rPr>
      </w:pPr>
      <w:bookmarkStart w:id="25" w:name="_Toc15377205"/>
      <w:bookmarkStart w:id="26" w:name="_Toc15396603"/>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5"/>
      <w:bookmarkEnd w:id="26"/>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2018年度</w:t>
      </w:r>
      <w:r>
        <w:rPr>
          <w:rFonts w:hint="eastAsia" w:ascii="仿宋" w:hAnsi="仿宋" w:eastAsia="仿宋"/>
          <w:color w:val="000000"/>
          <w:sz w:val="32"/>
          <w:szCs w:val="32"/>
          <w:lang w:eastAsia="zh-CN"/>
        </w:rPr>
        <w:t>井研县信访局</w:t>
      </w:r>
      <w:r>
        <w:rPr>
          <w:rFonts w:hint="eastAsia" w:ascii="仿宋" w:hAnsi="仿宋" w:eastAsia="仿宋"/>
          <w:color w:val="000000"/>
          <w:sz w:val="32"/>
          <w:szCs w:val="32"/>
        </w:rPr>
        <w:t>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375.36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lang w:val="en-US" w:eastAsia="zh-CN"/>
        </w:rPr>
        <w:t>346.88万元</w:t>
      </w:r>
      <w:r>
        <w:rPr>
          <w:rFonts w:hint="eastAsia" w:ascii="仿宋" w:hAnsi="仿宋" w:eastAsia="仿宋"/>
          <w:color w:val="000000"/>
          <w:sz w:val="32"/>
          <w:szCs w:val="32"/>
        </w:rPr>
        <w:t>。与2017年相比，收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11.5</w:t>
      </w:r>
      <w:r>
        <w:rPr>
          <w:rFonts w:hint="eastAsia" w:ascii="仿宋" w:hAnsi="仿宋" w:eastAsia="仿宋"/>
          <w:color w:val="000000"/>
          <w:sz w:val="32"/>
          <w:szCs w:val="32"/>
        </w:rPr>
        <w:t>万</w:t>
      </w:r>
      <w:r>
        <w:rPr>
          <w:rFonts w:hint="eastAsia" w:ascii="仿宋" w:hAnsi="仿宋" w:eastAsia="仿宋"/>
          <w:color w:val="000000"/>
          <w:sz w:val="32"/>
          <w:szCs w:val="32"/>
          <w:lang w:eastAsia="zh-CN"/>
        </w:rPr>
        <w:t>，</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3.16</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出增加</w:t>
      </w:r>
      <w:r>
        <w:rPr>
          <w:rFonts w:hint="eastAsia" w:ascii="仿宋" w:hAnsi="仿宋" w:eastAsia="仿宋"/>
          <w:color w:val="000000"/>
          <w:sz w:val="32"/>
          <w:szCs w:val="32"/>
          <w:lang w:val="en-US" w:eastAsia="zh-CN"/>
        </w:rPr>
        <w:t>44.93万元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14.88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人员增加。</w:t>
      </w:r>
    </w:p>
    <w:p>
      <w:pPr>
        <w:spacing w:line="600" w:lineRule="exact"/>
        <w:ind w:firstLine="420" w:firstLineChars="200"/>
        <w:jc w:val="left"/>
        <w:rPr>
          <w:rFonts w:ascii="仿宋_GB2312" w:eastAsia="仿宋_GB2312"/>
          <w:color w:val="000000"/>
          <w:sz w:val="32"/>
          <w:szCs w:val="32"/>
        </w:rPr>
      </w:pPr>
      <w:r>
        <w:pict>
          <v:shape id="_x0000_s1027" o:spid="_x0000_s1027" o:spt="75" type="#_x0000_t75" style="position:absolute;left:0pt;margin-left:79.55pt;margin-top:292.8pt;height:288.9pt;width:429.15pt;mso-position-horizontal-relative:page;mso-position-vertical-relative:page;z-index:251659264;mso-width-relative:page;mso-height-relative:page;" o:ole="t" fillcolor="#FFFFFF" filled="t" o:preferrelative="t" stroked="t" coordsize="21600,21600">
            <v:path/>
            <v:fill on="t" color2="#FFFFFF" focussize="0,0"/>
            <v:stroke color="#000000" miterlimit="8" joinstyle="miter"/>
            <v:imagedata r:id="rId7" o:title=""/>
            <o:lock v:ext="edit" aspectratio="t"/>
          </v:shape>
          <o:OLEObject Type="Embed" ProgID="MSGraph.Chart.8" ShapeID="_x0000_s1027" DrawAspect="Content" ObjectID="_1468075725" r:id="rId6">
            <o:LockedField>false</o:LockedField>
          </o:OLEObject>
        </w:pict>
      </w:r>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bookmarkStart w:id="27" w:name="_Toc15396604"/>
      <w:bookmarkStart w:id="28" w:name="_Toc15377206"/>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p>
    <w:p>
      <w:pPr>
        <w:pStyle w:val="24"/>
        <w:numPr>
          <w:ilvl w:val="0"/>
          <w:numId w:val="0"/>
        </w:numPr>
        <w:spacing w:line="600" w:lineRule="exact"/>
        <w:outlineLvl w:val="1"/>
        <w:rPr>
          <w:rFonts w:hint="eastAsia" w:ascii="黑体" w:hAnsi="黑体" w:eastAsia="黑体"/>
          <w:color w:val="000000"/>
          <w:sz w:val="32"/>
          <w:szCs w:val="32"/>
          <w:lang w:eastAsia="zh-CN"/>
        </w:rPr>
      </w:pPr>
    </w:p>
    <w:p>
      <w:pPr>
        <w:pStyle w:val="24"/>
        <w:numPr>
          <w:ilvl w:val="0"/>
          <w:numId w:val="0"/>
        </w:num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6"/>
          <w:rFonts w:hint="eastAsia" w:ascii="黑体" w:hAnsi="黑体" w:eastAsia="黑体"/>
          <w:b w:val="0"/>
        </w:rPr>
        <w:t>入决算情况说明</w:t>
      </w:r>
      <w:bookmarkEnd w:id="27"/>
      <w:bookmarkEnd w:id="28"/>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375.36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288.11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76.76</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87.24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23.24</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rPr>
          <w:rFonts w:ascii="仿宋_GB2312" w:eastAsia="仿宋_GB2312"/>
          <w:color w:val="FF0000"/>
          <w:sz w:val="32"/>
          <w:szCs w:val="32"/>
        </w:rPr>
      </w:pPr>
      <w:r>
        <w:pict>
          <v:shape id="_x0000_s1029" o:spid="_x0000_s1029" o:spt="75" type="#_x0000_t75" style="position:absolute;left:0pt;margin-left:95.55pt;margin-top:171.85pt;height:218.85pt;width:322.4pt;mso-position-horizontal-relative:page;mso-position-vertical-relative:page;z-index:251660288;mso-width-relative:page;mso-height-relative:page;" o:ole="t" fillcolor="#FFFFFF" filled="t" o:preferrelative="t" stroked="t" coordsize="21600,21600">
            <v:path/>
            <v:fill on="t" color2="#FFFFFF" focussize="0,0"/>
            <v:stroke color="#000000" miterlimit="8" joinstyle="miter"/>
            <v:imagedata r:id="rId9" o:title=""/>
            <o:lock v:ext="edit" aspectratio="t"/>
          </v:shape>
          <o:OLEObject Type="Embed" ProgID="MSGraph.Chart.8" ShapeID="_x0000_s1029" DrawAspect="Content" ObjectID="_1468075726" r:id="rId8">
            <o:LockedField>false</o:LockedField>
          </o:OLEObject>
        </w:pict>
      </w:r>
      <w:r>
        <w:rPr>
          <w:rFonts w:hint="eastAsia" w:ascii="仿宋" w:hAnsi="仿宋" w:eastAsia="仿宋"/>
          <w:color w:val="000000" w:themeColor="text1"/>
          <w:sz w:val="32"/>
          <w:szCs w:val="32"/>
        </w:rPr>
        <w:t>（图2：收入决算结构图）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4"/>
        <w:numPr>
          <w:ilvl w:val="0"/>
          <w:numId w:val="0"/>
        </w:numPr>
        <w:spacing w:line="600" w:lineRule="exact"/>
        <w:ind w:firstLine="640" w:firstLineChars="200"/>
        <w:outlineLvl w:val="1"/>
        <w:rPr>
          <w:rStyle w:val="26"/>
          <w:rFonts w:ascii="黑体" w:hAnsi="黑体" w:eastAsia="黑体"/>
          <w:b w:val="0"/>
        </w:rPr>
      </w:pPr>
      <w:bookmarkStart w:id="29" w:name="_Toc15396605"/>
      <w:bookmarkStart w:id="30" w:name="_Toc15377207"/>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6"/>
          <w:rFonts w:hint="eastAsia" w:ascii="黑体" w:hAnsi="黑体" w:eastAsia="黑体"/>
          <w:b w:val="0"/>
        </w:rPr>
        <w:t>出决算情况说明</w:t>
      </w:r>
      <w:bookmarkEnd w:id="29"/>
      <w:bookmarkEnd w:id="30"/>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346.88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221.65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63.9</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125.23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36.1</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420" w:firstLineChars="200"/>
        <w:rPr>
          <w:rFonts w:hint="eastAsia" w:ascii="仿宋" w:hAnsi="仿宋" w:eastAsia="仿宋"/>
          <w:color w:val="000000" w:themeColor="text1"/>
          <w:sz w:val="32"/>
          <w:szCs w:val="32"/>
        </w:rPr>
      </w:pPr>
      <w:bookmarkStart w:id="75" w:name="_GoBack"/>
      <w:r>
        <w:pict>
          <v:shape id="_x0000_s1030" o:spid="_x0000_s1030" o:spt="75" type="#_x0000_t75" style="position:absolute;left:0pt;margin-left:111.4pt;margin-top:567.75pt;height:218.85pt;width:322.4pt;mso-position-horizontal-relative:page;mso-position-vertical-relative:page;z-index:251661312;mso-width-relative:page;mso-height-relative:page;" o:ole="t" fillcolor="#FFFFFF" filled="t" o:preferrelative="t" stroked="t" coordsize="21600,21600">
            <v:path/>
            <v:fill on="t" color2="#FFFFFF" focussize="0,0"/>
            <v:stroke color="#000000" miterlimit="8" joinstyle="miter"/>
            <v:imagedata r:id="rId11" o:title=""/>
            <o:lock v:ext="edit" aspectratio="t"/>
          </v:shape>
          <o:OLEObject Type="Embed" ProgID="MSGraph.Chart.8" ShapeID="_x0000_s1030" DrawAspect="Content" ObjectID="_1468075727" r:id="rId10">
            <o:LockedField>false</o:LockedField>
          </o:OLEObject>
        </w:pict>
      </w:r>
      <w:bookmarkEnd w:id="75"/>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spacing w:line="600" w:lineRule="exact"/>
        <w:outlineLvl w:val="1"/>
        <w:rPr>
          <w:rFonts w:hint="eastAsia" w:ascii="黑体" w:hAnsi="黑体" w:eastAsia="黑体"/>
          <w:color w:val="000000"/>
          <w:sz w:val="32"/>
          <w:szCs w:val="32"/>
        </w:rPr>
      </w:pPr>
      <w:bookmarkStart w:id="31" w:name="_Toc15377208"/>
      <w:bookmarkStart w:id="32" w:name="_Toc15396606"/>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1"/>
      <w:bookmarkEnd w:id="32"/>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375.36</w:t>
      </w:r>
      <w:r>
        <w:rPr>
          <w:rFonts w:hint="eastAsia" w:ascii="仿宋" w:hAnsi="仿宋" w:eastAsia="仿宋"/>
          <w:color w:val="000000"/>
          <w:sz w:val="32"/>
          <w:szCs w:val="32"/>
        </w:rPr>
        <w:t>万元、支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346.88万元</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11.5</w:t>
      </w:r>
      <w:r>
        <w:rPr>
          <w:rFonts w:hint="eastAsia" w:ascii="仿宋" w:hAnsi="仿宋" w:eastAsia="仿宋"/>
          <w:color w:val="000000"/>
          <w:sz w:val="32"/>
          <w:szCs w:val="32"/>
        </w:rPr>
        <w:t>万</w:t>
      </w:r>
      <w:r>
        <w:rPr>
          <w:rFonts w:hint="eastAsia" w:ascii="仿宋" w:hAnsi="仿宋" w:eastAsia="仿宋"/>
          <w:color w:val="000000"/>
          <w:sz w:val="32"/>
          <w:szCs w:val="32"/>
          <w:lang w:eastAsia="zh-CN"/>
        </w:rPr>
        <w:t>，</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3.16</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出增加</w:t>
      </w:r>
      <w:r>
        <w:rPr>
          <w:rFonts w:hint="eastAsia" w:ascii="仿宋" w:hAnsi="仿宋" w:eastAsia="仿宋"/>
          <w:color w:val="000000"/>
          <w:sz w:val="32"/>
          <w:szCs w:val="32"/>
          <w:lang w:val="en-US" w:eastAsia="zh-CN"/>
        </w:rPr>
        <w:t>44.93万元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14.88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人员增加。</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w:t>
      </w:r>
    </w:p>
    <w:p>
      <w:pPr>
        <w:spacing w:line="600" w:lineRule="exact"/>
        <w:ind w:firstLine="640"/>
        <w:rPr>
          <w:rFonts w:hint="eastAsia" w:ascii="仿宋" w:hAnsi="仿宋" w:eastAsia="仿宋"/>
          <w:b/>
          <w:color w:val="000000" w:themeColor="text1"/>
          <w:sz w:val="32"/>
          <w:szCs w:val="32"/>
        </w:rPr>
      </w:pPr>
      <w:r>
        <w:pict>
          <v:shape id="_x0000_s1032" o:spid="_x0000_s1032" o:spt="75" type="#_x0000_t75" style="position:absolute;left:0pt;margin-left:119.3pt;margin-top:269.75pt;height:180.3pt;width:264.6pt;mso-position-horizontal-relative:page;mso-position-vertical-relative:page;z-index:251662336;mso-width-relative:page;mso-height-relative:page;" o:ole="t" fillcolor="#FFFFFF" filled="t" o:preferrelative="t" stroked="t" coordsize="21600,21600">
            <v:path/>
            <v:fill on="t" color2="#FFFFFF" focussize="0,0"/>
            <v:stroke color="#000000" miterlimit="8" joinstyle="miter"/>
            <v:imagedata r:id="rId13" o:title=""/>
            <o:lock v:ext="edit" aspectratio="t"/>
          </v:shape>
          <o:OLEObject Type="Embed" ProgID="MSGraph.Chart.8" ShapeID="_x0000_s1032" DrawAspect="Content" ObjectID="_1468075728" r:id="rId12">
            <o:LockedField>false</o:LockedField>
          </o:OLEObject>
        </w:pict>
      </w:r>
    </w:p>
    <w:p>
      <w:pPr>
        <w:spacing w:line="600" w:lineRule="exact"/>
        <w:ind w:firstLine="640"/>
        <w:rPr>
          <w:rFonts w:hint="eastAsia" w:ascii="仿宋" w:hAnsi="仿宋" w:eastAsia="仿宋"/>
          <w:b/>
          <w:color w:val="000000" w:themeColor="text1"/>
          <w:sz w:val="32"/>
          <w:szCs w:val="32"/>
        </w:rPr>
      </w:pPr>
    </w:p>
    <w:p>
      <w:pPr>
        <w:spacing w:line="600" w:lineRule="exact"/>
        <w:ind w:firstLine="640"/>
        <w:rPr>
          <w:rFonts w:hint="eastAsia" w:ascii="仿宋" w:hAnsi="仿宋" w:eastAsia="仿宋"/>
          <w:b/>
          <w:color w:val="000000" w:themeColor="text1"/>
          <w:sz w:val="32"/>
          <w:szCs w:val="32"/>
        </w:rPr>
      </w:pPr>
    </w:p>
    <w:p>
      <w:pPr>
        <w:spacing w:line="600" w:lineRule="exact"/>
        <w:ind w:firstLine="640"/>
        <w:rPr>
          <w:rFonts w:hint="eastAsia" w:ascii="仿宋" w:hAnsi="仿宋" w:eastAsia="仿宋"/>
          <w:b/>
          <w:color w:val="000000" w:themeColor="text1"/>
          <w:sz w:val="32"/>
          <w:szCs w:val="32"/>
        </w:rPr>
      </w:pPr>
    </w:p>
    <w:p>
      <w:pPr>
        <w:spacing w:line="600" w:lineRule="exact"/>
        <w:ind w:firstLine="640"/>
        <w:rPr>
          <w:rFonts w:hint="eastAsia" w:ascii="仿宋" w:hAnsi="仿宋" w:eastAsia="仿宋"/>
          <w:b/>
          <w:color w:val="000000" w:themeColor="text1"/>
          <w:sz w:val="32"/>
          <w:szCs w:val="32"/>
        </w:rPr>
      </w:pPr>
    </w:p>
    <w:p>
      <w:pPr>
        <w:spacing w:line="600" w:lineRule="exact"/>
        <w:outlineLvl w:val="1"/>
        <w:rPr>
          <w:rFonts w:hint="eastAsia" w:ascii="黑体" w:hAnsi="黑体" w:eastAsia="黑体"/>
          <w:color w:val="000000"/>
          <w:sz w:val="32"/>
          <w:szCs w:val="32"/>
        </w:rPr>
      </w:pPr>
      <w:bookmarkStart w:id="33" w:name="_Toc15377209"/>
      <w:bookmarkStart w:id="34" w:name="_Toc15396607"/>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3"/>
      <w:bookmarkEnd w:id="34"/>
    </w:p>
    <w:p>
      <w:pPr>
        <w:spacing w:line="600" w:lineRule="exact"/>
        <w:ind w:firstLine="640" w:firstLineChars="200"/>
        <w:outlineLvl w:val="2"/>
        <w:rPr>
          <w:rFonts w:ascii="仿宋" w:hAnsi="仿宋" w:eastAsia="仿宋"/>
          <w:b/>
          <w:color w:val="000000"/>
          <w:sz w:val="32"/>
          <w:szCs w:val="32"/>
        </w:rPr>
      </w:pPr>
      <w:bookmarkStart w:id="35" w:name="_Toc15377210"/>
      <w:r>
        <w:rPr>
          <w:rFonts w:hint="eastAsia" w:ascii="仿宋" w:hAnsi="仿宋" w:eastAsia="仿宋"/>
          <w:b/>
          <w:color w:val="000000"/>
          <w:sz w:val="32"/>
          <w:szCs w:val="32"/>
        </w:rPr>
        <w:t>（一）一般公共预算财政拨款支出决算总体情况</w:t>
      </w:r>
      <w:bookmarkEnd w:id="35"/>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259.64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74.85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42.31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14.01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压缩经费支出。</w:t>
      </w:r>
      <w:r>
        <w:rPr>
          <w:rFonts w:hint="eastAsia" w:ascii="仿宋" w:hAnsi="仿宋" w:eastAsia="仿宋"/>
          <w:color w:val="000000" w:themeColor="text1"/>
          <w:sz w:val="32"/>
          <w:szCs w:val="32"/>
        </w:rPr>
        <w:t>（图5：一般公共预算财政拨款支出决算变动情况）</w:t>
      </w:r>
    </w:p>
    <w:p>
      <w:pPr>
        <w:spacing w:line="600" w:lineRule="exact"/>
        <w:ind w:firstLine="420" w:firstLineChars="200"/>
        <w:outlineLvl w:val="2"/>
        <w:rPr>
          <w:rFonts w:hint="eastAsia" w:ascii="仿宋" w:hAnsi="仿宋" w:eastAsia="仿宋"/>
          <w:b/>
          <w:color w:val="000000"/>
          <w:sz w:val="32"/>
          <w:szCs w:val="32"/>
        </w:rPr>
      </w:pPr>
      <w:bookmarkStart w:id="36" w:name="_Toc15377211"/>
      <w:r>
        <w:pict>
          <v:shape id="_x0000_s1036" o:spid="_x0000_s1036" o:spt="75" type="#_x0000_t75" style="position:absolute;left:0pt;margin-left:120.2pt;margin-top:627.35pt;height:180.3pt;width:264.6pt;mso-position-horizontal-relative:page;mso-position-vertical-relative:page;z-index:251664384;mso-width-relative:page;mso-height-relative:page;" o:ole="t" fillcolor="#FFFFFF" filled="t" o:preferrelative="t" stroked="t" coordsize="21600,21600">
            <v:path/>
            <v:fill on="t" color2="#FFFFFF" focussize="0,0"/>
            <v:stroke color="#000000" miterlimit="8" joinstyle="miter"/>
            <v:imagedata r:id="rId15" o:title=""/>
            <o:lock v:ext="edit" aspectratio="t"/>
          </v:shape>
          <o:OLEObject Type="Embed" ProgID="MSGraph.Chart.8" ShapeID="_x0000_s1036" DrawAspect="Content" ObjectID="_1468075729" r:id="rId14">
            <o:LockedField>false</o:LockedField>
          </o:OLEObject>
        </w:pict>
      </w:r>
    </w:p>
    <w:p>
      <w:pPr>
        <w:spacing w:line="600" w:lineRule="exact"/>
        <w:ind w:firstLine="640" w:firstLineChars="200"/>
        <w:outlineLvl w:val="2"/>
        <w:rPr>
          <w:rFonts w:hint="eastAsia" w:ascii="仿宋" w:hAnsi="仿宋" w:eastAsia="仿宋"/>
          <w:b/>
          <w:color w:val="000000"/>
          <w:sz w:val="32"/>
          <w:szCs w:val="32"/>
        </w:rPr>
      </w:pPr>
    </w:p>
    <w:p>
      <w:pPr>
        <w:spacing w:line="600" w:lineRule="exact"/>
        <w:ind w:firstLine="640" w:firstLineChars="200"/>
        <w:outlineLvl w:val="2"/>
        <w:rPr>
          <w:rFonts w:hint="eastAsia" w:ascii="仿宋" w:hAnsi="仿宋" w:eastAsia="仿宋"/>
          <w:b/>
          <w:color w:val="000000"/>
          <w:sz w:val="32"/>
          <w:szCs w:val="32"/>
        </w:rPr>
      </w:pPr>
    </w:p>
    <w:p>
      <w:pPr>
        <w:spacing w:line="600" w:lineRule="exact"/>
        <w:outlineLvl w:val="2"/>
        <w:rPr>
          <w:rFonts w:hint="eastAsia" w:ascii="仿宋" w:hAnsi="仿宋" w:eastAsia="仿宋"/>
          <w:b/>
          <w:color w:val="000000"/>
          <w:sz w:val="32"/>
          <w:szCs w:val="32"/>
        </w:rPr>
      </w:pPr>
    </w:p>
    <w:p>
      <w:pPr>
        <w:spacing w:line="600" w:lineRule="exact"/>
        <w:ind w:firstLine="640"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259.64</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220.64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63.61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16.7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4.81</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w:t>
      </w:r>
      <w:r>
        <w:rPr>
          <w:rFonts w:hint="eastAsia" w:ascii="仿宋" w:hAnsi="仿宋" w:eastAsia="仿宋"/>
          <w:color w:val="000000" w:themeColor="text1"/>
          <w:sz w:val="32"/>
          <w:szCs w:val="32"/>
          <w:lang w:val="en-US" w:eastAsia="zh-CN"/>
        </w:rPr>
        <w:t>4.09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1.18</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18.21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5.25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420" w:firstLineChars="200"/>
        <w:rPr>
          <w:rFonts w:ascii="仿宋" w:hAnsi="仿宋" w:eastAsia="仿宋"/>
          <w:color w:val="000000"/>
          <w:sz w:val="32"/>
          <w:szCs w:val="32"/>
        </w:rPr>
      </w:pPr>
      <w:r>
        <w:pict>
          <v:shape id="_x0000_s1035" o:spid="_x0000_s1035" o:spt="75" type="#_x0000_t75" style="position:absolute;left:0pt;margin-left:121.55pt;margin-top:264.75pt;height:180.3pt;width:264.6pt;mso-position-horizontal-relative:page;mso-position-vertical-relative:page;z-index:251663360;mso-width-relative:page;mso-height-relative:page;" o:ole="t" fillcolor="#FFFFFF" filled="t" o:preferrelative="t" stroked="t" coordsize="21600,21600">
            <v:path/>
            <v:fill on="t" color2="#FFFFFF" focussize="0,0"/>
            <v:stroke color="#000000" miterlimit="8" joinstyle="miter"/>
            <v:imagedata r:id="rId17" o:title=""/>
            <o:lock v:ext="edit" aspectratio="t"/>
          </v:shape>
          <o:OLEObject Type="Embed" ProgID="MSGraph.Chart.8" ShapeID="_x0000_s1035" DrawAspect="Content" ObjectID="_1468075730" r:id="rId16">
            <o:LockedField>false</o:LockedField>
          </o:OLEObject>
        </w:pict>
      </w:r>
      <w:r>
        <w:rPr>
          <w:rFonts w:hint="eastAsia" w:ascii="仿宋" w:hAnsi="仿宋" w:eastAsia="仿宋"/>
          <w:color w:val="000000"/>
          <w:sz w:val="32"/>
          <w:szCs w:val="32"/>
        </w:rPr>
        <w:t>（图6：一般公共预算财政拨款支出决算结构）（饼状图）</w:t>
      </w:r>
    </w:p>
    <w:p>
      <w:pPr>
        <w:spacing w:line="600" w:lineRule="exact"/>
        <w:ind w:firstLine="640" w:firstLineChars="200"/>
        <w:outlineLvl w:val="2"/>
        <w:rPr>
          <w:rFonts w:hint="eastAsia" w:ascii="仿宋" w:hAnsi="仿宋" w:eastAsia="仿宋"/>
          <w:b/>
          <w:color w:val="000000"/>
          <w:sz w:val="32"/>
          <w:szCs w:val="32"/>
        </w:rPr>
      </w:pPr>
      <w:bookmarkStart w:id="37" w:name="_Toc15377212"/>
    </w:p>
    <w:p>
      <w:pPr>
        <w:spacing w:line="600" w:lineRule="exact"/>
        <w:ind w:firstLine="640" w:firstLineChars="200"/>
        <w:outlineLvl w:val="2"/>
        <w:rPr>
          <w:rFonts w:hint="eastAsia" w:ascii="仿宋" w:hAnsi="仿宋" w:eastAsia="仿宋"/>
          <w:b/>
          <w:color w:val="000000"/>
          <w:sz w:val="32"/>
          <w:szCs w:val="32"/>
        </w:rPr>
      </w:pPr>
    </w:p>
    <w:p>
      <w:pPr>
        <w:spacing w:line="600" w:lineRule="exact"/>
        <w:ind w:firstLine="640" w:firstLineChars="200"/>
        <w:outlineLvl w:val="2"/>
        <w:rPr>
          <w:rFonts w:hint="eastAsia" w:ascii="仿宋" w:hAnsi="仿宋" w:eastAsia="仿宋"/>
          <w:b/>
          <w:color w:val="000000"/>
          <w:sz w:val="32"/>
          <w:szCs w:val="32"/>
        </w:rPr>
      </w:pPr>
    </w:p>
    <w:p>
      <w:pPr>
        <w:spacing w:line="600" w:lineRule="exact"/>
        <w:ind w:firstLine="640" w:firstLineChars="200"/>
        <w:outlineLvl w:val="2"/>
        <w:rPr>
          <w:rFonts w:hint="eastAsia" w:ascii="仿宋" w:hAnsi="仿宋" w:eastAsia="仿宋"/>
          <w:b/>
          <w:color w:val="000000"/>
          <w:sz w:val="32"/>
          <w:szCs w:val="32"/>
        </w:rPr>
      </w:pPr>
    </w:p>
    <w:p>
      <w:pPr>
        <w:spacing w:line="600" w:lineRule="exact"/>
        <w:ind w:firstLine="640" w:firstLineChars="200"/>
        <w:outlineLvl w:val="2"/>
        <w:rPr>
          <w:rFonts w:hint="eastAsia" w:ascii="仿宋" w:hAnsi="仿宋" w:eastAsia="仿宋"/>
          <w:b/>
          <w:color w:val="000000"/>
          <w:sz w:val="32"/>
          <w:szCs w:val="32"/>
        </w:rPr>
      </w:pPr>
    </w:p>
    <w:p>
      <w:pPr>
        <w:spacing w:line="600" w:lineRule="exact"/>
        <w:outlineLvl w:val="2"/>
        <w:rPr>
          <w:rFonts w:hint="eastAsia" w:ascii="仿宋" w:hAnsi="仿宋" w:eastAsia="仿宋"/>
          <w:b/>
          <w:color w:val="000000"/>
          <w:sz w:val="32"/>
          <w:szCs w:val="32"/>
        </w:rPr>
      </w:pPr>
    </w:p>
    <w:p>
      <w:pPr>
        <w:spacing w:line="600" w:lineRule="exact"/>
        <w:ind w:firstLine="640"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7"/>
    </w:p>
    <w:p>
      <w:pPr>
        <w:spacing w:line="600" w:lineRule="exact"/>
        <w:ind w:firstLine="640" w:firstLineChars="200"/>
        <w:outlineLvl w:val="2"/>
        <w:rPr>
          <w:rFonts w:ascii="仿宋" w:hAnsi="仿宋" w:eastAsia="仿宋"/>
          <w:color w:val="FF0000"/>
          <w:sz w:val="32"/>
          <w:szCs w:val="32"/>
        </w:rPr>
      </w:pPr>
      <w:bookmarkStart w:id="38" w:name="_Toc15377213"/>
      <w:bookmarkStart w:id="39" w:name="_Toc15377444"/>
      <w:bookmarkStart w:id="40" w:name="_Toc15378460"/>
      <w:r>
        <w:rPr>
          <w:rFonts w:hint="eastAsia" w:ascii="仿宋" w:hAnsi="仿宋" w:eastAsia="仿宋"/>
          <w:b/>
          <w:color w:val="000000" w:themeColor="text1"/>
          <w:sz w:val="32"/>
          <w:szCs w:val="32"/>
        </w:rPr>
        <w:t>2018年般公共预算支出决算数为</w:t>
      </w:r>
      <w:r>
        <w:rPr>
          <w:rFonts w:hint="eastAsia" w:ascii="仿宋" w:hAnsi="仿宋" w:eastAsia="仿宋"/>
          <w:b/>
          <w:color w:val="000000" w:themeColor="text1"/>
          <w:sz w:val="32"/>
          <w:szCs w:val="32"/>
          <w:lang w:val="en-US" w:eastAsia="zh-CN"/>
        </w:rPr>
        <w:t>259.64</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8"/>
      <w:bookmarkEnd w:id="39"/>
      <w:bookmarkEnd w:id="40"/>
    </w:p>
    <w:p>
      <w:pPr>
        <w:numPr>
          <w:ilvl w:val="0"/>
          <w:numId w:val="1"/>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一般公共服务</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default" w:ascii="Calibri" w:hAnsi="Calibri" w:eastAsia="仿宋" w:cs="Calibri"/>
          <w:bCs/>
          <w:color w:val="000000"/>
          <w:sz w:val="32"/>
          <w:szCs w:val="32"/>
        </w:rPr>
        <w:t>①</w:t>
      </w:r>
      <w:r>
        <w:rPr>
          <w:rStyle w:val="15"/>
          <w:rFonts w:hint="eastAsia" w:ascii="仿宋" w:hAnsi="仿宋" w:eastAsia="仿宋"/>
          <w:bCs/>
          <w:color w:val="000000"/>
          <w:sz w:val="32"/>
          <w:szCs w:val="32"/>
        </w:rPr>
        <w:t>一般公共服务（类）</w:t>
      </w:r>
      <w:r>
        <w:rPr>
          <w:rStyle w:val="15"/>
          <w:rFonts w:hint="eastAsia" w:ascii="仿宋" w:hAnsi="仿宋" w:eastAsia="仿宋"/>
          <w:bCs/>
          <w:color w:val="000000"/>
          <w:sz w:val="32"/>
          <w:szCs w:val="32"/>
          <w:lang w:eastAsia="zh-CN"/>
        </w:rPr>
        <w:t>政府办公厅（室）及相关机构事务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行政运行</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182.65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102.53</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财政应返还额度中支付机关食堂改造费用</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Style w:val="15"/>
          <w:rFonts w:hint="default" w:ascii="Calibri" w:hAnsi="Calibri" w:eastAsia="仿宋" w:cs="Calibri"/>
          <w:bCs/>
          <w:color w:val="000000"/>
          <w:sz w:val="32"/>
          <w:szCs w:val="32"/>
        </w:rPr>
        <w:t>②</w:t>
      </w:r>
      <w:r>
        <w:rPr>
          <w:rStyle w:val="15"/>
          <w:rFonts w:hint="eastAsia" w:ascii="仿宋" w:hAnsi="仿宋" w:eastAsia="仿宋"/>
          <w:bCs/>
          <w:color w:val="000000"/>
          <w:sz w:val="32"/>
          <w:szCs w:val="32"/>
        </w:rPr>
        <w:t>一般公共服务（类）</w:t>
      </w:r>
      <w:r>
        <w:rPr>
          <w:rStyle w:val="15"/>
          <w:rFonts w:hint="eastAsia" w:ascii="仿宋" w:hAnsi="仿宋" w:eastAsia="仿宋"/>
          <w:bCs/>
          <w:color w:val="000000"/>
          <w:sz w:val="32"/>
          <w:szCs w:val="32"/>
          <w:lang w:eastAsia="zh-CN"/>
        </w:rPr>
        <w:t>政府办公厅（室）及相关机构事务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一般行政管理事务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10.26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1026</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财政应返还额度中支付院坝维修整治工程款</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default" w:ascii="Calibri" w:hAnsi="Calibri" w:eastAsia="仿宋" w:cs="Calibri"/>
          <w:bCs/>
          <w:color w:val="000000"/>
          <w:sz w:val="32"/>
          <w:szCs w:val="32"/>
        </w:rPr>
        <w:t>③</w:t>
      </w:r>
      <w:r>
        <w:rPr>
          <w:rStyle w:val="15"/>
          <w:rFonts w:hint="eastAsia" w:ascii="仿宋" w:hAnsi="仿宋" w:eastAsia="仿宋"/>
          <w:bCs/>
          <w:color w:val="000000"/>
          <w:sz w:val="32"/>
          <w:szCs w:val="32"/>
        </w:rPr>
        <w:t>一般公共服务（类）</w:t>
      </w:r>
      <w:r>
        <w:rPr>
          <w:rStyle w:val="15"/>
          <w:rFonts w:hint="eastAsia" w:ascii="仿宋" w:hAnsi="仿宋" w:eastAsia="仿宋"/>
          <w:bCs/>
          <w:color w:val="000000"/>
          <w:sz w:val="32"/>
          <w:szCs w:val="32"/>
          <w:lang w:eastAsia="zh-CN"/>
        </w:rPr>
        <w:t>政府办公厅（室）及相关机构事务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信访事务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27.73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308.11</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w:t>
      </w:r>
      <w:r>
        <w:rPr>
          <w:rStyle w:val="15"/>
          <w:rFonts w:hint="eastAsia" w:ascii="仿宋" w:hAnsi="仿宋" w:eastAsia="仿宋"/>
          <w:b w:val="0"/>
          <w:bCs/>
          <w:color w:val="000000"/>
          <w:sz w:val="32"/>
          <w:szCs w:val="32"/>
        </w:rPr>
        <w:t>于预算数的主要原因是</w:t>
      </w:r>
      <w:r>
        <w:rPr>
          <w:rStyle w:val="15"/>
          <w:rFonts w:hint="eastAsia" w:ascii="仿宋" w:hAnsi="仿宋" w:eastAsia="仿宋"/>
          <w:b w:val="0"/>
          <w:bCs/>
          <w:color w:val="000000"/>
          <w:sz w:val="32"/>
          <w:szCs w:val="32"/>
          <w:lang w:eastAsia="zh-CN"/>
        </w:rPr>
        <w:t>财政应返还额度中支付特俗疑难信访问题化解和“十九大”维稳经费</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行政事业单位离退休</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机关事业单位基本养老保险缴费支出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行政单位医疗</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4.09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lang w:eastAsia="zh-CN"/>
        </w:rPr>
        <w:t>住房保障支出</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住房改革支出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住房公积金</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18.21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行政事业单位离退休</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机关事业单位基本养老保险缴费支出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Style w:val="15"/>
          <w:rFonts w:ascii="仿宋" w:hAnsi="仿宋" w:eastAsia="仿宋"/>
          <w:bCs/>
          <w:color w:val="000000"/>
          <w:sz w:val="32"/>
          <w:szCs w:val="32"/>
        </w:rPr>
        <w:t>6.</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行政单位医疗</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18.21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41" w:name="_Toc15396608"/>
      <w:bookmarkStart w:id="42"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1"/>
      <w:bookmarkEnd w:id="42"/>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221.64</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196.57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20.07</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3" w:name="_Toc15396609"/>
      <w:bookmarkStart w:id="44"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1.7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28.33</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严控三公经费支出</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28.33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（图8：“三公”经费财政拨款支出结构）</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pict>
          <v:shape id="_x0000_s1037" o:spid="_x0000_s1037" o:spt="75" type="#_x0000_t75" style="position:absolute;left:0pt;margin-left:126.35pt;margin-top:45.85pt;height:180.3pt;width:264.6pt;mso-position-horizontal-relative:page;mso-position-vertical-relative:page;z-index:251665408;mso-width-relative:page;mso-height-relative:page;" o:ole="t" fillcolor="#FFFFFF" filled="t" o:preferrelative="t" stroked="t" coordsize="21600,21600">
            <v:path/>
            <v:fill on="t" color2="#FFFFFF" focussize="0,0"/>
            <v:stroke color="#000000" miterlimit="8" joinstyle="miter"/>
            <v:imagedata r:id="rId19" o:title=""/>
            <o:lock v:ext="edit" aspectratio="t"/>
          </v:shape>
          <o:OLEObject Type="Embed" ProgID="MSGraph.Chart.8" ShapeID="_x0000_s1037" DrawAspect="Content" ObjectID="_1468075731" r:id="rId18">
            <o:LockedField>false</o:LockedField>
          </o:OLEObject>
        </w:pic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numPr>
          <w:ilvl w:val="0"/>
          <w:numId w:val="2"/>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numPr>
          <w:ilvl w:val="0"/>
          <w:numId w:val="0"/>
        </w:num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2.25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225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公务用车于</w:t>
      </w:r>
      <w:r>
        <w:rPr>
          <w:rFonts w:hint="eastAsia" w:ascii="仿宋_GB2312" w:eastAsia="仿宋_GB2312"/>
          <w:color w:val="000000"/>
          <w:sz w:val="32"/>
          <w:szCs w:val="32"/>
          <w:lang w:val="en-US" w:eastAsia="zh-CN"/>
        </w:rPr>
        <w:t>2017年12月份报废了</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85</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1.21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246.94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劝返量和交流学习人员增多</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150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其它市（区）、县信访部门到我县学习“</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lang w:eastAsia="zh-CN"/>
        </w:rPr>
        <w:t>”中心建设、“人民满意窗口创建”、“疑难信访案件化解”和市局督查工作等支出共计</w:t>
      </w:r>
      <w:r>
        <w:rPr>
          <w:rFonts w:hint="eastAsia" w:ascii="仿宋_GB2312" w:eastAsia="仿宋_GB2312"/>
          <w:color w:val="000000"/>
          <w:sz w:val="32"/>
          <w:szCs w:val="32"/>
          <w:lang w:val="en-US" w:eastAsia="zh-CN"/>
        </w:rPr>
        <w:t>1.7万元</w:t>
      </w:r>
      <w:r>
        <w:rPr>
          <w:rFonts w:hint="eastAsia" w:ascii="仿宋_GB2312" w:eastAsia="仿宋_GB2312"/>
          <w:color w:val="000000"/>
          <w:sz w:val="32"/>
          <w:szCs w:val="32"/>
        </w:rPr>
        <w:t>。其中：</w:t>
      </w:r>
    </w:p>
    <w:p>
      <w:pPr>
        <w:spacing w:line="600" w:lineRule="exact"/>
        <w:ind w:firstLine="640"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bookmarkStart w:id="47" w:name="_Toc15396610"/>
      <w:bookmarkStart w:id="48"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井研县信访局</w:t>
      </w: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87.24</w:t>
      </w:r>
      <w:r>
        <w:rPr>
          <w:rFonts w:hint="eastAsia" w:ascii="仿宋_GB2312" w:eastAsia="仿宋_GB2312"/>
          <w:color w:val="000000"/>
          <w:sz w:val="32"/>
          <w:szCs w:val="32"/>
        </w:rPr>
        <w:t>万元。</w:t>
      </w:r>
    </w:p>
    <w:p>
      <w:pPr>
        <w:spacing w:line="600" w:lineRule="exact"/>
        <w:ind w:firstLine="640" w:firstLineChars="200"/>
        <w:outlineLvl w:val="1"/>
        <w:rPr>
          <w:rStyle w:val="26"/>
          <w:rFonts w:ascii="黑体" w:hAnsi="黑体" w:eastAsia="黑体"/>
          <w:b w:val="0"/>
        </w:rPr>
      </w:pPr>
      <w:bookmarkStart w:id="49" w:name="_Toc15377219"/>
      <w:bookmarkStart w:id="50" w:name="_Toc15396611"/>
      <w:r>
        <w:rPr>
          <w:rStyle w:val="26"/>
          <w:rFonts w:hint="eastAsia" w:ascii="黑体" w:hAnsi="黑体" w:eastAsia="黑体"/>
          <w:b w:val="0"/>
        </w:rPr>
        <w:t>九、国有资本经营预算支出决算情况说明</w:t>
      </w:r>
      <w:bookmarkEnd w:id="49"/>
      <w:bookmarkEnd w:id="50"/>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井研县信访局</w:t>
      </w: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3"/>
        </w:numPr>
        <w:spacing w:line="60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600" w:lineRule="exact"/>
        <w:ind w:firstLine="643" w:firstLineChars="200"/>
        <w:rPr>
          <w:rFonts w:ascii="仿宋" w:hAnsi="仿宋" w:eastAsia="仿宋" w:cs="楷体_GB2312"/>
          <w:b/>
          <w:bCs/>
          <w:sz w:val="32"/>
          <w:szCs w:val="32"/>
        </w:rPr>
      </w:pPr>
      <w:bookmarkStart w:id="51" w:name="_Toc15396612"/>
      <w:bookmarkStart w:id="52" w:name="_Toc15377221"/>
      <w:r>
        <w:rPr>
          <w:rFonts w:hint="eastAsia" w:ascii="楷体_GB2312" w:hAnsi="仿宋" w:eastAsia="楷体_GB2312" w:cs="楷体_GB2312"/>
          <w:b/>
          <w:bCs/>
          <w:sz w:val="32"/>
          <w:szCs w:val="32"/>
        </w:rPr>
        <w:t>预算绩效管理工作开展情况。</w:t>
      </w:r>
      <w:r>
        <w:rPr>
          <w:rFonts w:hint="eastAsia" w:ascii="楷体_GB2312" w:hAnsi="仿宋" w:eastAsia="楷体_GB2312" w:cs="楷体_GB2312"/>
          <w:b/>
          <w:bCs/>
          <w:sz w:val="32"/>
          <w:szCs w:val="32"/>
          <w:lang w:eastAsia="zh-CN"/>
        </w:rPr>
        <w:t>无</w:t>
      </w:r>
    </w:p>
    <w:p>
      <w:pPr>
        <w:tabs>
          <w:tab w:val="left" w:pos="312"/>
        </w:tabs>
        <w:spacing w:line="580" w:lineRule="exact"/>
        <w:ind w:left="628" w:leftChars="299"/>
        <w:rPr>
          <w:rFonts w:ascii="仿宋_GB2312" w:hAnsi="仿宋_GB2312" w:eastAsia="仿宋_GB2312" w:cs="仿宋_GB2312"/>
          <w:sz w:val="32"/>
          <w:szCs w:val="32"/>
        </w:rPr>
      </w:pPr>
      <w:r>
        <w:rPr>
          <w:rFonts w:hint="eastAsia" w:ascii="仿宋" w:hAnsi="仿宋" w:eastAsia="仿宋" w:cs="楷体_GB2312"/>
          <w:b/>
          <w:bCs/>
          <w:sz w:val="32"/>
          <w:szCs w:val="32"/>
        </w:rPr>
        <w:t>（二）项目绩效目标完成情况。无</w:t>
      </w:r>
      <w:r>
        <w:rPr>
          <w:rFonts w:ascii="楷体_GB2312" w:hAnsi="楷体_GB2312" w:eastAsia="楷体_GB2312" w:cs="楷体_GB2312"/>
          <w:b/>
          <w:bCs/>
          <w:sz w:val="32"/>
          <w:szCs w:val="32"/>
        </w:rPr>
        <w:br w:type="textWrapping"/>
      </w:r>
      <w:r>
        <w:rPr>
          <w:rFonts w:hint="eastAsia" w:ascii="仿宋" w:hAnsi="仿宋" w:eastAsia="仿宋" w:cs="楷体_GB2312"/>
          <w:b/>
          <w:bCs/>
          <w:sz w:val="32"/>
          <w:szCs w:val="32"/>
        </w:rPr>
        <w:t>（三）部门开展绩效评价结果。</w:t>
      </w:r>
    </w:p>
    <w:p>
      <w:pPr>
        <w:spacing w:line="60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县信访局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pacing w:line="600" w:lineRule="exact"/>
        <w:ind w:firstLine="800" w:firstLineChars="250"/>
        <w:outlineLvl w:val="1"/>
        <w:rPr>
          <w:rStyle w:val="26"/>
          <w:rFonts w:ascii="黑体" w:hAnsi="黑体" w:eastAsia="黑体"/>
        </w:rPr>
      </w:pPr>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1"/>
      <w:bookmarkEnd w:id="52"/>
    </w:p>
    <w:p>
      <w:pPr>
        <w:spacing w:line="600" w:lineRule="exact"/>
        <w:ind w:firstLine="640" w:firstLineChars="200"/>
        <w:outlineLvl w:val="2"/>
        <w:rPr>
          <w:rFonts w:ascii="仿宋" w:hAnsi="仿宋" w:eastAsia="仿宋"/>
          <w:color w:val="000000"/>
          <w:sz w:val="32"/>
          <w:szCs w:val="32"/>
        </w:rPr>
      </w:pPr>
      <w:bookmarkStart w:id="53" w:name="_Toc15377222"/>
      <w:r>
        <w:rPr>
          <w:rFonts w:hint="eastAsia" w:ascii="仿宋" w:hAnsi="仿宋" w:eastAsia="仿宋"/>
          <w:b/>
          <w:color w:val="000000"/>
          <w:sz w:val="32"/>
          <w:szCs w:val="32"/>
        </w:rPr>
        <w:t>（一）机关运行经费支出情况</w:t>
      </w:r>
      <w:bookmarkEnd w:id="53"/>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井研县信访局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25.07</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3.57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16.6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人员增加。</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4" w:name="_Toc15377223"/>
      <w:r>
        <w:rPr>
          <w:rFonts w:hint="eastAsia" w:ascii="仿宋" w:hAnsi="仿宋" w:eastAsia="仿宋"/>
          <w:b/>
          <w:color w:val="000000"/>
          <w:sz w:val="32"/>
          <w:szCs w:val="32"/>
        </w:rPr>
        <w:t>（二）政府采购支出情况</w:t>
      </w:r>
      <w:bookmarkEnd w:id="5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井研县信访局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9.18</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0.91</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8.27</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机关院坝维修整治和采购了办公家具</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5" w:name="_Toc15377224"/>
      <w:r>
        <w:rPr>
          <w:rFonts w:hint="eastAsia" w:ascii="仿宋" w:hAnsi="仿宋" w:eastAsia="仿宋"/>
          <w:b/>
          <w:color w:val="000000"/>
          <w:sz w:val="32"/>
          <w:szCs w:val="32"/>
        </w:rPr>
        <w:t>（三）国有资产占有使用情况</w:t>
      </w:r>
      <w:bookmarkEnd w:id="55"/>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井研县信访局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5"/>
          <w:rFonts w:hint="eastAsia" w:ascii="方正小标宋_GBK" w:hAnsi="黑体" w:eastAsia="方正小标宋_GBK"/>
          <w:b w:val="0"/>
        </w:rPr>
      </w:pPr>
      <w:bookmarkStart w:id="56" w:name="_Toc15377225"/>
      <w:bookmarkStart w:id="57" w:name="_Toc15396613"/>
      <w:r>
        <w:rPr>
          <w:rFonts w:hint="eastAsia" w:ascii="方正小标宋_GBK" w:hAnsi="黑体" w:eastAsia="方正小标宋_GBK"/>
          <w:b/>
          <w:color w:val="000000"/>
          <w:sz w:val="44"/>
          <w:szCs w:val="44"/>
        </w:rPr>
        <w:t>名</w:t>
      </w:r>
      <w:r>
        <w:rPr>
          <w:rStyle w:val="25"/>
          <w:rFonts w:hint="eastAsia" w:ascii="方正小标宋_GBK" w:hAnsi="黑体" w:eastAsia="方正小标宋_GBK"/>
          <w:b w:val="0"/>
        </w:rPr>
        <w:t>词解释</w:t>
      </w:r>
      <w:bookmarkEnd w:id="56"/>
      <w:bookmarkEnd w:id="57"/>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sz w:val="32"/>
          <w:szCs w:val="32"/>
        </w:rPr>
        <w:t>4.</w:t>
      </w:r>
      <w:r>
        <w:rPr>
          <w:rFonts w:hint="eastAsia" w:ascii="仿宋_GB2312" w:eastAsia="仿宋_GB2312"/>
          <w:color w:val="000000"/>
          <w:sz w:val="32"/>
          <w:szCs w:val="32"/>
        </w:rPr>
        <w:t>一般公共服务</w:t>
      </w:r>
    </w:p>
    <w:p>
      <w:pPr>
        <w:ind w:firstLine="640" w:firstLineChars="200"/>
        <w:rPr>
          <w:rFonts w:hint="eastAsia" w:ascii="仿宋_GB2312" w:eastAsia="仿宋_GB2312"/>
          <w:color w:val="000000"/>
          <w:sz w:val="32"/>
          <w:szCs w:val="32"/>
        </w:rPr>
      </w:pPr>
      <w:r>
        <w:rPr>
          <w:rFonts w:hint="default" w:ascii="Calibri" w:hAnsi="Calibri" w:eastAsia="仿宋_GB2312" w:cs="Calibri"/>
          <w:color w:val="000000"/>
          <w:sz w:val="32"/>
          <w:szCs w:val="32"/>
        </w:rPr>
        <w:t>①</w:t>
      </w:r>
      <w:r>
        <w:rPr>
          <w:rFonts w:hint="eastAsia" w:ascii="仿宋_GB2312" w:eastAsia="仿宋_GB2312"/>
          <w:color w:val="000000"/>
          <w:sz w:val="32"/>
          <w:szCs w:val="32"/>
        </w:rPr>
        <w:t>一般公共服务（类）</w:t>
      </w:r>
      <w:r>
        <w:rPr>
          <w:rFonts w:hint="eastAsia" w:ascii="仿宋_GB2312" w:eastAsia="仿宋_GB2312"/>
          <w:color w:val="000000"/>
          <w:sz w:val="32"/>
          <w:szCs w:val="32"/>
          <w:lang w:eastAsia="zh-CN"/>
        </w:rPr>
        <w:t>政府办公厅（室）及相关机构事务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行政单位（包括实行公务员管理的事业单位）的基本支出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default" w:ascii="Calibri" w:hAnsi="Calibri" w:eastAsia="仿宋_GB2312" w:cs="Calibri"/>
          <w:color w:val="000000"/>
          <w:sz w:val="32"/>
          <w:szCs w:val="32"/>
        </w:rPr>
        <w:t>②</w:t>
      </w:r>
      <w:r>
        <w:rPr>
          <w:rFonts w:hint="eastAsia" w:ascii="仿宋_GB2312" w:eastAsia="仿宋_GB2312"/>
          <w:color w:val="000000"/>
          <w:sz w:val="32"/>
          <w:szCs w:val="32"/>
        </w:rPr>
        <w:t>一般公共服务（类）</w:t>
      </w:r>
      <w:r>
        <w:rPr>
          <w:rFonts w:hint="eastAsia" w:ascii="仿宋_GB2312" w:eastAsia="仿宋_GB2312"/>
          <w:color w:val="000000"/>
          <w:sz w:val="32"/>
          <w:szCs w:val="32"/>
          <w:lang w:eastAsia="zh-CN"/>
        </w:rPr>
        <w:t>政府办公厅（室）及相关机构事务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一般行政管理服务</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行政单位（包括实行公务员管理的事业单位）未单独设置项级科目的其他项目支出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default" w:ascii="Calibri" w:hAnsi="Calibri" w:eastAsia="仿宋_GB2312" w:cs="Calibri"/>
          <w:color w:val="000000"/>
          <w:sz w:val="32"/>
          <w:szCs w:val="32"/>
        </w:rPr>
        <w:t>③</w:t>
      </w:r>
      <w:r>
        <w:rPr>
          <w:rFonts w:hint="eastAsia" w:ascii="仿宋_GB2312" w:eastAsia="仿宋_GB2312"/>
          <w:color w:val="000000"/>
          <w:sz w:val="32"/>
          <w:szCs w:val="32"/>
        </w:rPr>
        <w:t>一般公共服务（类）</w:t>
      </w:r>
      <w:r>
        <w:rPr>
          <w:rFonts w:hint="eastAsia" w:ascii="仿宋_GB2312" w:eastAsia="仿宋_GB2312"/>
          <w:color w:val="000000"/>
          <w:sz w:val="32"/>
          <w:szCs w:val="32"/>
          <w:lang w:eastAsia="zh-CN"/>
        </w:rPr>
        <w:t>政府办公厅（室）及相关机构事务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信访事务</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各级政府用于接待群众来信来访方面的支出</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5.</w:t>
      </w:r>
      <w:r>
        <w:rPr>
          <w:rStyle w:val="15"/>
          <w:rFonts w:hint="eastAsia" w:ascii="仿宋_GB2312" w:eastAsia="仿宋_GB2312"/>
          <w:b w:val="0"/>
          <w:color w:val="000000"/>
          <w:sz w:val="32"/>
          <w:szCs w:val="32"/>
        </w:rPr>
        <w:t>社会保障和就业（类）行政事业单位离退休（款）机关事业单位基本养老保险缴费支出（项）:</w:t>
      </w:r>
      <w:r>
        <w:rPr>
          <w:rFonts w:hint="eastAsia" w:ascii="仿宋_GB2312" w:eastAsia="仿宋_GB2312"/>
          <w:color w:val="000000"/>
          <w:sz w:val="32"/>
          <w:szCs w:val="32"/>
        </w:rPr>
        <w:t>指机关事业单位实施养老保险制度由单位缴纳的基本养老保险费支出。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w:t>
      </w:r>
      <w:r>
        <w:rPr>
          <w:rStyle w:val="15"/>
          <w:rFonts w:hint="eastAsia" w:ascii="仿宋_GB2312" w:eastAsia="仿宋_GB2312"/>
          <w:b w:val="0"/>
          <w:color w:val="000000"/>
          <w:sz w:val="32"/>
          <w:szCs w:val="32"/>
          <w:lang w:val="en-US" w:eastAsia="zh-CN"/>
        </w:rPr>
        <w:t>6.</w:t>
      </w:r>
      <w:r>
        <w:rPr>
          <w:rStyle w:val="15"/>
          <w:rFonts w:hint="eastAsia" w:ascii="仿宋_GB2312" w:eastAsia="仿宋_GB2312"/>
          <w:b w:val="0"/>
          <w:color w:val="000000"/>
          <w:sz w:val="32"/>
          <w:szCs w:val="32"/>
        </w:rPr>
        <w:t>医疗卫生与计划生育（类）医疗保障（款）行政单位医疗（项）:</w:t>
      </w:r>
      <w:r>
        <w:rPr>
          <w:rFonts w:hint="eastAsia" w:ascii="仿宋_GB2312" w:eastAsia="仿宋_GB2312"/>
          <w:color w:val="000000"/>
          <w:sz w:val="32"/>
          <w:szCs w:val="32"/>
        </w:rPr>
        <w:t xml:space="preserve"> 指行政单位（包括实行公务员管理的事业单位）为职工缴纳的基本医疗保险费。</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7.</w:t>
      </w:r>
      <w:r>
        <w:rPr>
          <w:rStyle w:val="15"/>
          <w:rFonts w:hint="eastAsia" w:ascii="仿宋_GB2312" w:eastAsia="仿宋_GB2312"/>
          <w:b w:val="0"/>
          <w:color w:val="000000"/>
          <w:sz w:val="32"/>
          <w:szCs w:val="32"/>
        </w:rPr>
        <w:t>住房保障（类）住房改革支出（款）住房公积金（项）:</w:t>
      </w:r>
      <w:r>
        <w:rPr>
          <w:rFonts w:hint="eastAsia" w:ascii="仿宋_GB2312" w:eastAsia="仿宋_GB2312"/>
          <w:color w:val="000000"/>
          <w:sz w:val="32"/>
          <w:szCs w:val="32"/>
        </w:rPr>
        <w:t>指行政事业单位按人力资源和社会保障部、财政部规定的基本工资和津贴补贴以及规定比例为职工缴纳的住房公积金。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 xml:space="preserve">.项目支出：指在基本支出之外为完成特定行政任务和事业发展目标所发生的支出。 </w:t>
      </w:r>
    </w:p>
    <w:p>
      <w:pPr>
        <w:pStyle w:val="23"/>
        <w:spacing w:line="560" w:lineRule="exact"/>
        <w:ind w:firstLine="640" w:firstLineChars="200"/>
        <w:rPr>
          <w:rFonts w:ascii="仿宋_GB2312" w:eastAsia="仿宋_GB2312"/>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hAnsi="Times New Roman" w:eastAsia="仿宋_GB2312" w:cs="Times New Roman"/>
          <w:color w:val="000000"/>
          <w:kern w:val="2"/>
          <w:sz w:val="32"/>
          <w:szCs w:val="32"/>
          <w:lang w:val="en-US" w:eastAsia="zh-CN" w:bidi="ar-SA"/>
        </w:rPr>
        <w:t>11.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宋体"/>
          <w:b/>
          <w:color w:val="000000"/>
          <w:sz w:val="44"/>
          <w:szCs w:val="44"/>
        </w:rPr>
      </w:pPr>
      <w:bookmarkStart w:id="58" w:name="_Toc15377226"/>
      <w:r>
        <w:rPr>
          <w:rFonts w:ascii="宋体"/>
          <w:b/>
          <w:color w:val="000000"/>
          <w:sz w:val="44"/>
          <w:szCs w:val="44"/>
        </w:rPr>
        <w:br w:type="page"/>
      </w:r>
      <w:bookmarkStart w:id="59" w:name="_Toc15396614"/>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p>
    <w:p>
      <w:pPr>
        <w:spacing w:line="600" w:lineRule="exact"/>
        <w:jc w:val="center"/>
        <w:outlineLvl w:val="0"/>
        <w:rPr>
          <w:rStyle w:val="25"/>
        </w:rPr>
      </w:pPr>
    </w:p>
    <w:p>
      <w:pPr>
        <w:pStyle w:val="3"/>
        <w:rPr>
          <w:rStyle w:val="25"/>
          <w:rFonts w:ascii="仿宋" w:hAnsi="仿宋" w:eastAsia="仿宋"/>
          <w:b w:val="0"/>
          <w:bCs w:val="0"/>
          <w:sz w:val="32"/>
          <w:szCs w:val="32"/>
        </w:rPr>
      </w:pPr>
      <w:bookmarkStart w:id="60" w:name="_Toc15396615"/>
      <w:r>
        <w:rPr>
          <w:rStyle w:val="25"/>
          <w:rFonts w:hint="eastAsia" w:ascii="仿宋" w:hAnsi="仿宋" w:eastAsia="仿宋"/>
          <w:b w:val="0"/>
          <w:bCs w:val="0"/>
          <w:sz w:val="32"/>
          <w:szCs w:val="32"/>
        </w:rPr>
        <w:t>附件1</w:t>
      </w:r>
      <w:bookmarkEnd w:id="6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井研县信访局2018年部门整体支出绩效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一、单位概况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（一）机构组成。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井研县信访局是一个独立法人、独立财务预算核算的单位，包括办公室、信访股、督查督办股、来访中心。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    （二）机构职能</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主要职能：（一）受理、交办、转送信访人提出的信访事项；（二）承办上级和本级人民政府交由处理的信访事项;（三）协调处理重要信访事项；（四）督促检查信访事项的处理；（五）研究、分析信访情况，开展调查研究，及时向本级人民政府提出完善政策和改进工作的建议；（六）完成县委县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（三）人员概况。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现有编制15人，其中：行政编制9人，工勤编制1人，事业编制5人。到目前为止实有行政人员9人，工勤编制1人，事业人员3人。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二、部门财政资金收支情况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（一）部门财政资金收入情况：2018年井研县信访局收入部门财政资金预算收入总额为375.36万元，较上年预算增加11.5万元。其中：当年财政拨款收入288.12万元，</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87.24</w:t>
      </w:r>
      <w:r>
        <w:rPr>
          <w:rFonts w:hint="eastAsia" w:ascii="仿宋" w:hAnsi="仿宋" w:eastAsia="仿宋"/>
          <w:color w:val="000000"/>
          <w:sz w:val="32"/>
          <w:szCs w:val="32"/>
        </w:rPr>
        <w:t>万元，国有资本经营预算财政拨款收入</w:t>
      </w:r>
      <w:r>
        <w:rPr>
          <w:rFonts w:ascii="仿宋" w:hAnsi="仿宋" w:eastAsia="仿宋"/>
          <w:color w:val="000000"/>
          <w:sz w:val="32"/>
          <w:szCs w:val="32"/>
        </w:rPr>
        <w:t>0.00</w:t>
      </w:r>
      <w:r>
        <w:rPr>
          <w:rFonts w:hint="eastAsia" w:ascii="仿宋" w:hAnsi="仿宋" w:eastAsia="仿宋"/>
          <w:color w:val="000000"/>
          <w:sz w:val="32"/>
          <w:szCs w:val="32"/>
        </w:rPr>
        <w:t>万元，</w:t>
      </w:r>
      <w:r>
        <w:rPr>
          <w:rFonts w:hint="eastAsia" w:ascii="仿宋_GB2312" w:hAnsi="仿宋_GB2312" w:eastAsia="仿宋_GB2312" w:cs="仿宋_GB2312"/>
          <w:sz w:val="32"/>
          <w:szCs w:val="32"/>
          <w:lang w:val="en-US" w:eastAsia="zh-CN"/>
        </w:rPr>
        <w:t>事业收入0万元，事业单位经营收入0万元，其他收入0万元，上年结转收入0万元。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部门财政资金支出情况：相应安排支出预算346.88万元，其中：一般公共服务支出220.64万元，社会保障16.7万元，住房保障支出18.21万元，医疗卫生和计划生育支出4.09万元,其他国有土地使用权出让收入安排的支出87.24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三、部门财政支出管理情况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（一） 预决算编制情况。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预算根据我局实际需要编制，包含一般公共服务、医疗、教育、信访维稳、社情民意、特殊疑难信访案件化解等方面编制预算，保证预算涉及全面并且用之有道，充分发挥预算编制的作用。绩效目标根据县委、县政府目标办具体要求填报、转移支付按规定提前下达并且规定分地区分项目编制专项转移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（二）执行管理情况。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财力专项预算分配时限按规定及时分配省级财力专项预算，部门按要求严格预算执行管理，中期进行预算执行力度评估，改进支付力度，坚持节能降耗原则，节约“三公”经费开支。对以后年度县级部门预算编制起带一定的指导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（三）综合管理情况。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不存在债务管理、非税收入执收；所有采购均按照县上要求走采购程序、完善采购手续进行有计划有目标的采购，执行的事实计划与备案的事实计划保持一致；我局资产管理纳入资产信息系统系统进行管理，及时、准确、全面开展资产清查工作保证上报资料的准确性、及时性、全面性。内控制度建立健全并严格实施。预算决算、“三公经费”以及其他信息按相关规定及时公开；绩效评价每年按规定完成及所有财务收支及执行情况全面依法接受县财政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（四）整体绩效。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深入推进信访工作制度改革，有力提升工作效能和公信力。推行“阳光信访”。全面推进网上信访工作，落实信访事项网上录入工作；抓好领导干部接访下访、阅批群众来信和包案活动；做好县领导接访服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县领导带头接访下访，有力推动了信访突出问题解决。县、乡二级党政领导干部接访、约访和下访工作全面推开，相关制度机制也进一步落实。切实推动化解了大量信访疑难事项以及久拖不决、久拖不办的信访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（三）扎实开展信访积案化解工作，有力维护了群众合法权益。建立“法治信访”。做好信访事项复查工作，推进涉法涉诉信访改革。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四、评价结论及建议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（一）评价结论：部门整体支出绩效效果良好，提高了人民群众满意度。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（二）存在问题：该项工作还比较生疏，需要加强培训及进一步学习。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（三）改进建议：进行专项培训，加强监督管理。</w:t>
      </w:r>
    </w:p>
    <w:p>
      <w:pPr>
        <w:spacing w:line="600" w:lineRule="exact"/>
        <w:jc w:val="center"/>
        <w:outlineLvl w:val="0"/>
        <w:rPr>
          <w:rFonts w:ascii="宋体"/>
          <w:b/>
          <w:color w:val="000000"/>
          <w:sz w:val="44"/>
          <w:szCs w:val="44"/>
        </w:rPr>
      </w:pPr>
    </w:p>
    <w:p>
      <w:pPr>
        <w:spacing w:line="600" w:lineRule="exact"/>
        <w:jc w:val="center"/>
        <w:outlineLvl w:val="0"/>
        <w:rPr>
          <w:rStyle w:val="25"/>
          <w:rFonts w:hint="eastAsia" w:ascii="方正小标宋_GBK" w:hAnsi="黑体" w:eastAsia="方正小标宋_GBK"/>
          <w:b w:val="0"/>
        </w:rPr>
      </w:pPr>
      <w:r>
        <w:rPr>
          <w:rFonts w:hint="eastAsia" w:ascii="方正小标宋_GBK" w:hAnsi="黑体" w:eastAsia="方正小标宋_GBK"/>
          <w:color w:val="000000"/>
          <w:sz w:val="44"/>
          <w:szCs w:val="44"/>
        </w:rPr>
        <w:t>第</w:t>
      </w:r>
      <w:r>
        <w:rPr>
          <w:rFonts w:hint="eastAsia" w:ascii="方正小标宋_GBK" w:hAnsi="黑体" w:eastAsia="方正小标宋_GBK"/>
          <w:color w:val="000000"/>
          <w:sz w:val="44"/>
          <w:szCs w:val="44"/>
          <w:lang w:eastAsia="zh-CN"/>
        </w:rPr>
        <w:t>五</w:t>
      </w:r>
      <w:r>
        <w:rPr>
          <w:rStyle w:val="25"/>
          <w:rFonts w:hint="eastAsia" w:ascii="方正小标宋_GBK" w:hAnsi="黑体" w:eastAsia="方正小标宋_GBK"/>
          <w:b w:val="0"/>
        </w:rPr>
        <w:t xml:space="preserve">部分 </w:t>
      </w:r>
      <w:bookmarkEnd w:id="59"/>
      <w:bookmarkStart w:id="61" w:name="_Toc15396618"/>
      <w:r>
        <w:rPr>
          <w:rStyle w:val="25"/>
          <w:rFonts w:hint="eastAsia" w:ascii="方正小标宋_GBK" w:hAnsi="黑体" w:eastAsia="方正小标宋_GBK"/>
          <w:b w:val="0"/>
        </w:rPr>
        <w:t xml:space="preserve"> 附表</w:t>
      </w:r>
      <w:bookmarkEnd w:id="58"/>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rPr>
      </w:pPr>
      <w:bookmarkStart w:id="74"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4"/>
    </w:p>
    <w:sectPr>
      <w:headerReference r:id="rId3" w:type="default"/>
      <w:footerReference r:id="rId4" w:type="default"/>
      <w:pgSz w:w="11906" w:h="16838"/>
      <w:pgMar w:top="1701" w:right="1474" w:bottom="1588" w:left="153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57ED987C"/>
    <w:multiLevelType w:val="singleLevel"/>
    <w:tmpl w:val="57ED987C"/>
    <w:lvl w:ilvl="0" w:tentative="0">
      <w:start w:val="1"/>
      <w:numFmt w:val="decimal"/>
      <w:lvlText w:val="%1."/>
      <w:lvlJc w:val="left"/>
      <w:pPr>
        <w:tabs>
          <w:tab w:val="left" w:pos="312"/>
        </w:tabs>
      </w:pPr>
    </w:lvl>
  </w:abstractNum>
  <w:abstractNum w:abstractNumId="4">
    <w:nsid w:val="5BB976FB"/>
    <w:multiLevelType w:val="singleLevel"/>
    <w:tmpl w:val="5BB976FB"/>
    <w:lvl w:ilvl="0" w:tentative="0">
      <w:start w:val="1"/>
      <w:numFmt w:val="decimal"/>
      <w:lvlText w:val="%1."/>
      <w:lvlJc w:val="left"/>
      <w:pPr>
        <w:tabs>
          <w:tab w:val="left" w:pos="312"/>
        </w:tabs>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A7778"/>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D554D"/>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048"/>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40C4644"/>
    <w:rsid w:val="07FF5632"/>
    <w:rsid w:val="09696240"/>
    <w:rsid w:val="0A722C21"/>
    <w:rsid w:val="0C3866D3"/>
    <w:rsid w:val="0DCE6C61"/>
    <w:rsid w:val="0E7541B7"/>
    <w:rsid w:val="0F190680"/>
    <w:rsid w:val="10B01464"/>
    <w:rsid w:val="10C055FF"/>
    <w:rsid w:val="12F45370"/>
    <w:rsid w:val="15FB5E8C"/>
    <w:rsid w:val="167B7CC7"/>
    <w:rsid w:val="16BB723D"/>
    <w:rsid w:val="17FE1A07"/>
    <w:rsid w:val="1FBA4B6C"/>
    <w:rsid w:val="201D29A7"/>
    <w:rsid w:val="226F6ADE"/>
    <w:rsid w:val="2342610B"/>
    <w:rsid w:val="240371BF"/>
    <w:rsid w:val="25737180"/>
    <w:rsid w:val="29FD04D3"/>
    <w:rsid w:val="2EDC0D92"/>
    <w:rsid w:val="317115DA"/>
    <w:rsid w:val="319F7F4E"/>
    <w:rsid w:val="35E26475"/>
    <w:rsid w:val="371C72C3"/>
    <w:rsid w:val="381E5D3C"/>
    <w:rsid w:val="38A215FE"/>
    <w:rsid w:val="3B906825"/>
    <w:rsid w:val="3E156045"/>
    <w:rsid w:val="3ED42BB3"/>
    <w:rsid w:val="3EDA122B"/>
    <w:rsid w:val="42787255"/>
    <w:rsid w:val="432A5288"/>
    <w:rsid w:val="445C2194"/>
    <w:rsid w:val="44693283"/>
    <w:rsid w:val="4627188D"/>
    <w:rsid w:val="48AA2BF3"/>
    <w:rsid w:val="48F5790F"/>
    <w:rsid w:val="4C4E5E59"/>
    <w:rsid w:val="52454F54"/>
    <w:rsid w:val="536510F1"/>
    <w:rsid w:val="53F268EC"/>
    <w:rsid w:val="5618104D"/>
    <w:rsid w:val="56D83515"/>
    <w:rsid w:val="5DB055AE"/>
    <w:rsid w:val="5DEE5127"/>
    <w:rsid w:val="5EAF338C"/>
    <w:rsid w:val="60084371"/>
    <w:rsid w:val="619B51E8"/>
    <w:rsid w:val="63BF315F"/>
    <w:rsid w:val="650A6036"/>
    <w:rsid w:val="6573190E"/>
    <w:rsid w:val="66A0563F"/>
    <w:rsid w:val="6BAF0752"/>
    <w:rsid w:val="71BC376E"/>
    <w:rsid w:val="764C32C1"/>
    <w:rsid w:val="77534EE5"/>
    <w:rsid w:val="79AF05C6"/>
    <w:rsid w:val="79D70A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link w:val="14"/>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customStyle="1" w:styleId="14">
    <w:name w:val="Char Char Char Char"/>
    <w:basedOn w:val="1"/>
    <w:link w:val="13"/>
    <w:qFormat/>
    <w:uiPriority w:val="0"/>
    <w:pPr>
      <w:widowControl/>
      <w:spacing w:after="160" w:line="240" w:lineRule="exact"/>
      <w:jc w:val="left"/>
    </w:pPr>
  </w:style>
  <w:style w:type="character" w:styleId="15">
    <w:name w:val="Strong"/>
    <w:basedOn w:val="13"/>
    <w:qFormat/>
    <w:uiPriority w:val="99"/>
    <w:rPr>
      <w:b/>
    </w:rPr>
  </w:style>
  <w:style w:type="character" w:styleId="16">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列出段落1"/>
    <w:basedOn w:val="1"/>
    <w:qFormat/>
    <w:uiPriority w:val="34"/>
    <w:pPr>
      <w:ind w:firstLine="420" w:firstLineChars="200"/>
    </w:pPr>
  </w:style>
  <w:style w:type="character" w:customStyle="1" w:styleId="25">
    <w:name w:val="标题 1 Char"/>
    <w:basedOn w:val="13"/>
    <w:link w:val="2"/>
    <w:qFormat/>
    <w:uiPriority w:val="9"/>
    <w:rPr>
      <w:rFonts w:ascii="Times New Roman" w:hAnsi="Times New Roman"/>
      <w:b/>
      <w:bCs/>
      <w:kern w:val="44"/>
      <w:sz w:val="44"/>
      <w:szCs w:val="44"/>
    </w:rPr>
  </w:style>
  <w:style w:type="character" w:customStyle="1" w:styleId="26">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2"/>
    <customShpInfo spid="_x0000_s1036"/>
    <customShpInfo spid="_x0000_s1035"/>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1440</Words>
  <Characters>8210</Characters>
  <Lines>68</Lines>
  <Paragraphs>19</Paragraphs>
  <TotalTime>8</TotalTime>
  <ScaleCrop>false</ScaleCrop>
  <LinksUpToDate>false</LinksUpToDate>
  <CharactersWithSpaces>9631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回忆1411701085</cp:lastModifiedBy>
  <cp:lastPrinted>2021-05-27T08:09:33Z</cp:lastPrinted>
  <dcterms:modified xsi:type="dcterms:W3CDTF">2021-05-27T08:13:58Z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