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5377425"/>
      <w:bookmarkStart w:id="3" w:name="_Toc15377193"/>
      <w:bookmarkStart w:id="4" w:name="_Toc15378441"/>
      <w:bookmarkStart w:id="5" w:name="_Toc15396597"/>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96598"/>
      <w:bookmarkStart w:id="8" w:name="_Toc15377426"/>
      <w:bookmarkStart w:id="9" w:name="_Toc15378442"/>
      <w:bookmarkStart w:id="10" w:name="_Toc15396476"/>
      <w:r>
        <w:rPr>
          <w:rFonts w:hint="eastAsia" w:ascii="方正小标宋简体" w:hAnsi="宋体" w:eastAsia="方正小标宋简体"/>
          <w:color w:val="000000"/>
          <w:sz w:val="72"/>
          <w:szCs w:val="72"/>
        </w:rPr>
        <w:t>四川省乐山市井研县</w:t>
      </w:r>
      <w:bookmarkEnd w:id="0"/>
      <w:bookmarkStart w:id="11" w:name="_Toc15306268"/>
      <w:r>
        <w:rPr>
          <w:rFonts w:hint="eastAsia" w:ascii="方正小标宋简体" w:hAnsi="宋体" w:eastAsia="方正小标宋简体"/>
          <w:color w:val="000000"/>
          <w:sz w:val="72"/>
          <w:szCs w:val="72"/>
        </w:rPr>
        <w:t>安全生产监督管理局部门决算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w:t>
      </w:r>
      <w:r>
        <w:t>0</w:t>
      </w:r>
      <w:r>
        <w:rPr>
          <w:rFonts w:hint="eastAsia"/>
        </w:rPr>
        <w:t>月2</w:t>
      </w:r>
      <w:r>
        <w:t>5</w:t>
      </w:r>
      <w:r>
        <w:rPr>
          <w:rFonts w:hint="eastAsia"/>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6</w:t>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t>11</w:t>
      </w:r>
      <w:r>
        <w:rPr>
          <w:rFonts w:ascii="仿宋" w:hAnsi="仿宋" w:eastAsia="仿宋"/>
          <w:sz w:val="28"/>
          <w:szCs w:val="28"/>
        </w:rPr>
        <w:fldChar w:fldCharType="end"/>
      </w:r>
    </w:p>
    <w:p>
      <w:pPr>
        <w:pStyle w:val="11"/>
        <w:rPr>
          <w:rFonts w:eastAsia="仿宋"/>
        </w:rPr>
      </w:pPr>
      <w:r>
        <w:rPr>
          <w:rFonts w:hint="eastAsia"/>
          <w:sz w:val="28"/>
          <w:szCs w:val="28"/>
        </w:rPr>
        <w:t>十、预算绩效情况说明</w:t>
      </w:r>
      <w:r>
        <w:rPr>
          <w:rFonts w:ascii="仿宋" w:hAnsi="仿宋" w:eastAsia="仿宋"/>
          <w:sz w:val="28"/>
          <w:szCs w:val="28"/>
        </w:rPr>
        <w:tab/>
      </w:r>
      <w:r>
        <w:rPr>
          <w:rFonts w:hint="eastAsia" w:ascii="仿宋" w:hAnsi="仿宋" w:eastAsia="仿宋"/>
          <w:sz w:val="28"/>
          <w:szCs w:val="28"/>
        </w:rPr>
        <w:t>11</w:t>
      </w:r>
    </w:p>
    <w:p>
      <w:pPr>
        <w:pStyle w:val="11"/>
        <w:ind w:left="0" w:leftChars="0" w:firstLine="420" w:firstLineChars="200"/>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十一、</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1</w:t>
      </w:r>
      <w:r>
        <w:rPr>
          <w:rFonts w:hint="eastAsia"/>
        </w:rPr>
        <w:fldChar w:fldCharType="end"/>
      </w:r>
      <w:r>
        <w:rPr>
          <w:rFonts w:hint="eastAsia"/>
        </w:rPr>
        <w:t>5</w:t>
      </w:r>
    </w:p>
    <w:p>
      <w:pPr>
        <w:pStyle w:val="1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rPr>
        <w:t>1</w:t>
      </w:r>
      <w:r>
        <w:rPr>
          <w:rFonts w:hint="eastAsia"/>
        </w:rPr>
        <w:fldChar w:fldCharType="end"/>
      </w:r>
      <w:r>
        <w:rPr>
          <w:rFonts w:hint="eastAsia"/>
        </w:rPr>
        <w:t>8</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8</w:t>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2</w:t>
      </w:r>
      <w:r>
        <w:rPr>
          <w:rFonts w:hint="eastAsia" w:ascii="仿宋" w:hAnsi="仿宋" w:eastAsia="仿宋"/>
          <w:sz w:val="28"/>
          <w:szCs w:val="28"/>
        </w:rPr>
        <w:fldChar w:fldCharType="end"/>
      </w:r>
      <w:r>
        <w:rPr>
          <w:rFonts w:hint="eastAsia" w:ascii="仿宋" w:hAnsi="仿宋" w:eastAsia="仿宋"/>
          <w:sz w:val="28"/>
          <w:szCs w:val="28"/>
        </w:rPr>
        <w:t>2</w:t>
      </w:r>
    </w:p>
    <w:p>
      <w:pPr>
        <w:pStyle w:val="1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rPr>
        <w:t>2</w:t>
      </w:r>
      <w:r>
        <w:rPr>
          <w:rFonts w:hint="eastAsia"/>
        </w:rPr>
        <w:fldChar w:fldCharType="end"/>
      </w:r>
      <w:r>
        <w:rPr>
          <w:rFonts w:hint="eastAsia"/>
        </w:rPr>
        <w:t>3</w:t>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23</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24"/>
          <w:rFonts w:ascii="黑体" w:hAnsi="黑体" w:eastAsia="黑体"/>
          <w:b/>
          <w:bCs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 xml:space="preserve">第一部分 </w:t>
      </w:r>
      <w:r>
        <w:rPr>
          <w:rStyle w:val="24"/>
          <w:rFonts w:hint="eastAsia" w:ascii="黑体" w:hAnsi="黑体" w:eastAsia="黑体"/>
          <w:b w:val="0"/>
          <w:bCs w:val="0"/>
          <w:color w:val="000000" w:themeColor="text1"/>
          <w14:textFill>
            <w14:solidFill>
              <w14:schemeClr w14:val="tx1"/>
            </w14:solidFill>
          </w14:textFill>
        </w:rPr>
        <w:t>部门概况</w:t>
      </w:r>
      <w:bookmarkEnd w:id="12"/>
      <w:bookmarkEnd w:id="13"/>
    </w:p>
    <w:p>
      <w:pPr>
        <w:pStyle w:val="3"/>
        <w:numPr>
          <w:ilvl w:val="0"/>
          <w:numId w:val="4"/>
        </w:numPr>
        <w:rPr>
          <w:rStyle w:val="25"/>
          <w:rFonts w:hint="eastAsia" w:ascii="黑体" w:hAnsi="黑体" w:eastAsia="黑体" w:cs="黑体"/>
          <w:b w:val="0"/>
          <w:bCs w:val="0"/>
          <w:color w:val="000000" w:themeColor="text1"/>
          <w14:textFill>
            <w14:solidFill>
              <w14:schemeClr w14:val="tx1"/>
            </w14:solidFill>
          </w14:textFill>
        </w:rPr>
      </w:pPr>
      <w:bookmarkStart w:id="14" w:name="_Toc15396600"/>
      <w:bookmarkStart w:id="15" w:name="_Toc15377197"/>
      <w:r>
        <w:rPr>
          <w:rFonts w:hint="eastAsia" w:ascii="黑体" w:hAnsi="黑体" w:eastAsia="黑体" w:cs="黑体"/>
          <w:b w:val="0"/>
          <w:color w:val="000000" w:themeColor="text1"/>
          <w14:textFill>
            <w14:solidFill>
              <w14:schemeClr w14:val="tx1"/>
            </w14:solidFill>
          </w14:textFill>
        </w:rPr>
        <w:t>基</w:t>
      </w:r>
      <w:r>
        <w:rPr>
          <w:rStyle w:val="25"/>
          <w:rFonts w:hint="eastAsia" w:ascii="黑体" w:hAnsi="黑体" w:eastAsia="黑体" w:cs="黑体"/>
          <w:b w:val="0"/>
          <w:bCs w:val="0"/>
          <w:color w:val="000000" w:themeColor="text1"/>
          <w14:textFill>
            <w14:solidFill>
              <w14:schemeClr w14:val="tx1"/>
            </w14:solidFill>
          </w14:textFill>
        </w:rPr>
        <w:t>本职能及主要工作</w:t>
      </w:r>
      <w:bookmarkEnd w:id="14"/>
      <w:bookmarkEnd w:id="15"/>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1.负责贯彻执行国家安全生产的法律、法规和政策等；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2.承担县政府安全生产综合管理责任，依法行使安全生产综合监督管理职责等；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3.承担安全生产综合监督管理责任，依法监督检查负有安全生产监管职责的部门、乡镇人民政府贯彻执行安全生产法律法规情况等；</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4.负责危险化学品、非煤矿山、冶金和烟花爆竹行业安全生产监督管理工作；</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5.负责职业病防治相关工作；</w:t>
      </w:r>
    </w:p>
    <w:p>
      <w:pPr>
        <w:pStyle w:val="5"/>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6.负责生产责任事故调查处理工作</w:t>
      </w:r>
    </w:p>
    <w:p>
      <w:pPr>
        <w:pStyle w:val="5"/>
        <w:keepNext w:val="0"/>
        <w:keepLines w:val="0"/>
        <w:pageBreakBefore w:val="0"/>
        <w:widowControl w:val="0"/>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93" w:line="600" w:lineRule="exact"/>
        <w:ind w:firstLine="672" w:firstLineChars="210"/>
        <w:textAlignment w:val="auto"/>
        <w:outlineLvl w:val="2"/>
        <w:rPr>
          <w:rFonts w:eastAsia="仿宋_GB2312"/>
          <w:sz w:val="32"/>
          <w:szCs w:val="32"/>
        </w:rPr>
      </w:pPr>
      <w:r>
        <w:rPr>
          <w:rFonts w:hint="eastAsia" w:ascii="仿宋" w:hAnsi="仿宋" w:eastAsia="仿宋" w:cs="仿宋"/>
          <w:color w:val="000000" w:themeColor="text1"/>
          <w:sz w:val="32"/>
          <w:szCs w:val="32"/>
          <w14:textFill>
            <w14:solidFill>
              <w14:schemeClr w14:val="tx1"/>
            </w14:solidFill>
          </w14:textFill>
        </w:rPr>
        <w:t>强化安全生产责任落实。</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eastAsia="仿宋_GB2312"/>
          <w:bCs/>
          <w:sz w:val="32"/>
          <w:szCs w:val="32"/>
        </w:rPr>
        <w:t>开展《意见》的贯彻落实</w:t>
      </w:r>
      <w:r>
        <w:rPr>
          <w:rFonts w:hint="eastAsia"/>
          <w:bCs/>
          <w:sz w:val="32"/>
          <w:szCs w:val="32"/>
          <w:lang w:eastAsia="zh-CN"/>
        </w:rPr>
        <w:t>，</w:t>
      </w:r>
      <w:r>
        <w:rPr>
          <w:rFonts w:hint="eastAsia"/>
          <w:bCs/>
          <w:sz w:val="32"/>
          <w:szCs w:val="32"/>
          <w:lang w:val="en-US" w:eastAsia="zh-CN"/>
        </w:rPr>
        <w:t>（2）</w:t>
      </w:r>
      <w:r>
        <w:rPr>
          <w:rFonts w:eastAsia="仿宋_GB2312"/>
          <w:bCs/>
          <w:sz w:val="32"/>
          <w:szCs w:val="32"/>
        </w:rPr>
        <w:t>严格执行《地方党政领导干部安全生产责任制规定》</w:t>
      </w:r>
      <w:r>
        <w:rPr>
          <w:rFonts w:hint="eastAsia"/>
          <w:bCs/>
          <w:sz w:val="32"/>
          <w:szCs w:val="32"/>
          <w:lang w:eastAsia="zh-CN"/>
        </w:rPr>
        <w:t>，（</w:t>
      </w:r>
      <w:r>
        <w:rPr>
          <w:rFonts w:hint="eastAsia"/>
          <w:bCs/>
          <w:sz w:val="32"/>
          <w:szCs w:val="32"/>
          <w:lang w:val="en-US" w:eastAsia="zh-CN"/>
        </w:rPr>
        <w:t>3</w:t>
      </w:r>
      <w:r>
        <w:rPr>
          <w:rFonts w:hint="eastAsia"/>
          <w:bCs/>
          <w:sz w:val="32"/>
          <w:szCs w:val="32"/>
          <w:lang w:eastAsia="zh-CN"/>
        </w:rPr>
        <w:t>）</w:t>
      </w:r>
      <w:r>
        <w:rPr>
          <w:rFonts w:eastAsia="仿宋_GB2312"/>
          <w:bCs/>
          <w:sz w:val="32"/>
          <w:szCs w:val="32"/>
        </w:rPr>
        <w:t>强化安全生产目标考核</w:t>
      </w:r>
      <w:r>
        <w:rPr>
          <w:rFonts w:hint="eastAsia"/>
          <w:bCs/>
          <w:sz w:val="32"/>
          <w:szCs w:val="32"/>
          <w:lang w:eastAsia="zh-CN"/>
        </w:rPr>
        <w:t>。（</w:t>
      </w:r>
      <w:r>
        <w:rPr>
          <w:rFonts w:hint="eastAsia"/>
          <w:bCs/>
          <w:sz w:val="32"/>
          <w:szCs w:val="32"/>
          <w:lang w:val="en-US" w:eastAsia="zh-CN"/>
        </w:rPr>
        <w:t>4</w:t>
      </w:r>
      <w:r>
        <w:rPr>
          <w:rFonts w:hint="eastAsia"/>
          <w:bCs/>
          <w:sz w:val="32"/>
          <w:szCs w:val="32"/>
          <w:lang w:eastAsia="zh-CN"/>
        </w:rPr>
        <w:t>）</w:t>
      </w:r>
      <w:r>
        <w:rPr>
          <w:rFonts w:eastAsia="仿宋_GB2312"/>
          <w:sz w:val="32"/>
          <w:szCs w:val="32"/>
        </w:rPr>
        <w:t>抓好重点时段安全生产</w:t>
      </w:r>
      <w:r>
        <w:rPr>
          <w:rFonts w:hint="eastAsia"/>
          <w:sz w:val="32"/>
          <w:szCs w:val="32"/>
          <w:lang w:eastAsia="zh-CN"/>
        </w:rPr>
        <w:t>。</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开展安全知识宣传培训</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eastAsia="仿宋_GB2312"/>
          <w:sz w:val="32"/>
          <w:szCs w:val="32"/>
        </w:rPr>
        <w:t>扎实开展“安全知识进乡村”宣传活动</w:t>
      </w:r>
      <w:r>
        <w:rPr>
          <w:rFonts w:hint="eastAsia"/>
          <w:sz w:val="32"/>
          <w:szCs w:val="32"/>
          <w:lang w:eastAsia="zh-CN"/>
        </w:rPr>
        <w:t>，（</w:t>
      </w:r>
      <w:r>
        <w:rPr>
          <w:rFonts w:hint="eastAsia"/>
          <w:sz w:val="32"/>
          <w:szCs w:val="32"/>
          <w:lang w:val="en-US" w:eastAsia="zh-CN"/>
        </w:rPr>
        <w:t>2</w:t>
      </w:r>
      <w:r>
        <w:rPr>
          <w:rFonts w:hint="eastAsia"/>
          <w:sz w:val="32"/>
          <w:szCs w:val="32"/>
          <w:lang w:eastAsia="zh-CN"/>
        </w:rPr>
        <w:t>）</w:t>
      </w:r>
      <w:r>
        <w:rPr>
          <w:rFonts w:eastAsia="仿宋_GB2312"/>
          <w:sz w:val="32"/>
          <w:szCs w:val="32"/>
        </w:rPr>
        <w:t>扎实开展安全生产月宣传活动</w:t>
      </w:r>
      <w:r>
        <w:rPr>
          <w:rFonts w:hint="eastAsia"/>
          <w:sz w:val="32"/>
          <w:szCs w:val="32"/>
          <w:lang w:eastAsia="zh-CN"/>
        </w:rPr>
        <w:t>。</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eastAsia="仿宋_GB2312"/>
          <w:sz w:val="32"/>
          <w:szCs w:val="32"/>
          <w:lang w:val="en-US" w:eastAsia="zh-CN"/>
        </w:rPr>
      </w:pPr>
      <w:r>
        <w:rPr>
          <w:rFonts w:eastAsia="仿宋_GB2312"/>
          <w:sz w:val="32"/>
          <w:szCs w:val="32"/>
        </w:rPr>
        <w:t>抓好专项整治和安全生产大检查工作。</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eastAsia="仿宋_GB2312"/>
          <w:sz w:val="32"/>
          <w:szCs w:val="32"/>
          <w:lang w:val="en-US" w:eastAsia="zh-CN"/>
        </w:rPr>
      </w:pPr>
      <w:r>
        <w:rPr>
          <w:rFonts w:eastAsia="仿宋_GB2312"/>
          <w:sz w:val="32"/>
          <w:szCs w:val="32"/>
        </w:rPr>
        <w:t>加大执法检查力度</w:t>
      </w:r>
      <w:r>
        <w:rPr>
          <w:rFonts w:hint="eastAsia"/>
          <w:sz w:val="32"/>
          <w:szCs w:val="32"/>
          <w:lang w:eastAsia="zh-CN"/>
        </w:rPr>
        <w:t>。</w:t>
      </w:r>
    </w:p>
    <w:p>
      <w:pPr>
        <w:pStyle w:val="5"/>
        <w:keepNext w:val="0"/>
        <w:keepLines w:val="0"/>
        <w:pageBreakBefore w:val="0"/>
        <w:widowControl w:val="0"/>
        <w:numPr>
          <w:ilvl w:val="0"/>
          <w:numId w:val="5"/>
        </w:numPr>
        <w:kinsoku/>
        <w:wordWrap/>
        <w:overflowPunct/>
        <w:topLinePunct w:val="0"/>
        <w:autoSpaceDE/>
        <w:autoSpaceDN/>
        <w:bidi w:val="0"/>
        <w:adjustRightInd w:val="0"/>
        <w:snapToGrid w:val="0"/>
        <w:spacing w:before="93" w:line="600" w:lineRule="exact"/>
        <w:ind w:firstLine="672" w:firstLineChars="210"/>
        <w:textAlignment w:val="auto"/>
        <w:outlineLvl w:val="2"/>
        <w:rPr>
          <w:rFonts w:hint="eastAsia" w:eastAsia="仿宋_GB2312"/>
          <w:sz w:val="32"/>
          <w:szCs w:val="32"/>
          <w:lang w:val="en-US" w:eastAsia="zh-CN"/>
        </w:rPr>
      </w:pPr>
      <w:r>
        <w:rPr>
          <w:rFonts w:eastAsia="仿宋_GB2312"/>
          <w:sz w:val="32"/>
          <w:szCs w:val="32"/>
        </w:rPr>
        <w:t>强化基层基础建设</w:t>
      </w:r>
      <w:r>
        <w:rPr>
          <w:rFonts w:eastAsia="楷体_GB2312"/>
          <w:snapToGrid w:val="0"/>
          <w:sz w:val="32"/>
          <w:szCs w:val="32"/>
        </w:rPr>
        <w:t>。</w:t>
      </w:r>
      <w:r>
        <w:rPr>
          <w:rFonts w:hint="eastAsia" w:eastAsia="楷体_GB2312"/>
          <w:snapToGrid w:val="0"/>
          <w:sz w:val="32"/>
          <w:szCs w:val="32"/>
          <w:lang w:eastAsia="zh-CN"/>
        </w:rPr>
        <w:t>（</w:t>
      </w:r>
      <w:r>
        <w:rPr>
          <w:rFonts w:hint="eastAsia" w:eastAsia="楷体_GB2312"/>
          <w:snapToGrid w:val="0"/>
          <w:sz w:val="32"/>
          <w:szCs w:val="32"/>
          <w:lang w:val="en-US" w:eastAsia="zh-CN"/>
        </w:rPr>
        <w:t>1</w:t>
      </w:r>
      <w:r>
        <w:rPr>
          <w:rFonts w:hint="eastAsia" w:eastAsia="楷体_GB2312"/>
          <w:snapToGrid w:val="0"/>
          <w:sz w:val="32"/>
          <w:szCs w:val="32"/>
          <w:lang w:eastAsia="zh-CN"/>
        </w:rPr>
        <w:t>）</w:t>
      </w:r>
      <w:r>
        <w:rPr>
          <w:rFonts w:eastAsia="仿宋_GB2312"/>
          <w:bCs/>
          <w:sz w:val="32"/>
          <w:szCs w:val="32"/>
        </w:rPr>
        <w:t>突出安全隐患治理</w:t>
      </w:r>
      <w:r>
        <w:rPr>
          <w:rFonts w:hint="eastAsia"/>
          <w:bCs/>
          <w:sz w:val="32"/>
          <w:szCs w:val="32"/>
          <w:lang w:eastAsia="zh-CN"/>
        </w:rPr>
        <w:t>，（</w:t>
      </w:r>
      <w:r>
        <w:rPr>
          <w:rFonts w:hint="eastAsia"/>
          <w:bCs/>
          <w:sz w:val="32"/>
          <w:szCs w:val="32"/>
          <w:lang w:val="en-US" w:eastAsia="zh-CN"/>
        </w:rPr>
        <w:t>2</w:t>
      </w:r>
      <w:r>
        <w:rPr>
          <w:rFonts w:hint="eastAsia"/>
          <w:bCs/>
          <w:sz w:val="32"/>
          <w:szCs w:val="32"/>
          <w:lang w:eastAsia="zh-CN"/>
        </w:rPr>
        <w:t>）</w:t>
      </w:r>
      <w:r>
        <w:rPr>
          <w:rFonts w:eastAsia="仿宋_GB2312"/>
          <w:sz w:val="32"/>
          <w:szCs w:val="32"/>
        </w:rPr>
        <w:t>积极推进企业标准化创建</w:t>
      </w:r>
      <w:r>
        <w:rPr>
          <w:rFonts w:hint="eastAsia"/>
          <w:sz w:val="32"/>
          <w:szCs w:val="32"/>
          <w:lang w:eastAsia="zh-CN"/>
        </w:rPr>
        <w:t>，（</w:t>
      </w:r>
      <w:r>
        <w:rPr>
          <w:rFonts w:hint="eastAsia"/>
          <w:sz w:val="32"/>
          <w:szCs w:val="32"/>
          <w:lang w:val="en-US" w:eastAsia="zh-CN"/>
        </w:rPr>
        <w:t>3</w:t>
      </w:r>
      <w:r>
        <w:rPr>
          <w:rFonts w:hint="eastAsia"/>
          <w:sz w:val="32"/>
          <w:szCs w:val="32"/>
          <w:lang w:eastAsia="zh-CN"/>
        </w:rPr>
        <w:t>）</w:t>
      </w:r>
      <w:r>
        <w:rPr>
          <w:rFonts w:eastAsia="仿宋_GB2312"/>
          <w:sz w:val="32"/>
          <w:szCs w:val="32"/>
        </w:rPr>
        <w:t>加快推进安全社区建设</w:t>
      </w:r>
      <w:r>
        <w:rPr>
          <w:rFonts w:hint="eastAsia"/>
          <w:sz w:val="32"/>
          <w:szCs w:val="32"/>
          <w:lang w:eastAsia="zh-CN"/>
        </w:rPr>
        <w:t>，（</w:t>
      </w:r>
      <w:r>
        <w:rPr>
          <w:rFonts w:hint="eastAsia"/>
          <w:sz w:val="32"/>
          <w:szCs w:val="32"/>
          <w:lang w:val="en-US" w:eastAsia="zh-CN"/>
        </w:rPr>
        <w:t>4</w:t>
      </w:r>
      <w:r>
        <w:rPr>
          <w:rFonts w:hint="eastAsia"/>
          <w:sz w:val="32"/>
          <w:szCs w:val="32"/>
          <w:lang w:eastAsia="zh-CN"/>
        </w:rPr>
        <w:t>）</w:t>
      </w:r>
      <w:r>
        <w:rPr>
          <w:rFonts w:eastAsia="仿宋_GB2312"/>
          <w:sz w:val="32"/>
          <w:szCs w:val="32"/>
          <w:shd w:val="clear" w:color="auto" w:fill="FFFFFF"/>
        </w:rPr>
        <w:t>扎实开展职业健康示范企业建设</w:t>
      </w:r>
      <w:r>
        <w:rPr>
          <w:rFonts w:hint="eastAsia"/>
          <w:sz w:val="32"/>
          <w:szCs w:val="32"/>
          <w:shd w:val="clear" w:color="auto" w:fill="FFFFFF"/>
          <w:lang w:eastAsia="zh-CN"/>
        </w:rPr>
        <w:t>。</w:t>
      </w:r>
    </w:p>
    <w:p>
      <w:pPr>
        <w:pStyle w:val="3"/>
        <w:rPr>
          <w:rStyle w:val="36"/>
          <w:b w:val="0"/>
          <w:bCs w:val="0"/>
        </w:rPr>
      </w:pPr>
      <w:bookmarkStart w:id="18" w:name="_Toc15396601"/>
      <w:bookmarkStart w:id="19" w:name="_Toc15377200"/>
      <w:r>
        <w:rPr>
          <w:rFonts w:hint="eastAsia" w:ascii="黑体" w:eastAsia="黑体"/>
          <w:b w:val="0"/>
          <w:color w:val="000000"/>
        </w:rPr>
        <w:t>二、</w:t>
      </w:r>
      <w:r>
        <w:rPr>
          <w:rFonts w:hint="eastAsia" w:ascii="黑体" w:hAnsi="黑体" w:eastAsia="黑体"/>
          <w:b w:val="0"/>
          <w:color w:val="000000"/>
        </w:rPr>
        <w:t>机</w:t>
      </w:r>
      <w:r>
        <w:rPr>
          <w:rStyle w:val="36"/>
          <w:rFonts w:hint="eastAsia" w:ascii="黑体" w:hAnsi="黑体" w:eastAsia="黑体"/>
          <w:b w:val="0"/>
          <w:bCs w:val="0"/>
        </w:rPr>
        <w:t>构设置</w:t>
      </w:r>
      <w:bookmarkEnd w:id="18"/>
      <w:bookmarkEnd w:id="19"/>
    </w:p>
    <w:p>
      <w:pPr>
        <w:ind w:firstLine="720" w:firstLineChars="225"/>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井研县安全生产监督管理局</w:t>
      </w:r>
      <w:r>
        <w:rPr>
          <w:rFonts w:hint="eastAsia" w:ascii="仿宋" w:hAnsi="仿宋" w:eastAsia="仿宋" w:cs="仿宋"/>
          <w:color w:val="000000" w:themeColor="text1"/>
          <w:sz w:val="32"/>
          <w:szCs w:val="32"/>
          <w:lang w:eastAsia="zh-CN"/>
          <w14:textFill>
            <w14:solidFill>
              <w14:schemeClr w14:val="tx1"/>
            </w14:solidFill>
          </w14:textFill>
        </w:rPr>
        <w:t>行政单位</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无下属单位。</w:t>
      </w:r>
    </w:p>
    <w:p>
      <w:pPr>
        <w:pStyle w:val="2"/>
        <w:ind w:right="440"/>
        <w:jc w:val="center"/>
        <w:rPr>
          <w:rFonts w:hint="eastAsia" w:ascii="黑体" w:hAnsi="黑体" w:eastAsia="黑体" w:cs="黑体"/>
          <w:b w:val="0"/>
          <w:color w:val="000000" w:themeColor="text1"/>
          <w:sz w:val="32"/>
          <w:szCs w:val="32"/>
          <w14:textFill>
            <w14:solidFill>
              <w14:schemeClr w14:val="tx1"/>
            </w14:solidFill>
          </w14:textFill>
        </w:rPr>
      </w:pPr>
      <w:bookmarkStart w:id="20" w:name="_Toc15377204"/>
      <w:bookmarkStart w:id="21" w:name="_Toc15396602"/>
    </w:p>
    <w:p>
      <w:pPr>
        <w:pStyle w:val="2"/>
        <w:ind w:right="440"/>
        <w:jc w:val="center"/>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黑体"/>
          <w:b w:val="0"/>
          <w:color w:val="000000" w:themeColor="text1"/>
          <w:sz w:val="32"/>
          <w:szCs w:val="32"/>
          <w14:textFill>
            <w14:solidFill>
              <w14:schemeClr w14:val="tx1"/>
            </w14:solidFill>
          </w14:textFill>
        </w:rPr>
        <w:t>第二部分</w:t>
      </w:r>
      <w:r>
        <w:rPr>
          <w:rFonts w:hint="eastAsia" w:ascii="黑体" w:hAnsi="黑体" w:eastAsia="黑体" w:cs="黑体"/>
          <w:color w:val="000000" w:themeColor="text1"/>
          <w:sz w:val="32"/>
          <w:szCs w:val="32"/>
          <w14:textFill>
            <w14:solidFill>
              <w14:schemeClr w14:val="tx1"/>
            </w14:solidFill>
          </w14:textFill>
        </w:rPr>
        <w:t xml:space="preserve"> </w:t>
      </w:r>
      <w:r>
        <w:rPr>
          <w:rStyle w:val="24"/>
          <w:rFonts w:hint="eastAsia" w:ascii="黑体" w:hAnsi="黑体" w:eastAsia="黑体" w:cs="黑体"/>
          <w:b w:val="0"/>
          <w:bCs w:val="0"/>
          <w:color w:val="000000" w:themeColor="text1"/>
          <w:sz w:val="32"/>
          <w:szCs w:val="32"/>
          <w14:textFill>
            <w14:solidFill>
              <w14:schemeClr w14:val="tx1"/>
            </w14:solidFill>
          </w14:textFill>
        </w:rPr>
        <w:t>2018年度部门决算情况说明</w:t>
      </w:r>
      <w:bookmarkEnd w:id="20"/>
      <w:bookmarkEnd w:id="21"/>
    </w:p>
    <w:p>
      <w:pPr>
        <w:pStyle w:val="34"/>
        <w:numPr>
          <w:ilvl w:val="0"/>
          <w:numId w:val="6"/>
        </w:numPr>
        <w:spacing w:line="600" w:lineRule="exact"/>
        <w:ind w:firstLineChars="0"/>
        <w:outlineLvl w:val="1"/>
        <w:rPr>
          <w:rStyle w:val="36"/>
          <w:rFonts w:ascii="黑体" w:hAnsi="黑体" w:eastAsia="黑体"/>
          <w:b w:val="0"/>
        </w:rPr>
      </w:pPr>
      <w:bookmarkStart w:id="22" w:name="_Toc15377205"/>
      <w:bookmarkStart w:id="23" w:name="_Toc15396603"/>
      <w:r>
        <w:rPr>
          <w:rFonts w:hint="eastAsia" w:ascii="黑体" w:hAnsi="黑体" w:eastAsia="黑体"/>
          <w:color w:val="000000"/>
          <w:sz w:val="32"/>
          <w:szCs w:val="32"/>
        </w:rPr>
        <w:t>收</w:t>
      </w:r>
      <w:r>
        <w:rPr>
          <w:rStyle w:val="36"/>
          <w:rFonts w:hint="eastAsia" w:ascii="黑体" w:hAnsi="黑体" w:eastAsia="黑体"/>
          <w:b w:val="0"/>
        </w:rPr>
        <w:t>入支出决算总体情况说明</w:t>
      </w:r>
      <w:bookmarkEnd w:id="22"/>
      <w:bookmarkEnd w:id="2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2018年度收、支总计249.88万元。与2017年相比，收、支总计各增加82.70万元，增长49.5%。主要变动原因是人员增加，工作量增加。</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9504" behindDoc="0" locked="0" layoutInCell="1" allowOverlap="1">
            <wp:simplePos x="0" y="0"/>
            <wp:positionH relativeFrom="column">
              <wp:posOffset>1592580</wp:posOffset>
            </wp:positionH>
            <wp:positionV relativeFrom="paragraph">
              <wp:posOffset>129540</wp:posOffset>
            </wp:positionV>
            <wp:extent cx="2409190" cy="1563370"/>
            <wp:effectExtent l="0" t="0" r="13970" b="6350"/>
            <wp:wrapNone/>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6"/>
                    <a:stretch>
                      <a:fillRect/>
                    </a:stretch>
                  </pic:blipFill>
                  <pic:spPr>
                    <a:xfrm>
                      <a:off x="0" y="0"/>
                      <a:ext cx="2409190" cy="1563370"/>
                    </a:xfrm>
                    <a:prstGeom prst="rect">
                      <a:avLst/>
                    </a:prstGeom>
                    <a:noFill/>
                    <a:ln w="9525">
                      <a:noFill/>
                    </a:ln>
                  </pic:spPr>
                </pic:pic>
              </a:graphicData>
            </a:graphic>
          </wp:anchor>
        </w:drawing>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widowControl/>
        <w:jc w:val="left"/>
      </w:pPr>
      <w:r>
        <w:rPr>
          <w:rFonts w:hint="eastAsia" w:ascii="宋体" w:hAnsi="宋体" w:cs="宋体"/>
          <w:kern w:val="0"/>
          <w:sz w:val="24"/>
          <w:lang w:bidi="ar"/>
        </w:rPr>
        <w:t xml:space="preserve">                  </w:t>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（图1：收、支决算总计变动情况图）</w:t>
      </w:r>
      <w:bookmarkStart w:id="24" w:name="_Toc15377206"/>
      <w:bookmarkStart w:id="25" w:name="_Toc15396604"/>
    </w:p>
    <w:bookmarkEnd w:id="24"/>
    <w:bookmarkEnd w:id="25"/>
    <w:p>
      <w:pPr>
        <w:pStyle w:val="34"/>
        <w:numPr>
          <w:ilvl w:val="0"/>
          <w:numId w:val="6"/>
        </w:numPr>
        <w:spacing w:line="600" w:lineRule="exact"/>
        <w:ind w:firstLineChars="0"/>
        <w:outlineLvl w:val="1"/>
        <w:rPr>
          <w:rStyle w:val="36"/>
          <w:rFonts w:ascii="黑体" w:hAnsi="黑体" w:eastAsia="黑体"/>
          <w:b w:val="0"/>
        </w:rPr>
      </w:pPr>
      <w:r>
        <w:rPr>
          <w:rFonts w:hint="eastAsia" w:ascii="黑体" w:hAnsi="黑体" w:eastAsia="黑体"/>
          <w:color w:val="000000"/>
          <w:sz w:val="32"/>
          <w:szCs w:val="32"/>
        </w:rPr>
        <w:t>收</w:t>
      </w:r>
      <w:r>
        <w:rPr>
          <w:rStyle w:val="36"/>
          <w:rFonts w:hint="eastAsia" w:ascii="黑体" w:hAnsi="黑体" w:eastAsia="黑体"/>
          <w:b w:val="0"/>
        </w:rPr>
        <w:t>入决算情况说明</w:t>
      </w: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2018年本年收入合计249.88万元，其中：一般公共预算财政拨款收入238.98万元，政府性基金预算财政拨款10.90万元，占100%； </w:t>
      </w: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drawing>
          <wp:anchor distT="0" distB="0" distL="114300" distR="114300" simplePos="0" relativeHeight="251654144" behindDoc="0" locked="0" layoutInCell="1" allowOverlap="1">
            <wp:simplePos x="0" y="0"/>
            <wp:positionH relativeFrom="column">
              <wp:posOffset>815975</wp:posOffset>
            </wp:positionH>
            <wp:positionV relativeFrom="paragraph">
              <wp:posOffset>224790</wp:posOffset>
            </wp:positionV>
            <wp:extent cx="2029460" cy="1480820"/>
            <wp:effectExtent l="0" t="0" r="8890" b="508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29691" cy="1480966"/>
                    </a:xfrm>
                    <a:prstGeom prst="rect">
                      <a:avLst/>
                    </a:prstGeom>
                  </pic:spPr>
                </pic:pic>
              </a:graphicData>
            </a:graphic>
          </wp:anchor>
        </w:drawing>
      </w: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outlineLvl w:val="1"/>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（图2：收入决算结构图）</w:t>
      </w:r>
    </w:p>
    <w:p>
      <w:pPr>
        <w:pStyle w:val="23"/>
        <w:spacing w:line="600" w:lineRule="exact"/>
        <w:ind w:firstLineChars="0"/>
        <w:outlineLvl w:val="1"/>
        <w:rPr>
          <w:rStyle w:val="25"/>
          <w:rFonts w:hint="eastAsia" w:ascii="黑体" w:hAnsi="黑体" w:eastAsia="黑体" w:cs="黑体"/>
          <w:b w:val="0"/>
          <w:color w:val="000000" w:themeColor="text1"/>
          <w14:textFill>
            <w14:solidFill>
              <w14:schemeClr w14:val="tx1"/>
            </w14:solidFill>
          </w14:textFill>
        </w:rPr>
      </w:pPr>
      <w:bookmarkStart w:id="26" w:name="_Toc15377207"/>
      <w:bookmarkStart w:id="27" w:name="_Toc15396605"/>
      <w:r>
        <w:rPr>
          <w:rFonts w:hint="eastAsia" w:ascii="黑体" w:hAnsi="黑体" w:eastAsia="黑体" w:cs="黑体"/>
          <w:color w:val="000000" w:themeColor="text1"/>
          <w:sz w:val="32"/>
          <w:szCs w:val="32"/>
          <w14:textFill>
            <w14:solidFill>
              <w14:schemeClr w14:val="tx1"/>
            </w14:solidFill>
          </w14:textFill>
        </w:rPr>
        <w:t>三、支</w:t>
      </w:r>
      <w:r>
        <w:rPr>
          <w:rStyle w:val="25"/>
          <w:rFonts w:hint="eastAsia" w:ascii="黑体" w:hAnsi="黑体" w:eastAsia="黑体" w:cs="黑体"/>
          <w:b w:val="0"/>
          <w:color w:val="000000" w:themeColor="text1"/>
          <w14:textFill>
            <w14:solidFill>
              <w14:schemeClr w14:val="tx1"/>
            </w14:solidFill>
          </w14:textFill>
        </w:rPr>
        <w:t>出决算情况说明</w:t>
      </w:r>
      <w:bookmarkEnd w:id="26"/>
      <w:bookmarkEnd w:id="27"/>
    </w:p>
    <w:p>
      <w:pPr>
        <w:spacing w:line="600" w:lineRule="exact"/>
        <w:ind w:firstLine="640"/>
        <w:rPr>
          <w:rFonts w:ascii="仿宋" w:hAnsi="仿宋" w:eastAsia="仿宋" w:cs="仿宋"/>
          <w:color w:val="000000" w:themeColor="text1"/>
          <w:sz w:val="32"/>
          <w:szCs w:val="32"/>
          <w:shd w:val="pct10"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2018年本年支出合计249.88万元，其中：基本支出238.98万元，占95.6%；项目支出10.90万元，占4.4%。</w:t>
      </w:r>
      <w:r>
        <w:rPr>
          <w:rFonts w:hint="eastAsia" w:ascii="仿宋" w:hAnsi="仿宋" w:eastAsia="仿宋" w:cs="仿宋"/>
          <w:color w:val="000000" w:themeColor="text1"/>
          <w:sz w:val="32"/>
          <w:szCs w:val="32"/>
          <w:shd w:val="pct10" w:color="auto" w:fill="FFFFFF"/>
          <w14:textFill>
            <w14:solidFill>
              <w14:schemeClr w14:val="tx1"/>
            </w14:solidFill>
          </w14:textFill>
        </w:rPr>
        <w:t xml:space="preserve"> </w:t>
      </w:r>
    </w:p>
    <w:p>
      <w:pPr>
        <w:spacing w:line="600" w:lineRule="exact"/>
        <w:ind w:firstLine="480" w:firstLineChars="200"/>
        <w:rPr>
          <w:rFonts w:ascii="仿宋" w:hAnsi="仿宋" w:eastAsia="仿宋" w:cs="仿宋"/>
          <w:color w:val="000000" w:themeColor="text1"/>
          <w:sz w:val="32"/>
          <w:szCs w:val="32"/>
          <w14:textFill>
            <w14:solidFill>
              <w14:schemeClr w14:val="tx1"/>
            </w14:solidFill>
          </w14:textFill>
        </w:rPr>
      </w:pPr>
      <w:r>
        <w:rPr>
          <w:rFonts w:ascii="宋体" w:hAnsi="宋体" w:cs="宋体"/>
          <w:kern w:val="0"/>
          <w:sz w:val="24"/>
        </w:rPr>
        <w:drawing>
          <wp:anchor distT="0" distB="0" distL="114300" distR="114300" simplePos="0" relativeHeight="251668480" behindDoc="0" locked="0" layoutInCell="1" allowOverlap="1">
            <wp:simplePos x="0" y="0"/>
            <wp:positionH relativeFrom="column">
              <wp:posOffset>1310640</wp:posOffset>
            </wp:positionH>
            <wp:positionV relativeFrom="paragraph">
              <wp:posOffset>327660</wp:posOffset>
            </wp:positionV>
            <wp:extent cx="2482850" cy="1784985"/>
            <wp:effectExtent l="0" t="0" r="1270" b="1333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2482850" cy="1784985"/>
                    </a:xfrm>
                    <a:prstGeom prst="rect">
                      <a:avLst/>
                    </a:prstGeom>
                    <a:noFill/>
                    <a:ln w="9525">
                      <a:noFill/>
                    </a:ln>
                  </pic:spPr>
                </pic:pic>
              </a:graphicData>
            </a:graphic>
          </wp:anchor>
        </w:drawing>
      </w:r>
    </w:p>
    <w:p>
      <w:pPr>
        <w:widowControl/>
        <w:jc w:val="left"/>
      </w:pPr>
    </w:p>
    <w:p>
      <w:pPr>
        <w:widowControl/>
        <w:jc w:val="left"/>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widowControl/>
        <w:jc w:val="left"/>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outlineLvl w:val="1"/>
        <w:rPr>
          <w:rStyle w:val="25"/>
          <w:rFonts w:hint="eastAsia" w:ascii="黑体" w:hAnsi="黑体" w:eastAsia="黑体" w:cs="黑体"/>
          <w:b w:val="0"/>
          <w:color w:val="000000" w:themeColor="text1"/>
          <w14:textFill>
            <w14:solidFill>
              <w14:schemeClr w14:val="tx1"/>
            </w14:solidFill>
          </w14:textFill>
        </w:rPr>
      </w:pPr>
      <w:bookmarkStart w:id="28" w:name="_Toc15377208"/>
      <w:bookmarkStart w:id="29" w:name="_Toc15396606"/>
      <w:r>
        <w:rPr>
          <w:rFonts w:hint="eastAsia" w:ascii="黑体" w:hAnsi="黑体" w:eastAsia="黑体" w:cs="黑体"/>
          <w:color w:val="000000" w:themeColor="text1"/>
          <w:sz w:val="32"/>
          <w:szCs w:val="32"/>
          <w14:textFill>
            <w14:solidFill>
              <w14:schemeClr w14:val="tx1"/>
            </w14:solidFill>
          </w14:textFill>
        </w:rPr>
        <w:t>四、财</w:t>
      </w:r>
      <w:r>
        <w:rPr>
          <w:rStyle w:val="25"/>
          <w:rFonts w:hint="eastAsia" w:ascii="黑体" w:hAnsi="黑体" w:eastAsia="黑体" w:cs="黑体"/>
          <w:b w:val="0"/>
          <w:color w:val="000000" w:themeColor="text1"/>
          <w14:textFill>
            <w14:solidFill>
              <w14:schemeClr w14:val="tx1"/>
            </w14:solidFill>
          </w14:textFill>
        </w:rPr>
        <w:t>政拨款收入支出决算总体情况说明</w:t>
      </w:r>
      <w:bookmarkEnd w:id="28"/>
      <w:bookmarkEnd w:id="29"/>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2018年财政拨款收、支总计249.88万元。与2017年相比，财政拨款收、支总计各增加82.70万元，增长49.5%。主要变动原因是人员增加，工作量增加。</w:t>
      </w:r>
    </w:p>
    <w:p>
      <w:pPr>
        <w:spacing w:line="600" w:lineRule="exact"/>
        <w:ind w:firstLine="480" w:firstLineChars="200"/>
        <w:rPr>
          <w:rFonts w:ascii="仿宋" w:hAnsi="仿宋" w:eastAsia="仿宋" w:cs="仿宋"/>
          <w:color w:val="000000" w:themeColor="text1"/>
          <w:sz w:val="32"/>
          <w:szCs w:val="32"/>
          <w14:textFill>
            <w14:solidFill>
              <w14:schemeClr w14:val="tx1"/>
            </w14:solidFill>
          </w14:textFill>
        </w:rPr>
      </w:pPr>
      <w:r>
        <w:rPr>
          <w:rFonts w:ascii="宋体" w:hAnsi="宋体" w:eastAsia="宋体" w:cs="宋体"/>
          <w:kern w:val="0"/>
          <w:sz w:val="24"/>
          <w:szCs w:val="24"/>
          <w:lang w:val="en-US" w:eastAsia="zh-CN" w:bidi="ar"/>
        </w:rPr>
        <w:drawing>
          <wp:anchor distT="0" distB="0" distL="114300" distR="114300" simplePos="0" relativeHeight="251718656" behindDoc="0" locked="0" layoutInCell="1" allowOverlap="1">
            <wp:simplePos x="0" y="0"/>
            <wp:positionH relativeFrom="column">
              <wp:posOffset>914400</wp:posOffset>
            </wp:positionH>
            <wp:positionV relativeFrom="paragraph">
              <wp:posOffset>209550</wp:posOffset>
            </wp:positionV>
            <wp:extent cx="2409190" cy="1563370"/>
            <wp:effectExtent l="0" t="0" r="13970" b="6350"/>
            <wp:wrapNone/>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6"/>
                    <a:stretch>
                      <a:fillRect/>
                    </a:stretch>
                  </pic:blipFill>
                  <pic:spPr>
                    <a:xfrm>
                      <a:off x="0" y="0"/>
                      <a:ext cx="2409190" cy="1563370"/>
                    </a:xfrm>
                    <a:prstGeom prst="rect">
                      <a:avLst/>
                    </a:prstGeom>
                    <a:noFill/>
                    <a:ln w="9525">
                      <a:noFill/>
                    </a:ln>
                  </pic:spPr>
                </pic:pic>
              </a:graphicData>
            </a:graphic>
          </wp:anchor>
        </w:drawing>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（图4：财政拨款收、支决算总计变动情况）</w:t>
      </w:r>
    </w:p>
    <w:p>
      <w:pPr>
        <w:spacing w:line="480" w:lineRule="exact"/>
        <w:ind w:firstLine="640"/>
        <w:rPr>
          <w:rFonts w:ascii="仿宋" w:hAnsi="仿宋" w:eastAsia="仿宋" w:cs="仿宋"/>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25"/>
          <w:rFonts w:hint="eastAsia" w:ascii="黑体" w:hAnsi="黑体" w:eastAsia="黑体" w:cs="黑体"/>
          <w:b w:val="0"/>
          <w:color w:val="000000" w:themeColor="text1"/>
          <w14:textFill>
            <w14:solidFill>
              <w14:schemeClr w14:val="tx1"/>
            </w14:solidFill>
          </w14:textFill>
        </w:rPr>
      </w:pPr>
      <w:bookmarkStart w:id="30" w:name="_Toc15377209"/>
      <w:bookmarkStart w:id="31" w:name="_Toc15396607"/>
      <w:r>
        <w:rPr>
          <w:rFonts w:hint="eastAsia" w:ascii="黑体" w:hAnsi="黑体" w:eastAsia="黑体" w:cs="黑体"/>
          <w:color w:val="000000" w:themeColor="text1"/>
          <w:sz w:val="32"/>
          <w:szCs w:val="32"/>
          <w14:textFill>
            <w14:solidFill>
              <w14:schemeClr w14:val="tx1"/>
            </w14:solidFill>
          </w14:textFill>
        </w:rPr>
        <w:t>五、</w:t>
      </w:r>
      <w:r>
        <w:rPr>
          <w:rFonts w:hint="eastAsia" w:ascii="黑体" w:hAnsi="黑体" w:eastAsia="黑体" w:cs="黑体"/>
          <w:b/>
          <w:color w:val="000000" w:themeColor="text1"/>
          <w:sz w:val="32"/>
          <w:szCs w:val="32"/>
          <w14:textFill>
            <w14:solidFill>
              <w14:schemeClr w14:val="tx1"/>
            </w14:solidFill>
          </w14:textFill>
        </w:rPr>
        <w:t>一</w:t>
      </w:r>
      <w:r>
        <w:rPr>
          <w:rStyle w:val="25"/>
          <w:rFonts w:hint="eastAsia" w:ascii="黑体" w:hAnsi="黑体" w:eastAsia="黑体" w:cs="黑体"/>
          <w:b w:val="0"/>
          <w:color w:val="000000" w:themeColor="text1"/>
          <w14:textFill>
            <w14:solidFill>
              <w14:schemeClr w14:val="tx1"/>
            </w14:solidFill>
          </w14:textFill>
        </w:rPr>
        <w:t>般公共预算财政拨款支出决算情况说明</w:t>
      </w:r>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s="仿宋"/>
          <w:b/>
          <w:color w:val="000000" w:themeColor="text1"/>
          <w:sz w:val="32"/>
          <w:szCs w:val="32"/>
          <w14:textFill>
            <w14:solidFill>
              <w14:schemeClr w14:val="tx1"/>
            </w14:solidFill>
          </w14:textFill>
        </w:rPr>
      </w:pPr>
      <w:bookmarkStart w:id="32" w:name="_Toc15377210"/>
      <w:r>
        <w:rPr>
          <w:rFonts w:hint="eastAsia" w:ascii="仿宋" w:hAnsi="仿宋" w:eastAsia="仿宋" w:cs="仿宋"/>
          <w:b/>
          <w:color w:val="000000" w:themeColor="text1"/>
          <w:sz w:val="32"/>
          <w:szCs w:val="32"/>
          <w14:textFill>
            <w14:solidFill>
              <w14:schemeClr w14:val="tx1"/>
            </w14:solidFill>
          </w14:textFill>
        </w:rPr>
        <w:t>（一）一般公共预算财政拨款支出决算总体情况</w:t>
      </w:r>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2018年一般公共预算财政拨款支出2</w:t>
      </w:r>
      <w:r>
        <w:rPr>
          <w:rFonts w:hint="eastAsia" w:ascii="仿宋" w:hAnsi="仿宋" w:eastAsia="仿宋" w:cs="仿宋"/>
          <w:color w:val="000000" w:themeColor="text1"/>
          <w:sz w:val="32"/>
          <w:szCs w:val="32"/>
          <w:lang w:val="en-US" w:eastAsia="zh-CN"/>
          <w14:textFill>
            <w14:solidFill>
              <w14:schemeClr w14:val="tx1"/>
            </w14:solidFill>
          </w14:textFill>
        </w:rPr>
        <w:t>38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8万元，占本年支出合计的100%。与2017年相比，一般公共预算财政拨款增加82.70万元，增长49.5%。主要变动原因是人员增加，工作量增加。</w:t>
      </w:r>
    </w:p>
    <w:p>
      <w:pPr>
        <w:spacing w:line="600" w:lineRule="exact"/>
        <w:ind w:firstLine="480" w:firstLineChars="200"/>
        <w:rPr>
          <w:rFonts w:ascii="仿宋" w:hAnsi="仿宋" w:eastAsia="仿宋" w:cs="仿宋"/>
          <w:color w:val="000000" w:themeColor="text1"/>
          <w:sz w:val="32"/>
          <w:szCs w:val="32"/>
          <w14:textFill>
            <w14:solidFill>
              <w14:schemeClr w14:val="tx1"/>
            </w14:solidFill>
          </w14:textFill>
        </w:rPr>
      </w:pPr>
      <w:r>
        <w:rPr>
          <w:rFonts w:ascii="宋体" w:hAnsi="宋体" w:eastAsia="宋体" w:cs="宋体"/>
          <w:kern w:val="0"/>
          <w:sz w:val="24"/>
          <w:szCs w:val="24"/>
          <w:lang w:val="en-US" w:eastAsia="zh-CN" w:bidi="ar"/>
        </w:rPr>
        <w:drawing>
          <wp:anchor distT="0" distB="0" distL="114300" distR="114300" simplePos="0" relativeHeight="251780096" behindDoc="0" locked="0" layoutInCell="1" allowOverlap="1">
            <wp:simplePos x="0" y="0"/>
            <wp:positionH relativeFrom="column">
              <wp:posOffset>1531620</wp:posOffset>
            </wp:positionH>
            <wp:positionV relativeFrom="paragraph">
              <wp:posOffset>140970</wp:posOffset>
            </wp:positionV>
            <wp:extent cx="2409190" cy="1563370"/>
            <wp:effectExtent l="0" t="0" r="13970" b="6350"/>
            <wp:wrapNone/>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6"/>
                    <a:stretch>
                      <a:fillRect/>
                    </a:stretch>
                  </pic:blipFill>
                  <pic:spPr>
                    <a:xfrm>
                      <a:off x="0" y="0"/>
                      <a:ext cx="2409190" cy="1563370"/>
                    </a:xfrm>
                    <a:prstGeom prst="rect">
                      <a:avLst/>
                    </a:prstGeom>
                    <a:noFill/>
                    <a:ln w="9525">
                      <a:noFill/>
                    </a:ln>
                  </pic:spPr>
                </pic:pic>
              </a:graphicData>
            </a:graphic>
          </wp:anchor>
        </w:drawing>
      </w: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widowControl/>
        <w:jc w:val="left"/>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s="仿宋"/>
          <w:b/>
          <w:color w:val="000000" w:themeColor="text1"/>
          <w:sz w:val="32"/>
          <w:szCs w:val="32"/>
          <w14:textFill>
            <w14:solidFill>
              <w14:schemeClr w14:val="tx1"/>
            </w14:solidFill>
          </w14:textFill>
        </w:rPr>
      </w:pPr>
      <w:bookmarkStart w:id="33" w:name="_Toc15377211"/>
      <w:r>
        <w:rPr>
          <w:rFonts w:hint="eastAsia" w:ascii="仿宋" w:hAnsi="仿宋" w:eastAsia="仿宋" w:cs="仿宋"/>
          <w:b/>
          <w:color w:val="000000" w:themeColor="text1"/>
          <w:sz w:val="32"/>
          <w:szCs w:val="32"/>
          <w14:textFill>
            <w14:solidFill>
              <w14:schemeClr w14:val="tx1"/>
            </w14:solidFill>
          </w14:textFill>
        </w:rPr>
        <w:t>（二）一般公共预算财政拨款支出决算结构情况</w:t>
      </w:r>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2018年一般公共预算财政拨款支出2</w:t>
      </w:r>
      <w:r>
        <w:rPr>
          <w:rFonts w:ascii="仿宋" w:hAnsi="仿宋" w:eastAsia="仿宋" w:cs="仿宋"/>
          <w:color w:val="000000" w:themeColor="text1"/>
          <w:sz w:val="32"/>
          <w:szCs w:val="32"/>
          <w14:textFill>
            <w14:solidFill>
              <w14:schemeClr w14:val="tx1"/>
            </w14:solidFill>
          </w14:textFill>
        </w:rPr>
        <w:t>38.98</w:t>
      </w:r>
      <w:r>
        <w:rPr>
          <w:rFonts w:hint="eastAsia" w:ascii="仿宋" w:hAnsi="仿宋" w:eastAsia="仿宋" w:cs="仿宋"/>
          <w:color w:val="000000" w:themeColor="text1"/>
          <w:sz w:val="32"/>
          <w:szCs w:val="32"/>
          <w14:textFill>
            <w14:solidFill>
              <w14:schemeClr w14:val="tx1"/>
            </w14:solidFill>
          </w14:textFill>
        </w:rPr>
        <w:t>万元，主要用于以下方面:</w:t>
      </w:r>
      <w:r>
        <w:rPr>
          <w:rFonts w:hint="eastAsia"/>
        </w:rPr>
        <w:t xml:space="preserve"> </w:t>
      </w:r>
      <w:r>
        <w:rPr>
          <w:rFonts w:hint="eastAsia" w:ascii="仿宋" w:hAnsi="仿宋" w:eastAsia="仿宋" w:cs="仿宋"/>
          <w:b/>
          <w:color w:val="000000" w:themeColor="text1"/>
          <w:sz w:val="32"/>
          <w:szCs w:val="32"/>
          <w14:textFill>
            <w14:solidFill>
              <w14:schemeClr w14:val="tx1"/>
            </w14:solidFill>
          </w14:textFill>
        </w:rPr>
        <w:t>资源勘探信息等支出</w:t>
      </w:r>
      <w:r>
        <w:rPr>
          <w:rFonts w:ascii="仿宋" w:hAnsi="仿宋" w:eastAsia="仿宋" w:cs="仿宋"/>
          <w:color w:val="000000" w:themeColor="text1"/>
          <w:sz w:val="32"/>
          <w:szCs w:val="32"/>
          <w14:textFill>
            <w14:solidFill>
              <w14:schemeClr w14:val="tx1"/>
            </w14:solidFill>
          </w14:textFill>
        </w:rPr>
        <w:t>200.13</w:t>
      </w:r>
      <w:r>
        <w:rPr>
          <w:rFonts w:hint="eastAsia" w:ascii="仿宋" w:hAnsi="仿宋" w:eastAsia="仿宋" w:cs="仿宋"/>
          <w:color w:val="000000" w:themeColor="text1"/>
          <w:sz w:val="32"/>
          <w:szCs w:val="32"/>
          <w14:textFill>
            <w14:solidFill>
              <w14:schemeClr w14:val="tx1"/>
            </w14:solidFill>
          </w14:textFill>
        </w:rPr>
        <w:t>万元，占84.4%；</w:t>
      </w:r>
      <w:r>
        <w:rPr>
          <w:rFonts w:hint="eastAsia" w:ascii="仿宋" w:hAnsi="仿宋" w:eastAsia="仿宋" w:cs="仿宋"/>
          <w:b/>
          <w:color w:val="000000" w:themeColor="text1"/>
          <w:sz w:val="32"/>
          <w:szCs w:val="32"/>
          <w14:textFill>
            <w14:solidFill>
              <w14:schemeClr w14:val="tx1"/>
            </w14:solidFill>
          </w14:textFill>
        </w:rPr>
        <w:t>社会保障和就业（类）</w:t>
      </w:r>
      <w:r>
        <w:rPr>
          <w:rFonts w:hint="eastAsia" w:ascii="仿宋" w:hAnsi="仿宋" w:eastAsia="仿宋" w:cs="仿宋"/>
          <w:color w:val="000000" w:themeColor="text1"/>
          <w:sz w:val="32"/>
          <w:szCs w:val="32"/>
          <w14:textFill>
            <w14:solidFill>
              <w14:schemeClr w14:val="tx1"/>
            </w14:solidFill>
          </w14:textFill>
        </w:rPr>
        <w:t>支出17.23万元，占7%；医疗卫生支出4.24万元，占1.6%；住房保障支出17.3</w:t>
      </w:r>
      <w:r>
        <w:rPr>
          <w:rFonts w:ascii="仿宋" w:hAnsi="仿宋" w:eastAsia="仿宋" w:cs="仿宋"/>
          <w:color w:val="000000" w:themeColor="text1"/>
          <w:sz w:val="32"/>
          <w:szCs w:val="32"/>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万元，占7%。</w:t>
      </w:r>
      <w:r>
        <w:rPr>
          <w:rFonts w:hint="eastAsia" w:ascii="仿宋" w:hAnsi="仿宋" w:eastAsia="仿宋" w:cs="仿宋"/>
          <w:b/>
          <w:color w:val="000000" w:themeColor="text1"/>
          <w:sz w:val="32"/>
          <w:szCs w:val="32"/>
          <w14:textFill>
            <w14:solidFill>
              <w14:schemeClr w14:val="tx1"/>
            </w14:solidFill>
          </w14:textFill>
        </w:rPr>
        <w:t>（罗列全部功能分类科目，至类级。）</w:t>
      </w:r>
    </w:p>
    <w:p>
      <w:pPr>
        <w:spacing w:line="600" w:lineRule="exact"/>
        <w:ind w:firstLine="640"/>
        <w:rPr>
          <w:rFonts w:ascii="仿宋" w:hAnsi="仿宋" w:eastAsia="仿宋" w:cs="仿宋"/>
          <w:b/>
          <w:color w:val="000000" w:themeColor="text1"/>
          <w:sz w:val="32"/>
          <w:szCs w:val="32"/>
          <w14:textFill>
            <w14:solidFill>
              <w14:schemeClr w14:val="tx1"/>
            </w14:solidFill>
          </w14:textFill>
        </w:rPr>
      </w:pPr>
      <w:r>
        <w:drawing>
          <wp:anchor distT="0" distB="0" distL="114300" distR="114300" simplePos="0" relativeHeight="251660288" behindDoc="0" locked="0" layoutInCell="1" allowOverlap="1">
            <wp:simplePos x="0" y="0"/>
            <wp:positionH relativeFrom="column">
              <wp:posOffset>614045</wp:posOffset>
            </wp:positionH>
            <wp:positionV relativeFrom="paragraph">
              <wp:posOffset>262255</wp:posOffset>
            </wp:positionV>
            <wp:extent cx="3147695" cy="1901190"/>
            <wp:effectExtent l="0" t="0" r="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62333" cy="1909895"/>
                    </a:xfrm>
                    <a:prstGeom prst="rect">
                      <a:avLst/>
                    </a:prstGeom>
                  </pic:spPr>
                </pic:pic>
              </a:graphicData>
            </a:graphic>
          </wp:anchor>
        </w:drawing>
      </w:r>
    </w:p>
    <w:p>
      <w:pPr>
        <w:spacing w:line="600" w:lineRule="exact"/>
        <w:ind w:firstLine="640"/>
        <w:rPr>
          <w:rFonts w:ascii="仿宋" w:hAnsi="仿宋" w:eastAsia="仿宋" w:cs="仿宋"/>
          <w:b/>
          <w:color w:val="000000" w:themeColor="text1"/>
          <w:sz w:val="32"/>
          <w:szCs w:val="32"/>
          <w14:textFill>
            <w14:solidFill>
              <w14:schemeClr w14:val="tx1"/>
            </w14:solidFill>
          </w14:textFill>
        </w:rPr>
      </w:pPr>
    </w:p>
    <w:p>
      <w:pPr>
        <w:spacing w:line="600" w:lineRule="exact"/>
        <w:ind w:firstLine="640"/>
        <w:rPr>
          <w:rFonts w:ascii="仿宋" w:hAnsi="仿宋" w:eastAsia="仿宋" w:cs="仿宋"/>
          <w:b/>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（图6：一般公共预算财政拨款支出决算结构）（饼状图）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s="仿宋"/>
          <w:b/>
          <w:color w:val="000000" w:themeColor="text1"/>
          <w:sz w:val="32"/>
          <w:szCs w:val="32"/>
          <w14:textFill>
            <w14:solidFill>
              <w14:schemeClr w14:val="tx1"/>
            </w14:solidFill>
          </w14:textFill>
        </w:rPr>
      </w:pPr>
      <w:bookmarkStart w:id="34" w:name="_Toc15377212"/>
      <w:r>
        <w:rPr>
          <w:rFonts w:hint="eastAsia" w:ascii="仿宋" w:hAnsi="仿宋" w:eastAsia="仿宋" w:cs="仿宋"/>
          <w:b/>
          <w:color w:val="000000" w:themeColor="text1"/>
          <w:sz w:val="32"/>
          <w:szCs w:val="32"/>
          <w14:textFill>
            <w14:solidFill>
              <w14:schemeClr w14:val="tx1"/>
            </w14:solidFill>
          </w14:textFill>
        </w:rPr>
        <w:t>（三）一般公共预算财政拨款支出决算具体情况</w:t>
      </w:r>
      <w:bookmarkEnd w:id="34"/>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ascii="仿宋" w:hAnsi="仿宋" w:eastAsia="仿宋" w:cs="仿宋"/>
          <w:b/>
          <w:bCs w:val="0"/>
          <w:color w:val="000000" w:themeColor="text1"/>
          <w:sz w:val="32"/>
          <w:szCs w:val="32"/>
          <w14:textFill>
            <w14:solidFill>
              <w14:schemeClr w14:val="tx1"/>
            </w14:solidFill>
          </w14:textFill>
        </w:rPr>
      </w:pPr>
      <w:bookmarkStart w:id="35" w:name="_Toc15377444"/>
      <w:bookmarkStart w:id="36" w:name="_Toc15377213"/>
      <w:bookmarkStart w:id="37" w:name="_Toc15378460"/>
      <w:r>
        <w:rPr>
          <w:rFonts w:hint="eastAsia" w:ascii="仿宋" w:hAnsi="仿宋" w:eastAsia="仿宋" w:cs="仿宋"/>
          <w:b/>
          <w:bCs w:val="0"/>
          <w:color w:val="000000" w:themeColor="text1"/>
          <w:sz w:val="32"/>
          <w:szCs w:val="32"/>
          <w14:textFill>
            <w14:solidFill>
              <w14:schemeClr w14:val="tx1"/>
            </w14:solidFill>
          </w14:textFill>
        </w:rPr>
        <w:t>2018年般公共预算支出决算数为2</w:t>
      </w:r>
      <w:r>
        <w:rPr>
          <w:rFonts w:hint="eastAsia" w:ascii="仿宋" w:hAnsi="仿宋" w:eastAsia="仿宋" w:cs="仿宋"/>
          <w:b/>
          <w:bCs w:val="0"/>
          <w:color w:val="000000" w:themeColor="text1"/>
          <w:sz w:val="32"/>
          <w:szCs w:val="32"/>
          <w:lang w:val="en-US" w:eastAsia="zh-CN"/>
          <w14:textFill>
            <w14:solidFill>
              <w14:schemeClr w14:val="tx1"/>
            </w14:solidFill>
          </w14:textFill>
        </w:rPr>
        <w:t>38.98</w:t>
      </w:r>
      <w:r>
        <w:rPr>
          <w:rFonts w:hint="eastAsia" w:ascii="仿宋" w:hAnsi="仿宋" w:eastAsia="仿宋" w:cs="仿宋"/>
          <w:b/>
          <w:bCs w:val="0"/>
          <w:color w:val="000000" w:themeColor="text1"/>
          <w:sz w:val="32"/>
          <w:szCs w:val="32"/>
          <w14:textFill>
            <w14:solidFill>
              <w14:schemeClr w14:val="tx1"/>
            </w14:solidFill>
          </w14:textFill>
        </w:rPr>
        <w:t>万元，</w:t>
      </w:r>
      <w:r>
        <w:rPr>
          <w:rStyle w:val="14"/>
          <w:rFonts w:hint="eastAsia" w:ascii="仿宋" w:hAnsi="仿宋" w:eastAsia="仿宋" w:cs="仿宋"/>
          <w:b/>
          <w:bCs w:val="0"/>
          <w:color w:val="000000" w:themeColor="text1"/>
          <w:sz w:val="32"/>
          <w:szCs w:val="32"/>
          <w14:textFill>
            <w14:solidFill>
              <w14:schemeClr w14:val="tx1"/>
            </w14:solidFill>
          </w14:textFill>
        </w:rPr>
        <w:t>完成预算100%。其中：</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Style w:val="14"/>
          <w:rFonts w:hint="eastAsia" w:ascii="仿宋" w:hAnsi="仿宋" w:eastAsia="仿宋" w:cs="仿宋"/>
          <w:b/>
          <w:bCs w:val="0"/>
          <w:color w:val="000000" w:themeColor="text1"/>
          <w:sz w:val="32"/>
          <w:szCs w:val="32"/>
          <w14:textFill>
            <w14:solidFill>
              <w14:schemeClr w14:val="tx1"/>
            </w14:solidFill>
          </w14:textFill>
        </w:rPr>
        <w:t>1.一般公共服务（类）资源勘探信息等支出（款）安全生产监管（项）</w:t>
      </w:r>
      <w:r>
        <w:rPr>
          <w:rStyle w:val="14"/>
          <w:rFonts w:hint="eastAsia" w:ascii="仿宋" w:hAnsi="仿宋" w:eastAsia="仿宋" w:cs="仿宋"/>
          <w:b w:val="0"/>
          <w:bCs/>
          <w:color w:val="000000" w:themeColor="text1"/>
          <w:sz w:val="32"/>
          <w:szCs w:val="32"/>
          <w14:textFill>
            <w14:solidFill>
              <w14:schemeClr w14:val="tx1"/>
            </w14:solidFill>
          </w14:textFill>
        </w:rPr>
        <w:t>: 支出决算为</w:t>
      </w:r>
      <w:r>
        <w:rPr>
          <w:rStyle w:val="14"/>
          <w:rFonts w:hint="eastAsia" w:ascii="仿宋" w:hAnsi="仿宋" w:eastAsia="仿宋" w:cs="仿宋"/>
          <w:b w:val="0"/>
          <w:bCs/>
          <w:color w:val="000000" w:themeColor="text1"/>
          <w:sz w:val="32"/>
          <w:szCs w:val="32"/>
          <w:lang w:val="en-US" w:eastAsia="zh-CN"/>
          <w14:textFill>
            <w14:solidFill>
              <w14:schemeClr w14:val="tx1"/>
            </w14:solidFill>
          </w14:textFill>
        </w:rPr>
        <w:t>200.13</w:t>
      </w:r>
      <w:r>
        <w:rPr>
          <w:rStyle w:val="14"/>
          <w:rFonts w:hint="eastAsia" w:ascii="仿宋" w:hAnsi="仿宋" w:eastAsia="仿宋" w:cs="仿宋"/>
          <w:b w:val="0"/>
          <w:bCs/>
          <w:color w:val="000000" w:themeColor="text1"/>
          <w:sz w:val="32"/>
          <w:szCs w:val="32"/>
          <w14:textFill>
            <w14:solidFill>
              <w14:schemeClr w14:val="tx1"/>
            </w14:solidFill>
          </w14:textFill>
        </w:rPr>
        <w:t>万元，完成预算156%，决算数大于预算数的主要原因是人员增加、安全监督执法工作难加大，投入的人力物力更多。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color w:val="000000" w:themeColor="text1"/>
          <w:sz w:val="32"/>
          <w:szCs w:val="32"/>
          <w14:textFill>
            <w14:solidFill>
              <w14:schemeClr w14:val="tx1"/>
            </w14:solidFill>
          </w14:textFill>
        </w:rPr>
      </w:pPr>
      <w:r>
        <w:rPr>
          <w:rStyle w:val="14"/>
          <w:rFonts w:hint="eastAsia" w:ascii="仿宋" w:hAnsi="仿宋" w:eastAsia="仿宋" w:cs="仿宋"/>
          <w:b/>
          <w:bCs w:val="0"/>
          <w:color w:val="000000" w:themeColor="text1"/>
          <w:sz w:val="32"/>
          <w:szCs w:val="32"/>
          <w14:textFill>
            <w14:solidFill>
              <w14:schemeClr w14:val="tx1"/>
            </w14:solidFill>
          </w14:textFill>
        </w:rPr>
        <w:t>2</w:t>
      </w:r>
      <w:r>
        <w:rPr>
          <w:rStyle w:val="14"/>
          <w:rFonts w:hint="eastAsia" w:ascii="仿宋" w:hAnsi="仿宋" w:eastAsia="仿宋" w:cs="仿宋"/>
          <w:b/>
          <w:bCs w:val="0"/>
          <w:color w:val="000000" w:themeColor="text1"/>
          <w:sz w:val="32"/>
          <w:szCs w:val="32"/>
          <w:lang w:eastAsia="zh-CN"/>
          <w14:textFill>
            <w14:solidFill>
              <w14:schemeClr w14:val="tx1"/>
            </w14:solidFill>
          </w14:textFill>
        </w:rPr>
        <w:t>.</w:t>
      </w:r>
      <w:r>
        <w:rPr>
          <w:rStyle w:val="14"/>
          <w:rFonts w:hint="eastAsia" w:ascii="仿宋" w:hAnsi="仿宋" w:eastAsia="仿宋" w:cs="仿宋"/>
          <w:b/>
          <w:bCs w:val="0"/>
          <w:color w:val="000000" w:themeColor="text1"/>
          <w:sz w:val="32"/>
          <w:szCs w:val="32"/>
          <w14:textFill>
            <w14:solidFill>
              <w14:schemeClr w14:val="tx1"/>
            </w14:solidFill>
          </w14:textFill>
        </w:rPr>
        <w:t>社会保障和就业（类）行政事业单位离退休（款）  机关事业单位基本养老保险缴费支出（项）:</w:t>
      </w:r>
      <w:r>
        <w:rPr>
          <w:rStyle w:val="14"/>
          <w:rFonts w:hint="eastAsia" w:ascii="仿宋" w:hAnsi="仿宋" w:eastAsia="仿宋" w:cs="仿宋"/>
          <w:b w:val="0"/>
          <w:bCs/>
          <w:color w:val="000000" w:themeColor="text1"/>
          <w:sz w:val="32"/>
          <w:szCs w:val="32"/>
          <w14:textFill>
            <w14:solidFill>
              <w14:schemeClr w14:val="tx1"/>
            </w14:solidFill>
          </w14:textFill>
        </w:rPr>
        <w:t xml:space="preserve"> 支出决算为17.23万元，完成预算80%，决算数小于预算数的主要原因是人员及工资变动的影响。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ascii="仿宋" w:hAnsi="仿宋" w:eastAsia="仿宋" w:cs="仿宋"/>
          <w:b w:val="0"/>
          <w:bCs/>
          <w:color w:val="000000" w:themeColor="text1"/>
          <w:sz w:val="32"/>
          <w:szCs w:val="32"/>
          <w14:textFill>
            <w14:solidFill>
              <w14:schemeClr w14:val="tx1"/>
            </w14:solidFill>
          </w14:textFill>
        </w:rPr>
      </w:pPr>
      <w:r>
        <w:rPr>
          <w:rStyle w:val="14"/>
          <w:rFonts w:hint="eastAsia" w:ascii="仿宋" w:hAnsi="仿宋" w:eastAsia="仿宋" w:cs="仿宋"/>
          <w:b/>
          <w:bCs w:val="0"/>
          <w:color w:val="000000" w:themeColor="text1"/>
          <w:sz w:val="32"/>
          <w:szCs w:val="32"/>
          <w14:textFill>
            <w14:solidFill>
              <w14:schemeClr w14:val="tx1"/>
            </w14:solidFill>
          </w14:textFill>
        </w:rPr>
        <w:t>3</w:t>
      </w:r>
      <w:r>
        <w:rPr>
          <w:rStyle w:val="14"/>
          <w:rFonts w:hint="eastAsia" w:ascii="仿宋" w:hAnsi="仿宋" w:eastAsia="仿宋" w:cs="仿宋"/>
          <w:b/>
          <w:bCs w:val="0"/>
          <w:color w:val="000000" w:themeColor="text1"/>
          <w:sz w:val="32"/>
          <w:szCs w:val="32"/>
          <w:lang w:eastAsia="zh-CN"/>
          <w14:textFill>
            <w14:solidFill>
              <w14:schemeClr w14:val="tx1"/>
            </w14:solidFill>
          </w14:textFill>
        </w:rPr>
        <w:t>.</w:t>
      </w:r>
      <w:r>
        <w:rPr>
          <w:rStyle w:val="14"/>
          <w:rFonts w:hint="eastAsia" w:ascii="仿宋" w:hAnsi="仿宋" w:eastAsia="仿宋" w:cs="仿宋"/>
          <w:b/>
          <w:bCs w:val="0"/>
          <w:color w:val="000000" w:themeColor="text1"/>
          <w:sz w:val="32"/>
          <w:szCs w:val="32"/>
          <w14:textFill>
            <w14:solidFill>
              <w14:schemeClr w14:val="tx1"/>
            </w14:solidFill>
          </w14:textFill>
        </w:rPr>
        <w:t>医疗卫生与计划生育（类）行政事业单位医疗（款）  行政单位医疗（项）:</w:t>
      </w:r>
      <w:r>
        <w:rPr>
          <w:rStyle w:val="14"/>
          <w:rFonts w:hint="eastAsia" w:ascii="仿宋" w:hAnsi="仿宋" w:eastAsia="仿宋" w:cs="仿宋"/>
          <w:b w:val="0"/>
          <w:bCs/>
          <w:color w:val="000000" w:themeColor="text1"/>
          <w:sz w:val="32"/>
          <w:szCs w:val="32"/>
          <w14:textFill>
            <w14:solidFill>
              <w14:schemeClr w14:val="tx1"/>
            </w14:solidFill>
          </w14:textFill>
        </w:rPr>
        <w:t>支出决算为4.24万元，完成预算105%，决算数大于预算数的主要原因是人员增减，工资标准变动。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color w:val="000000" w:themeColor="text1"/>
          <w:sz w:val="32"/>
          <w:szCs w:val="32"/>
          <w14:textFill>
            <w14:solidFill>
              <w14:schemeClr w14:val="tx1"/>
            </w14:solidFill>
          </w14:textFill>
        </w:rPr>
      </w:pPr>
      <w:r>
        <w:rPr>
          <w:rStyle w:val="14"/>
          <w:rFonts w:hint="eastAsia" w:ascii="仿宋" w:hAnsi="仿宋" w:eastAsia="仿宋" w:cs="仿宋"/>
          <w:b/>
          <w:bCs w:val="0"/>
          <w:color w:val="000000" w:themeColor="text1"/>
          <w:sz w:val="32"/>
          <w:szCs w:val="32"/>
          <w14:textFill>
            <w14:solidFill>
              <w14:schemeClr w14:val="tx1"/>
            </w14:solidFill>
          </w14:textFill>
        </w:rPr>
        <w:t>4. 住房保障支出（类）住房改革支出（款）  住房公积金</w:t>
      </w:r>
      <w:r>
        <w:rPr>
          <w:rStyle w:val="14"/>
          <w:rFonts w:hint="eastAsia" w:ascii="仿宋" w:hAnsi="仿宋" w:eastAsia="仿宋" w:cs="仿宋"/>
          <w:b w:val="0"/>
          <w:bCs/>
          <w:color w:val="000000" w:themeColor="text1"/>
          <w:sz w:val="32"/>
          <w:szCs w:val="32"/>
          <w14:textFill>
            <w14:solidFill>
              <w14:schemeClr w14:val="tx1"/>
            </w14:solidFill>
          </w14:textFill>
        </w:rPr>
        <w:t>：支出决算数17.3</w:t>
      </w:r>
      <w:r>
        <w:rPr>
          <w:rStyle w:val="14"/>
          <w:rFonts w:hint="eastAsia" w:ascii="仿宋" w:hAnsi="仿宋" w:eastAsia="仿宋" w:cs="仿宋"/>
          <w:b w:val="0"/>
          <w:bCs/>
          <w:color w:val="000000" w:themeColor="text1"/>
          <w:sz w:val="32"/>
          <w:szCs w:val="32"/>
          <w:lang w:val="en-US" w:eastAsia="zh-CN"/>
          <w14:textFill>
            <w14:solidFill>
              <w14:schemeClr w14:val="tx1"/>
            </w14:solidFill>
          </w14:textFill>
        </w:rPr>
        <w:t>8</w:t>
      </w:r>
      <w:r>
        <w:rPr>
          <w:rStyle w:val="14"/>
          <w:rFonts w:hint="eastAsia" w:ascii="仿宋" w:hAnsi="仿宋" w:eastAsia="仿宋" w:cs="仿宋"/>
          <w:b w:val="0"/>
          <w:bCs/>
          <w:color w:val="000000" w:themeColor="text1"/>
          <w:sz w:val="32"/>
          <w:szCs w:val="32"/>
          <w14:textFill>
            <w14:solidFill>
              <w14:schemeClr w14:val="tx1"/>
            </w14:solidFill>
          </w14:textFill>
        </w:rPr>
        <w:t>万元，完成预算的150%，决算数大于预算数的主要原因是人员增减，工资标准变动。</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textAlignment w:val="auto"/>
        <w:outlineLvl w:val="1"/>
        <w:rPr>
          <w:rStyle w:val="25"/>
          <w:rFonts w:ascii="仿宋" w:hAnsi="仿宋" w:eastAsia="仿宋" w:cs="仿宋"/>
          <w:color w:val="000000" w:themeColor="text1"/>
          <w14:textFill>
            <w14:solidFill>
              <w14:schemeClr w14:val="tx1"/>
            </w14:solidFill>
          </w14:textFill>
        </w:rPr>
      </w:pPr>
      <w:bookmarkStart w:id="38" w:name="_Toc15396608"/>
      <w:bookmarkStart w:id="39" w:name="_Toc15377214"/>
      <w:r>
        <w:rPr>
          <w:rFonts w:hint="eastAsia" w:ascii="黑体" w:hAnsi="黑体" w:eastAsia="黑体" w:cs="黑体"/>
          <w:color w:val="000000" w:themeColor="text1"/>
          <w:sz w:val="32"/>
          <w:szCs w:val="32"/>
          <w14:textFill>
            <w14:solidFill>
              <w14:schemeClr w14:val="tx1"/>
            </w14:solidFill>
          </w14:textFill>
        </w:rPr>
        <w:t>六</w:t>
      </w:r>
      <w:r>
        <w:rPr>
          <w:rFonts w:hint="eastAsia" w:ascii="黑体" w:hAnsi="黑体" w:eastAsia="黑体" w:cs="黑体"/>
          <w:b/>
          <w:color w:val="000000" w:themeColor="text1"/>
          <w:sz w:val="32"/>
          <w:szCs w:val="32"/>
          <w14:textFill>
            <w14:solidFill>
              <w14:schemeClr w14:val="tx1"/>
            </w14:solidFill>
          </w14:textFill>
        </w:rPr>
        <w:t>、一</w:t>
      </w:r>
      <w:r>
        <w:rPr>
          <w:rStyle w:val="25"/>
          <w:rFonts w:hint="eastAsia" w:ascii="黑体" w:hAnsi="黑体" w:eastAsia="黑体" w:cs="黑体"/>
          <w:b w:val="0"/>
          <w:color w:val="000000" w:themeColor="text1"/>
          <w14:textFill>
            <w14:solidFill>
              <w14:schemeClr w14:val="tx1"/>
            </w14:solidFill>
          </w14:textFill>
        </w:rPr>
        <w:t>般公共预算财政拨款基本支出决算情况说明</w:t>
      </w:r>
      <w:bookmarkEnd w:id="38"/>
      <w:bookmarkEnd w:id="39"/>
      <w:r>
        <w:rPr>
          <w:rStyle w:val="25"/>
          <w:rFonts w:hint="eastAsia" w:ascii="仿宋" w:hAnsi="仿宋" w:eastAsia="仿宋" w:cs="仿宋"/>
          <w:b w:val="0"/>
          <w:color w:val="000000" w:themeColor="text1"/>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2018年一般公共预算财政拨款基本支出238.98万元，其中：</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员经费181.12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公用经费57.86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Style w:val="25"/>
          <w:rFonts w:hint="eastAsia" w:ascii="黑体" w:hAnsi="黑体" w:eastAsia="黑体" w:cs="黑体"/>
          <w:b w:val="0"/>
          <w:color w:val="000000" w:themeColor="text1"/>
          <w14:textFill>
            <w14:solidFill>
              <w14:schemeClr w14:val="tx1"/>
            </w14:solidFill>
          </w14:textFill>
        </w:rPr>
      </w:pPr>
      <w:bookmarkStart w:id="40" w:name="_Toc15377215"/>
      <w:bookmarkStart w:id="41" w:name="_Toc15396609"/>
      <w:r>
        <w:rPr>
          <w:rFonts w:hint="eastAsia" w:ascii="黑体" w:hAnsi="黑体" w:eastAsia="黑体" w:cs="黑体"/>
          <w:color w:val="000000" w:themeColor="text1"/>
          <w:sz w:val="32"/>
          <w:szCs w:val="32"/>
          <w14:textFill>
            <w14:solidFill>
              <w14:schemeClr w14:val="tx1"/>
            </w14:solidFill>
          </w14:textFill>
        </w:rPr>
        <w:t>七、</w:t>
      </w:r>
      <w:r>
        <w:rPr>
          <w:rStyle w:val="25"/>
          <w:rFonts w:hint="eastAsia" w:ascii="黑体" w:hAnsi="黑体" w:eastAsia="黑体" w:cs="黑体"/>
          <w:color w:val="000000" w:themeColor="text1"/>
          <w14:textFill>
            <w14:solidFill>
              <w14:schemeClr w14:val="tx1"/>
            </w14:solidFill>
          </w14:textFill>
        </w:rPr>
        <w:t>“</w:t>
      </w:r>
      <w:r>
        <w:rPr>
          <w:rStyle w:val="25"/>
          <w:rFonts w:hint="eastAsia" w:ascii="黑体" w:hAnsi="黑体" w:eastAsia="黑体" w:cs="黑体"/>
          <w:b w:val="0"/>
          <w:color w:val="000000" w:themeColor="text1"/>
          <w14:textFill>
            <w14:solidFill>
              <w14:schemeClr w14:val="tx1"/>
            </w14:solidFill>
          </w14:textFill>
        </w:rPr>
        <w:t>三公”经费财政拨款支出决算情况说明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cs="仿宋"/>
          <w:b/>
          <w:color w:val="000000" w:themeColor="text1"/>
          <w:sz w:val="32"/>
          <w:szCs w:val="32"/>
          <w14:textFill>
            <w14:solidFill>
              <w14:schemeClr w14:val="tx1"/>
            </w14:solidFill>
          </w14:textFill>
        </w:rPr>
      </w:pPr>
      <w:bookmarkStart w:id="42" w:name="_Toc15377216"/>
      <w:r>
        <w:rPr>
          <w:rFonts w:hint="eastAsia" w:ascii="仿宋" w:hAnsi="仿宋" w:eastAsia="仿宋" w:cs="仿宋"/>
          <w:b/>
          <w:color w:val="000000" w:themeColor="text1"/>
          <w:sz w:val="32"/>
          <w:szCs w:val="32"/>
          <w14:textFill>
            <w14:solidFill>
              <w14:schemeClr w14:val="tx1"/>
            </w14:solidFill>
          </w14:textFill>
        </w:rPr>
        <w:t>（一）“三公”经费财政拨款支出决算总体情况说明</w:t>
      </w:r>
      <w:bookmarkEnd w:id="42"/>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2018年“三公”经费财政拨款支出决算为3.70万元，完成预算100%，与预算数持平。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（上述“预算”口径为调整预算数，包括政府性基金支出决算情况。）</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2"/>
        <w:rPr>
          <w:rFonts w:ascii="仿宋" w:hAnsi="仿宋" w:eastAsia="仿宋" w:cs="仿宋"/>
          <w:b/>
          <w:color w:val="000000" w:themeColor="text1"/>
          <w:sz w:val="32"/>
          <w:szCs w:val="32"/>
          <w14:textFill>
            <w14:solidFill>
              <w14:schemeClr w14:val="tx1"/>
            </w14:solidFill>
          </w14:textFill>
        </w:rPr>
      </w:pPr>
      <w:bookmarkStart w:id="43" w:name="_Toc15377217"/>
      <w:r>
        <w:rPr>
          <w:rFonts w:hint="eastAsia" w:ascii="仿宋" w:hAnsi="仿宋" w:eastAsia="仿宋" w:cs="仿宋"/>
          <w:b/>
          <w:color w:val="000000" w:themeColor="text1"/>
          <w:sz w:val="32"/>
          <w:szCs w:val="32"/>
          <w14:textFill>
            <w14:solidFill>
              <w14:schemeClr w14:val="tx1"/>
            </w14:solidFill>
          </w14:textFill>
        </w:rPr>
        <w:t>（二）“三公”经费财政拨款支出决算具体情况说明</w:t>
      </w:r>
      <w:bookmarkEnd w:id="43"/>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2018年“三公”经费财政拨款支出决算中，因公出国（境）费支出决算0万元，占100%；公务用车购置及运行维护费支出决算2.77万元，占100%；公务接待费支出决算0.97万元，占100%。具体情况如下：</w:t>
      </w:r>
    </w:p>
    <w:p>
      <w:pPr>
        <w:spacing w:line="600" w:lineRule="exact"/>
        <w:ind w:firstLine="640"/>
        <w:rPr>
          <w:rFonts w:ascii="仿宋" w:hAnsi="仿宋" w:eastAsia="仿宋" w:cs="仿宋"/>
          <w:color w:val="000000" w:themeColor="text1"/>
          <w:sz w:val="32"/>
          <w:szCs w:val="32"/>
          <w14:textFill>
            <w14:solidFill>
              <w14:schemeClr w14:val="tx1"/>
            </w14:solidFill>
          </w14:textFill>
        </w:rPr>
      </w:pPr>
    </w:p>
    <w:p>
      <w:pPr>
        <w:spacing w:line="60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drawing>
          <wp:anchor distT="0" distB="0" distL="114300" distR="114300" simplePos="0" relativeHeight="251660288" behindDoc="0" locked="0" layoutInCell="1" allowOverlap="1">
            <wp:simplePos x="0" y="0"/>
            <wp:positionH relativeFrom="column">
              <wp:posOffset>1409700</wp:posOffset>
            </wp:positionH>
            <wp:positionV relativeFrom="paragraph">
              <wp:posOffset>8255</wp:posOffset>
            </wp:positionV>
            <wp:extent cx="1924050" cy="1471930"/>
            <wp:effectExtent l="0" t="0" r="635"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23803" cy="1471903"/>
                    </a:xfrm>
                    <a:prstGeom prst="rect">
                      <a:avLst/>
                    </a:prstGeom>
                  </pic:spPr>
                </pic:pic>
              </a:graphicData>
            </a:graphic>
          </wp:anchor>
        </w:drawing>
      </w:r>
    </w:p>
    <w:p>
      <w:pPr>
        <w:spacing w:line="600" w:lineRule="exact"/>
        <w:ind w:firstLine="640"/>
        <w:rPr>
          <w:rFonts w:ascii="仿宋" w:hAnsi="仿宋" w:eastAsia="仿宋" w:cs="仿宋"/>
          <w:color w:val="000000" w:themeColor="text1"/>
          <w:sz w:val="32"/>
          <w:szCs w:val="32"/>
          <w14:textFill>
            <w14:solidFill>
              <w14:schemeClr w14:val="tx1"/>
            </w14:solidFill>
          </w14:textFill>
        </w:rPr>
      </w:pPr>
    </w:p>
    <w:p>
      <w:pPr>
        <w:spacing w:line="600" w:lineRule="exact"/>
        <w:ind w:firstLine="640"/>
        <w:rPr>
          <w:rFonts w:ascii="仿宋" w:hAnsi="仿宋" w:eastAsia="仿宋" w:cs="仿宋"/>
          <w:color w:val="000000" w:themeColor="text1"/>
          <w:sz w:val="32"/>
          <w:szCs w:val="32"/>
          <w14:textFill>
            <w14:solidFill>
              <w14:schemeClr w14:val="tx1"/>
            </w14:solidFill>
          </w14:textFill>
        </w:rPr>
      </w:pPr>
    </w:p>
    <w:p>
      <w:pPr>
        <w:spacing w:line="600" w:lineRule="exact"/>
        <w:ind w:firstLine="640"/>
        <w:rPr>
          <w:rFonts w:ascii="仿宋" w:hAnsi="仿宋" w:eastAsia="仿宋"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（图8：“三公”经费财政拨款支出结构）（饼状图）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b w:val="0"/>
          <w:bCs/>
          <w:color w:val="000000"/>
          <w:sz w:val="32"/>
          <w:szCs w:val="32"/>
          <w:lang w:val="en-US" w:eastAsia="zh-CN"/>
        </w:rPr>
      </w:pPr>
      <w:r>
        <w:rPr>
          <w:rFonts w:hint="eastAsia" w:ascii="仿宋" w:hAnsi="仿宋" w:eastAsia="仿宋" w:cs="仿宋"/>
          <w:b/>
          <w:color w:val="000000" w:themeColor="text1"/>
          <w:sz w:val="32"/>
          <w:szCs w:val="32"/>
          <w14:textFill>
            <w14:solidFill>
              <w14:schemeClr w14:val="tx1"/>
            </w14:solidFill>
          </w14:textFill>
        </w:rPr>
        <w:t>1.因公出国（境）经费支出</w:t>
      </w:r>
      <w:r>
        <w:rPr>
          <w:rFonts w:hint="eastAsia" w:ascii="仿宋" w:hAnsi="仿宋" w:eastAsia="仿宋" w:cs="仿宋"/>
          <w:color w:val="000000" w:themeColor="text1"/>
          <w:sz w:val="32"/>
          <w:szCs w:val="32"/>
          <w14:textFill>
            <w14:solidFill>
              <w14:schemeClr w14:val="tx1"/>
            </w14:solidFill>
          </w14:textFill>
        </w:rPr>
        <w:t>0万元，</w:t>
      </w:r>
      <w:r>
        <w:rPr>
          <w:rStyle w:val="14"/>
          <w:rFonts w:hint="eastAsia" w:ascii="仿宋" w:hAnsi="仿宋" w:eastAsia="仿宋" w:cs="仿宋"/>
          <w:b w:val="0"/>
          <w:bCs/>
          <w:color w:val="000000" w:themeColor="text1"/>
          <w:sz w:val="32"/>
          <w:szCs w:val="32"/>
          <w14:textFill>
            <w14:solidFill>
              <w14:schemeClr w14:val="tx1"/>
            </w14:solidFill>
          </w14:textFill>
        </w:rPr>
        <w:t>完成预算0%。</w:t>
      </w:r>
      <w:r>
        <w:rPr>
          <w:rFonts w:hint="eastAsia" w:ascii="仿宋_GB2312" w:eastAsia="仿宋_GB2312"/>
          <w:b w:val="0"/>
          <w:bCs/>
          <w:color w:val="000000"/>
          <w:sz w:val="32"/>
          <w:szCs w:val="32"/>
          <w:lang w:val="en-US" w:eastAsia="zh-CN"/>
        </w:rPr>
        <w:t>全年未有因公出境人员。因公出境支出与2017年比无变化。</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2.公务用车购置及运行维护费支出</w:t>
      </w:r>
      <w:r>
        <w:rPr>
          <w:rFonts w:hint="eastAsia" w:ascii="仿宋" w:hAnsi="仿宋" w:eastAsia="仿宋" w:cs="仿宋"/>
          <w:color w:val="000000" w:themeColor="text1"/>
          <w:sz w:val="32"/>
          <w:szCs w:val="32"/>
          <w14:textFill>
            <w14:solidFill>
              <w14:schemeClr w14:val="tx1"/>
            </w14:solidFill>
          </w14:textFill>
        </w:rPr>
        <w:t>2.77万元,</w:t>
      </w:r>
      <w:r>
        <w:rPr>
          <w:rStyle w:val="14"/>
          <w:rFonts w:hint="eastAsia" w:ascii="仿宋" w:hAnsi="仿宋" w:eastAsia="仿宋" w:cs="仿宋"/>
          <w:b w:val="0"/>
          <w:bCs/>
          <w:color w:val="000000" w:themeColor="text1"/>
          <w:sz w:val="32"/>
          <w:szCs w:val="32"/>
          <w14:textFill>
            <w14:solidFill>
              <w14:schemeClr w14:val="tx1"/>
            </w14:solidFill>
          </w14:textFill>
        </w:rPr>
        <w:t>完成预算2.7%。</w:t>
      </w:r>
      <w:r>
        <w:rPr>
          <w:rFonts w:hint="eastAsia" w:ascii="仿宋" w:hAnsi="仿宋" w:eastAsia="仿宋" w:cs="仿宋"/>
          <w:color w:val="000000" w:themeColor="text1"/>
          <w:sz w:val="32"/>
          <w:szCs w:val="32"/>
          <w14:textFill>
            <w14:solidFill>
              <w14:schemeClr w14:val="tx1"/>
            </w14:solidFill>
          </w14:textFill>
        </w:rPr>
        <w:t>公务用车购置及运行维护费支出决算比2017年减少3.09万元，下降246%。主要原因是公车制度改革。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其中：</w:t>
      </w:r>
      <w:r>
        <w:rPr>
          <w:rFonts w:hint="eastAsia" w:ascii="仿宋" w:hAnsi="仿宋" w:eastAsia="仿宋" w:cs="仿宋"/>
          <w:b/>
          <w:color w:val="000000" w:themeColor="text1"/>
          <w:sz w:val="32"/>
          <w:szCs w:val="32"/>
          <w14:textFill>
            <w14:solidFill>
              <w14:schemeClr w14:val="tx1"/>
            </w14:solidFill>
          </w14:textFill>
        </w:rPr>
        <w:t>公务用车购置支出</w:t>
      </w:r>
      <w:r>
        <w:rPr>
          <w:rFonts w:hint="eastAsia" w:ascii="仿宋" w:hAnsi="仿宋" w:eastAsia="仿宋" w:cs="仿宋"/>
          <w:color w:val="000000" w:themeColor="text1"/>
          <w:sz w:val="32"/>
          <w:szCs w:val="32"/>
          <w14:textFill>
            <w14:solidFill>
              <w14:schemeClr w14:val="tx1"/>
            </w14:solidFill>
          </w14:textFill>
        </w:rPr>
        <w:t>0万元。</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公务用车运行维护费支出</w:t>
      </w:r>
      <w:r>
        <w:rPr>
          <w:rFonts w:hint="eastAsia" w:ascii="仿宋" w:hAnsi="仿宋" w:eastAsia="仿宋" w:cs="仿宋"/>
          <w:color w:val="000000" w:themeColor="text1"/>
          <w:sz w:val="32"/>
          <w:szCs w:val="32"/>
          <w14:textFill>
            <w14:solidFill>
              <w14:schemeClr w14:val="tx1"/>
            </w14:solidFill>
          </w14:textFill>
        </w:rPr>
        <w:t>2.77万元。主要用于安监执法等所需的公务用车燃料费、维修费、过路过桥费、保险费等支出。</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3.公务接待费支出</w:t>
      </w:r>
      <w:r>
        <w:rPr>
          <w:rFonts w:hint="eastAsia" w:ascii="仿宋" w:hAnsi="仿宋" w:eastAsia="仿宋" w:cs="仿宋"/>
          <w:color w:val="000000" w:themeColor="text1"/>
          <w:sz w:val="32"/>
          <w:szCs w:val="32"/>
          <w14:textFill>
            <w14:solidFill>
              <w14:schemeClr w14:val="tx1"/>
            </w14:solidFill>
          </w14:textFill>
        </w:rPr>
        <w:t>0.97万元，</w:t>
      </w:r>
      <w:r>
        <w:rPr>
          <w:rStyle w:val="14"/>
          <w:rFonts w:hint="eastAsia" w:ascii="仿宋" w:hAnsi="仿宋" w:eastAsia="仿宋" w:cs="仿宋"/>
          <w:b w:val="0"/>
          <w:bCs/>
          <w:color w:val="000000" w:themeColor="text1"/>
          <w:sz w:val="32"/>
          <w:szCs w:val="32"/>
          <w14:textFill>
            <w14:solidFill>
              <w14:schemeClr w14:val="tx1"/>
            </w14:solidFill>
          </w14:textFill>
        </w:rPr>
        <w:t>完成预算100%。</w:t>
      </w:r>
      <w:r>
        <w:rPr>
          <w:rFonts w:hint="eastAsia" w:ascii="仿宋" w:hAnsi="仿宋" w:eastAsia="仿宋" w:cs="仿宋"/>
          <w:color w:val="000000" w:themeColor="text1"/>
          <w:sz w:val="32"/>
          <w:szCs w:val="32"/>
          <w14:textFill>
            <w14:solidFill>
              <w14:schemeClr w14:val="tx1"/>
            </w14:solidFill>
          </w14:textFill>
        </w:rPr>
        <w:t>公务接待费支出决算比2017年减少0.55万元，下降155%。主要原因是机构改革。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主要用于执行公务、开展业务活动开支的交通费、住宿费、用餐费等。国内公务接待16批次，92人次（不包括陪同人员），共计支出0.97万元，具体内容包括：上级来人检查工作、安监局之间交叉执法检查等。其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外事接待支出</w:t>
      </w:r>
      <w:r>
        <w:rPr>
          <w:rFonts w:hint="eastAsia" w:ascii="仿宋" w:hAnsi="仿宋" w:eastAsia="仿宋" w:cs="仿宋"/>
          <w:color w:val="000000" w:themeColor="text1"/>
          <w:sz w:val="32"/>
          <w:szCs w:val="32"/>
          <w14:textFill>
            <w14:solidFill>
              <w14:schemeClr w14:val="tx1"/>
            </w14:solidFill>
          </w14:textFill>
        </w:rPr>
        <w:t>0万元</w:t>
      </w:r>
      <w:bookmarkStart w:id="44" w:name="_Toc15396610"/>
      <w:bookmarkStart w:id="45" w:name="_Toc15377218"/>
      <w:r>
        <w:rPr>
          <w:rFonts w:hint="eastAsia" w:ascii="仿宋" w:hAnsi="仿宋" w:eastAsia="仿宋" w:cs="仿宋"/>
          <w:color w:val="000000" w:themeColor="text1"/>
          <w:sz w:val="32"/>
          <w:szCs w:val="32"/>
          <w14:textFill>
            <w14:solidFill>
              <w14:schemeClr w14:val="tx1"/>
            </w14:solidFill>
          </w14:textFill>
        </w:rPr>
        <w:t>。</w:t>
      </w:r>
      <w:bookmarkEnd w:id="44"/>
      <w:bookmarkEnd w:id="45"/>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color w:val="000000" w:themeColor="text1"/>
          <w:sz w:val="32"/>
          <w:szCs w:val="32"/>
          <w14:textFill>
            <w14:solidFill>
              <w14:schemeClr w14:val="tx1"/>
            </w14:solidFill>
          </w14:textFill>
        </w:rPr>
      </w:pPr>
      <w:bookmarkStart w:id="46" w:name="_Toc15396612"/>
      <w:bookmarkStart w:id="47" w:name="_Toc15377221"/>
      <w:r>
        <w:rPr>
          <w:rFonts w:hint="eastAsia" w:ascii="黑体" w:hAnsi="黑体" w:eastAsia="黑体" w:cs="黑体"/>
          <w:color w:val="000000" w:themeColor="text1"/>
          <w:sz w:val="32"/>
          <w:szCs w:val="32"/>
          <w14:textFill>
            <w14:solidFill>
              <w14:schemeClr w14:val="tx1"/>
            </w14:solidFill>
          </w14:textFill>
        </w:rPr>
        <w:t>八、政府性基金预算支出决算情况说明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2018年度政府性基金预算拨款支出0万元。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九、国有资本经营预算支出决算情况说明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highlight w:val="yellow"/>
        </w:rPr>
      </w:pPr>
      <w:r>
        <w:rPr>
          <w:rFonts w:hint="eastAsia" w:ascii="仿宋" w:hAnsi="仿宋" w:eastAsia="仿宋" w:cs="仿宋"/>
          <w:sz w:val="32"/>
          <w:szCs w:val="32"/>
        </w:rPr>
        <w:t>2018年度国有资本经营预算拨款支出0万元。</w:t>
      </w:r>
    </w:p>
    <w:p>
      <w:pPr>
        <w:pStyle w:val="32"/>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Style w:val="33"/>
          <w:rFonts w:hint="eastAsia" w:ascii="黑体" w:hAnsi="黑体" w:eastAsia="黑体" w:cs="黑体"/>
          <w:b w:val="0"/>
        </w:rPr>
      </w:pPr>
      <w:r>
        <w:rPr>
          <w:rStyle w:val="33"/>
          <w:rFonts w:hint="eastAsia" w:ascii="黑体" w:hAnsi="黑体" w:eastAsia="黑体" w:cs="黑体"/>
          <w:b w:val="0"/>
        </w:rPr>
        <w:t>十、预算绩效情况说明</w:t>
      </w:r>
    </w:p>
    <w:p>
      <w:pPr>
        <w:keepNext w:val="0"/>
        <w:keepLines w:val="0"/>
        <w:pageBreakBefore w:val="0"/>
        <w:widowControl w:val="0"/>
        <w:numPr>
          <w:ilvl w:val="0"/>
          <w:numId w:val="7"/>
        </w:numPr>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rPr>
        <w:t>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预算绩效管理要求，本部门（单位）在年初预算编制阶段，组织对烟花爆竹燃放场地建设项目开展了预算事前绩效评估，对1个项目编制了绩效目标，预算执行过程中，选取1个项目开展绩效监控，年终执行完毕后，对1个项目开展了绩效目标完成情况梳理填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本部门按要求对2018年部门整体支出开展绩效自评，从评价情况来看，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局为贯彻落实大气污染防治相关工作，给广大群众营造良好的生产、生活环境，引导烟花爆竹消费者安全、环保燃放烟花爆竹，规划在城区建设烟花爆竹燃放点2处。通过竞争性谈判等相关程序现已建成烟花爆竹燃放点2处，面积4000平方米，停车场1个，进场道路750米，同时还建了围栏、太阳能照明灯、燃放须知牌、标志牌、安全疏散牌等，共计开支10.9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p>
    <w:p>
      <w:pPr>
        <w:pStyle w:val="34"/>
        <w:keepNext w:val="0"/>
        <w:keepLines w:val="0"/>
        <w:pageBreakBefore w:val="0"/>
        <w:widowControl w:val="0"/>
        <w:numPr>
          <w:ilvl w:val="0"/>
          <w:numId w:val="8"/>
        </w:numPr>
        <w:tabs>
          <w:tab w:val="left" w:pos="1163"/>
        </w:tabs>
        <w:kinsoku/>
        <w:wordWrap/>
        <w:overflowPunct/>
        <w:topLinePunct w:val="0"/>
        <w:autoSpaceDE/>
        <w:autoSpaceDN/>
        <w:bidi w:val="0"/>
        <w:adjustRightInd/>
        <w:snapToGrid/>
        <w:spacing w:line="600" w:lineRule="exact"/>
        <w:ind w:left="0" w:firstLine="709" w:firstLineChars="0"/>
        <w:textAlignment w:val="auto"/>
        <w:rPr>
          <w:rFonts w:ascii="仿宋" w:hAnsi="仿宋" w:eastAsia="仿宋" w:cs="仿宋"/>
          <w:sz w:val="32"/>
          <w:szCs w:val="32"/>
        </w:rPr>
      </w:pPr>
      <w:r>
        <w:rPr>
          <w:rFonts w:hint="eastAsia" w:ascii="仿宋" w:hAnsi="仿宋" w:eastAsia="仿宋" w:cs="仿宋"/>
          <w:b/>
          <w:bCs/>
          <w:sz w:val="32"/>
          <w:szCs w:val="32"/>
        </w:rPr>
        <w:t>项目绩效目标完成情况</w:t>
      </w:r>
    </w:p>
    <w:p>
      <w:pPr>
        <w:keepNext w:val="0"/>
        <w:keepLines w:val="0"/>
        <w:pageBreakBefore w:val="0"/>
        <w:widowControl w:val="0"/>
        <w:tabs>
          <w:tab w:val="left" w:pos="1163"/>
        </w:tabs>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本部门在2018年度部门决算中反映城区建设烟花爆竹燃放点项目绩效目标实际完成情况。</w:t>
      </w:r>
    </w:p>
    <w:p>
      <w:pPr>
        <w:keepNext w:val="0"/>
        <w:keepLines w:val="0"/>
        <w:pageBreakBefore w:val="0"/>
        <w:widowControl w:val="0"/>
        <w:kinsoku/>
        <w:wordWrap/>
        <w:overflowPunct/>
        <w:topLinePunct w:val="0"/>
        <w:autoSpaceDE/>
        <w:autoSpaceDN/>
        <w:bidi w:val="0"/>
        <w:adjustRightInd/>
        <w:snapToGrid/>
        <w:spacing w:line="600" w:lineRule="exact"/>
        <w:ind w:firstLine="707" w:firstLineChars="220"/>
        <w:textAlignment w:val="auto"/>
        <w:rPr>
          <w:rFonts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sz w:val="32"/>
          <w:szCs w:val="32"/>
        </w:rPr>
        <w:t>龙家坝烟花爆竹燃放点：场地面积2000平方米、停车场1个100平方米、进场道路1条750米、围栏177米、太阳能照明灯2根、燃放须知牌1个、燃放点标志牌1个、安全疏散牌1个。</w:t>
      </w:r>
    </w:p>
    <w:p>
      <w:pPr>
        <w:keepNext w:val="0"/>
        <w:keepLines w:val="0"/>
        <w:pageBreakBefore w:val="0"/>
        <w:widowControl w:val="0"/>
        <w:kinsoku/>
        <w:wordWrap/>
        <w:overflowPunct/>
        <w:topLinePunct w:val="0"/>
        <w:autoSpaceDE/>
        <w:autoSpaceDN/>
        <w:bidi w:val="0"/>
        <w:adjustRightInd/>
        <w:snapToGrid/>
        <w:spacing w:line="600" w:lineRule="exact"/>
        <w:ind w:firstLine="704" w:firstLineChars="220"/>
        <w:textAlignment w:val="auto"/>
        <w:rPr>
          <w:rFonts w:ascii="仿宋" w:hAnsi="仿宋" w:eastAsia="仿宋" w:cs="仿宋"/>
          <w:sz w:val="32"/>
          <w:szCs w:val="32"/>
        </w:rPr>
      </w:pPr>
      <w:r>
        <w:rPr>
          <w:rFonts w:hint="eastAsia" w:ascii="仿宋" w:hAnsi="仿宋" w:eastAsia="仿宋" w:cs="仿宋"/>
          <w:sz w:val="32"/>
          <w:szCs w:val="32"/>
        </w:rPr>
        <w:t>2、新井中校后场地：场地2000平方米、围栏177米、太阳能照明灯2个、燃放须知牌1个、燃放点标志牌1个、安全疏散牌1个。</w:t>
      </w:r>
    </w:p>
    <w:p>
      <w:pPr>
        <w:ind w:firstLine="979" w:firstLineChars="306"/>
        <w:rPr>
          <w:rFonts w:ascii="仿宋" w:hAnsi="仿宋" w:eastAsia="仿宋" w:cs="仿宋"/>
          <w:sz w:val="32"/>
          <w:szCs w:val="32"/>
        </w:rPr>
      </w:pPr>
    </w:p>
    <w:p>
      <w:pPr>
        <w:ind w:firstLine="979" w:firstLineChars="306"/>
        <w:rPr>
          <w:rFonts w:ascii="仿宋" w:hAnsi="仿宋" w:eastAsia="仿宋" w:cs="仿宋"/>
          <w:sz w:val="32"/>
          <w:szCs w:val="32"/>
        </w:rPr>
      </w:pPr>
    </w:p>
    <w:p>
      <w:pPr>
        <w:ind w:firstLine="979" w:firstLineChars="306"/>
        <w:rPr>
          <w:rFonts w:ascii="仿宋" w:hAnsi="仿宋" w:eastAsia="仿宋" w:cs="仿宋"/>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32"/>
              <w:widowControl/>
              <w:ind w:left="4015" w:leftChars="1310" w:hanging="1264" w:hangingChars="395"/>
              <w:textAlignment w:val="center"/>
              <w:rPr>
                <w:rFonts w:ascii="仿宋" w:hAnsi="仿宋" w:eastAsia="仿宋" w:cs="仿宋"/>
                <w:color w:val="000000"/>
                <w:sz w:val="32"/>
                <w:szCs w:val="32"/>
              </w:rPr>
            </w:pPr>
            <w:r>
              <w:rPr>
                <w:rFonts w:hint="eastAsia" w:ascii="仿宋" w:hAnsi="仿宋" w:eastAsia="仿宋" w:cs="仿宋"/>
                <w:bCs/>
                <w:color w:val="000000"/>
                <w:kern w:val="0"/>
                <w:sz w:val="32"/>
                <w:szCs w:val="32"/>
                <w:lang w:bidi="ar"/>
              </w:rPr>
              <w:t>项目支出绩效目标完成情况表</w:t>
            </w:r>
            <w:r>
              <w:rPr>
                <w:rFonts w:hint="eastAsia" w:ascii="仿宋" w:hAnsi="仿宋" w:eastAsia="仿宋" w:cs="仿宋"/>
                <w:b/>
                <w:bCs/>
                <w:color w:val="000000"/>
                <w:kern w:val="0"/>
                <w:sz w:val="32"/>
                <w:szCs w:val="32"/>
                <w:lang w:bidi="ar"/>
              </w:rPr>
              <w:br w:type="textWrapping"/>
            </w:r>
            <w:r>
              <w:rPr>
                <w:rFonts w:hint="eastAsia" w:ascii="仿宋" w:hAnsi="仿宋" w:eastAsia="仿宋" w:cs="仿宋"/>
                <w:color w:val="000000"/>
                <w:kern w:val="0"/>
                <w:sz w:val="32"/>
                <w:szCs w:val="32"/>
                <w:lang w:bidi="ar"/>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sz w:val="32"/>
                <w:szCs w:val="32"/>
              </w:rPr>
              <w:t>井研县城区烟花爆竹燃放点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井研县安全生产监督管理局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10.9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10.9</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10.9</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10.9</w:t>
            </w:r>
          </w:p>
        </w:tc>
      </w:tr>
      <w:tr>
        <w:tblPrEx>
          <w:tblCellMar>
            <w:top w:w="0" w:type="dxa"/>
            <w:left w:w="0" w:type="dxa"/>
            <w:bottom w:w="0" w:type="dxa"/>
            <w:right w:w="0" w:type="dxa"/>
          </w:tblCellMar>
        </w:tblPrEx>
        <w:trPr>
          <w:trHeight w:val="241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其</w:t>
            </w:r>
            <w:r>
              <w:rPr>
                <w:rFonts w:hint="eastAsia" w:ascii="仿宋" w:hAnsi="仿宋" w:eastAsia="仿宋" w:cs="仿宋"/>
                <w:color w:val="000000"/>
                <w:kern w:val="0"/>
                <w:sz w:val="32"/>
                <w:szCs w:val="32"/>
                <w:lang w:val="en-US" w:eastAsia="zh-CN" w:bidi="ar"/>
              </w:rPr>
              <w:t>他</w:t>
            </w:r>
            <w:r>
              <w:rPr>
                <w:rFonts w:hint="eastAsia" w:ascii="仿宋" w:hAnsi="仿宋" w:eastAsia="仿宋" w:cs="仿宋"/>
                <w:color w:val="000000"/>
                <w:kern w:val="0"/>
                <w:sz w:val="32"/>
                <w:szCs w:val="32"/>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其</w:t>
            </w:r>
            <w:r>
              <w:rPr>
                <w:rFonts w:hint="eastAsia" w:ascii="仿宋" w:hAnsi="仿宋" w:eastAsia="仿宋" w:cs="仿宋"/>
                <w:color w:val="000000"/>
                <w:kern w:val="0"/>
                <w:sz w:val="32"/>
                <w:szCs w:val="32"/>
                <w:lang w:val="en-US" w:eastAsia="zh-CN" w:bidi="ar"/>
              </w:rPr>
              <w:t>他</w:t>
            </w:r>
            <w:r>
              <w:rPr>
                <w:rFonts w:hint="eastAsia" w:ascii="仿宋" w:hAnsi="仿宋" w:eastAsia="仿宋" w:cs="仿宋"/>
                <w:color w:val="000000"/>
                <w:kern w:val="0"/>
                <w:sz w:val="32"/>
                <w:szCs w:val="32"/>
                <w:lang w:bidi="ar"/>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0</w:t>
            </w:r>
          </w:p>
        </w:tc>
      </w:tr>
      <w:tr>
        <w:tblPrEx>
          <w:tblCellMar>
            <w:top w:w="0" w:type="dxa"/>
            <w:left w:w="0" w:type="dxa"/>
            <w:bottom w:w="0" w:type="dxa"/>
            <w:right w:w="0" w:type="dxa"/>
          </w:tblCellMar>
        </w:tblPrEx>
        <w:trPr>
          <w:trHeight w:val="90"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sz w:val="32"/>
                <w:szCs w:val="32"/>
              </w:rPr>
              <w:t>计划井研县城区烟花爆竹燃放点2个</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sz w:val="32"/>
                <w:szCs w:val="32"/>
              </w:rPr>
              <w:t>建成井研县城区烟花爆竹燃放点2个</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w:t>
            </w:r>
            <w:r>
              <w:rPr>
                <w:rFonts w:hint="eastAsia" w:ascii="仿宋" w:hAnsi="仿宋" w:eastAsia="仿宋" w:cs="仿宋"/>
                <w:color w:val="000000"/>
                <w:kern w:val="0"/>
                <w:sz w:val="32"/>
                <w:szCs w:val="32"/>
                <w:lang w:val="en-US" w:eastAsia="zh-CN" w:bidi="ar"/>
              </w:rPr>
              <w:t>自</w:t>
            </w:r>
            <w:bookmarkStart w:id="71" w:name="_GoBack"/>
            <w:bookmarkEnd w:id="71"/>
            <w:r>
              <w:rPr>
                <w:rFonts w:hint="eastAsia" w:ascii="仿宋" w:hAnsi="仿宋" w:eastAsia="仿宋" w:cs="仿宋"/>
                <w:color w:val="000000"/>
                <w:kern w:val="0"/>
                <w:sz w:val="32"/>
                <w:szCs w:val="32"/>
                <w:lang w:bidi="ar"/>
              </w:rPr>
              <w:t>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计划修建两个城区燃放点</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建成两个城区燃放点</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sz w:val="32"/>
                <w:szCs w:val="32"/>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r>
              <w:rPr>
                <w:rFonts w:hint="eastAsia" w:ascii="仿宋" w:hAnsi="仿宋" w:eastAsia="仿宋" w:cs="仿宋"/>
                <w:color w:val="000000"/>
                <w:kern w:val="0"/>
                <w:sz w:val="32"/>
                <w:szCs w:val="32"/>
                <w:lang w:bidi="ar"/>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sz w:val="32"/>
                <w:szCs w:val="32"/>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仿宋" w:hAnsi="仿宋" w:eastAsia="仿宋" w:cs="仿宋"/>
                <w:color w:val="000000"/>
                <w:sz w:val="32"/>
                <w:szCs w:val="32"/>
              </w:rPr>
            </w:pPr>
          </w:p>
        </w:tc>
      </w:tr>
    </w:tbl>
    <w:p>
      <w:pPr>
        <w:numPr>
          <w:ilvl w:val="0"/>
          <w:numId w:val="0"/>
        </w:numPr>
        <w:spacing w:line="580" w:lineRule="exact"/>
        <w:ind w:firstLine="321" w:firstLineChars="100"/>
        <w:rPr>
          <w:rFonts w:hint="eastAsia" w:ascii="仿宋" w:hAnsi="仿宋" w:eastAsia="仿宋" w:cs="仿宋"/>
          <w:b/>
          <w:bCs/>
          <w:sz w:val="32"/>
          <w:szCs w:val="32"/>
          <w:lang w:eastAsia="zh-CN"/>
        </w:rPr>
      </w:pPr>
    </w:p>
    <w:p>
      <w:pPr>
        <w:numPr>
          <w:ilvl w:val="0"/>
          <w:numId w:val="0"/>
        </w:num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rPr>
        <w:t>部门开展绩效评价结果。</w:t>
      </w:r>
    </w:p>
    <w:p>
      <w:pPr>
        <w:keepNext w:val="0"/>
        <w:keepLines w:val="0"/>
        <w:pageBreakBefore w:val="0"/>
        <w:widowControl w:val="0"/>
        <w:kinsoku/>
        <w:wordWrap/>
        <w:overflowPunct/>
        <w:bidi w:val="0"/>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本部门按要求对2018年部门整体支出绩效评价情况开展自评，《安全生产监督管理局2018年部门整体支出绩效评价报告》见附件。</w:t>
      </w:r>
    </w:p>
    <w:p>
      <w:pPr>
        <w:keepNext w:val="0"/>
        <w:keepLines w:val="0"/>
        <w:pageBreakBefore w:val="0"/>
        <w:widowControl w:val="0"/>
        <w:kinsoku/>
        <w:wordWrap/>
        <w:overflowPunct/>
        <w:bidi w:val="0"/>
        <w:snapToGrid/>
        <w:spacing w:line="600" w:lineRule="exact"/>
        <w:textAlignment w:val="auto"/>
        <w:rPr>
          <w:rFonts w:ascii="黑体" w:hAnsi="宋体" w:eastAsia="黑体"/>
          <w:szCs w:val="32"/>
          <w:lang w:val="zh-CN"/>
        </w:rPr>
      </w:pPr>
    </w:p>
    <w:bookmarkEnd w:id="46"/>
    <w:bookmarkEnd w:id="47"/>
    <w:p>
      <w:pPr>
        <w:keepNext w:val="0"/>
        <w:keepLines w:val="0"/>
        <w:pageBreakBefore w:val="0"/>
        <w:widowControl w:val="0"/>
        <w:kinsoku/>
        <w:wordWrap/>
        <w:overflowPunct/>
        <w:bidi w:val="0"/>
        <w:snapToGrid/>
        <w:spacing w:line="600" w:lineRule="exact"/>
        <w:ind w:firstLine="640" w:firstLineChars="200"/>
        <w:textAlignment w:val="auto"/>
        <w:outlineLvl w:val="1"/>
        <w:rPr>
          <w:rStyle w:val="25"/>
          <w:rFonts w:ascii="黑体" w:hAnsi="黑体" w:eastAsia="黑体" w:cs="黑体"/>
        </w:rPr>
      </w:pPr>
      <w:bookmarkStart w:id="48" w:name="_Toc15377222"/>
      <w:r>
        <w:rPr>
          <w:rFonts w:hint="eastAsia" w:ascii="黑体" w:hAnsi="黑体" w:eastAsia="黑体" w:cs="黑体"/>
          <w:color w:val="000000"/>
          <w:sz w:val="32"/>
          <w:szCs w:val="32"/>
        </w:rPr>
        <w:t>十</w:t>
      </w:r>
      <w:r>
        <w:rPr>
          <w:rStyle w:val="25"/>
          <w:rFonts w:hint="eastAsia" w:ascii="黑体" w:hAnsi="黑体" w:eastAsia="黑体" w:cs="黑体"/>
        </w:rPr>
        <w:t>一、</w:t>
      </w:r>
      <w:r>
        <w:rPr>
          <w:rStyle w:val="25"/>
          <w:rFonts w:hint="eastAsia" w:ascii="黑体" w:hAnsi="黑体" w:eastAsia="黑体" w:cs="黑体"/>
          <w:b w:val="0"/>
        </w:rPr>
        <w:t>其他重要事项的情况说明</w:t>
      </w:r>
    </w:p>
    <w:p>
      <w:pPr>
        <w:keepNext w:val="0"/>
        <w:keepLines w:val="0"/>
        <w:pageBreakBefore w:val="0"/>
        <w:widowControl w:val="0"/>
        <w:kinsoku/>
        <w:wordWrap/>
        <w:overflowPunct/>
        <w:bidi w:val="0"/>
        <w:snapToGrid/>
        <w:spacing w:line="600" w:lineRule="exact"/>
        <w:ind w:firstLine="643" w:firstLineChars="200"/>
        <w:textAlignment w:val="auto"/>
        <w:outlineLvl w:val="2"/>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（一）机关运行经费支出情况</w:t>
      </w:r>
      <w:bookmarkEnd w:id="48"/>
    </w:p>
    <w:p>
      <w:pPr>
        <w:keepNext w:val="0"/>
        <w:keepLines w:val="0"/>
        <w:pageBreakBefore w:val="0"/>
        <w:widowControl w:val="0"/>
        <w:kinsoku/>
        <w:wordWrap/>
        <w:overflowPunct/>
        <w:bidi w:val="0"/>
        <w:snapToGrid/>
        <w:spacing w:line="60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2018年机关运行经费支出190万元，比2017年增加62万元，增长48%（或与2017年决算数持平）。主要原因是机构调整，职能增加，人员增加，相关费用也增加了。</w:t>
      </w:r>
    </w:p>
    <w:p>
      <w:pPr>
        <w:keepNext w:val="0"/>
        <w:keepLines w:val="0"/>
        <w:pageBreakBefore w:val="0"/>
        <w:widowControl w:val="0"/>
        <w:kinsoku/>
        <w:wordWrap/>
        <w:overflowPunct/>
        <w:autoSpaceDE w:val="0"/>
        <w:autoSpaceDN w:val="0"/>
        <w:bidi w:val="0"/>
        <w:adjustRightInd w:val="0"/>
        <w:snapToGrid/>
        <w:spacing w:line="600" w:lineRule="exact"/>
        <w:ind w:firstLine="643" w:firstLineChars="200"/>
        <w:jc w:val="left"/>
        <w:textAlignment w:val="auto"/>
        <w:outlineLvl w:val="2"/>
        <w:rPr>
          <w:rFonts w:ascii="仿宋" w:hAnsi="仿宋" w:eastAsia="仿宋" w:cs="仿宋"/>
          <w:b/>
          <w:color w:val="000000"/>
          <w:sz w:val="32"/>
          <w:szCs w:val="32"/>
        </w:rPr>
      </w:pPr>
      <w:bookmarkStart w:id="49" w:name="_Toc15377223"/>
      <w:bookmarkStart w:id="50" w:name="_Toc15377224"/>
      <w:r>
        <w:rPr>
          <w:rFonts w:hint="eastAsia" w:ascii="仿宋" w:hAnsi="仿宋" w:eastAsia="仿宋" w:cs="仿宋"/>
          <w:b/>
          <w:color w:val="000000"/>
          <w:sz w:val="32"/>
          <w:szCs w:val="32"/>
        </w:rPr>
        <w:t>（二）政府采购支出情况</w:t>
      </w:r>
      <w:bookmarkEnd w:id="49"/>
    </w:p>
    <w:p>
      <w:pPr>
        <w:keepNext w:val="0"/>
        <w:keepLines w:val="0"/>
        <w:pageBreakBefore w:val="0"/>
        <w:widowControl w:val="0"/>
        <w:kinsoku/>
        <w:wordWrap/>
        <w:overflowPunct/>
        <w:bidi w:val="0"/>
        <w:snapToGrid/>
        <w:spacing w:line="60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2018年，***政府采购支出总额0万元。</w:t>
      </w:r>
    </w:p>
    <w:p>
      <w:pPr>
        <w:keepNext w:val="0"/>
        <w:keepLines w:val="0"/>
        <w:pageBreakBefore w:val="0"/>
        <w:widowControl w:val="0"/>
        <w:kinsoku/>
        <w:wordWrap/>
        <w:overflowPunct/>
        <w:autoSpaceDE w:val="0"/>
        <w:autoSpaceDN w:val="0"/>
        <w:bidi w:val="0"/>
        <w:adjustRightInd w:val="0"/>
        <w:snapToGrid/>
        <w:spacing w:line="600" w:lineRule="exact"/>
        <w:ind w:firstLine="643" w:firstLineChars="200"/>
        <w:jc w:val="left"/>
        <w:textAlignment w:val="auto"/>
        <w:outlineLvl w:val="2"/>
        <w:rPr>
          <w:rFonts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（三）国有资产占有使用情况</w:t>
      </w:r>
      <w:bookmarkEnd w:id="50"/>
    </w:p>
    <w:p>
      <w:pPr>
        <w:keepNext w:val="0"/>
        <w:keepLines w:val="0"/>
        <w:pageBreakBefore w:val="0"/>
        <w:widowControl w:val="0"/>
        <w:kinsoku/>
        <w:wordWrap/>
        <w:overflowPunct/>
        <w:autoSpaceDE w:val="0"/>
        <w:autoSpaceDN w:val="0"/>
        <w:bidi w:val="0"/>
        <w:adjustRightInd w:val="0"/>
        <w:snapToGrid/>
        <w:spacing w:line="60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截至2018年12月31日，共有车辆1辆，其中：一般公务用车1辆。</w:t>
      </w:r>
    </w:p>
    <w:p>
      <w:pPr>
        <w:keepNext w:val="0"/>
        <w:keepLines w:val="0"/>
        <w:pageBreakBefore w:val="0"/>
        <w:widowControl w:val="0"/>
        <w:kinsoku/>
        <w:wordWrap/>
        <w:overflowPunct/>
        <w:bidi w:val="0"/>
        <w:snapToGrid/>
        <w:spacing w:line="600" w:lineRule="exact"/>
        <w:textAlignment w:val="auto"/>
        <w:outlineLvl w:val="0"/>
        <w:rPr>
          <w:rFonts w:ascii="黑体" w:hAnsi="黑体" w:eastAsia="黑体" w:cs="黑体"/>
          <w:b/>
          <w:color w:val="000000" w:themeColor="text1"/>
          <w:sz w:val="32"/>
          <w:szCs w:val="32"/>
          <w14:textFill>
            <w14:solidFill>
              <w14:schemeClr w14:val="tx1"/>
            </w14:solidFill>
          </w14:textFill>
        </w:rPr>
      </w:pPr>
      <w:bookmarkStart w:id="51" w:name="_Toc15377225"/>
      <w:bookmarkStart w:id="52" w:name="_Toc15396613"/>
    </w:p>
    <w:p>
      <w:pPr>
        <w:keepNext w:val="0"/>
        <w:keepLines w:val="0"/>
        <w:pageBreakBefore w:val="0"/>
        <w:widowControl w:val="0"/>
        <w:kinsoku/>
        <w:wordWrap/>
        <w:overflowPunct/>
        <w:bidi w:val="0"/>
        <w:snapToGrid/>
        <w:spacing w:line="600" w:lineRule="exact"/>
        <w:jc w:val="center"/>
        <w:textAlignment w:val="auto"/>
        <w:outlineLvl w:val="0"/>
        <w:rPr>
          <w:rStyle w:val="24"/>
          <w:rFonts w:ascii="黑体" w:hAnsi="黑体" w:eastAsia="黑体" w:cs="黑体"/>
          <w:b w:val="0"/>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14:textFill>
            <w14:solidFill>
              <w14:schemeClr w14:val="tx1"/>
            </w14:solidFill>
          </w14:textFill>
        </w:rPr>
        <w:t>第三部</w:t>
      </w:r>
      <w:r>
        <w:rPr>
          <w:rFonts w:hint="eastAsia" w:ascii="黑体" w:hAnsi="黑体" w:eastAsia="黑体" w:cs="黑体"/>
          <w:b/>
          <w:color w:val="000000" w:themeColor="text1"/>
          <w:sz w:val="32"/>
          <w:szCs w:val="32"/>
          <w:lang w:val="en-US" w:eastAsia="zh-CN"/>
          <w14:textFill>
            <w14:solidFill>
              <w14:schemeClr w14:val="tx1"/>
            </w14:solidFill>
          </w14:textFill>
        </w:rPr>
        <w:t>分</w:t>
      </w:r>
      <w:r>
        <w:rPr>
          <w:rFonts w:hint="eastAsia" w:ascii="黑体" w:hAnsi="黑体" w:eastAsia="黑体" w:cs="黑体"/>
          <w:b/>
          <w:color w:val="000000" w:themeColor="text1"/>
          <w:sz w:val="32"/>
          <w:szCs w:val="32"/>
          <w14:textFill>
            <w14:solidFill>
              <w14:schemeClr w14:val="tx1"/>
            </w14:solidFill>
          </w14:textFill>
        </w:rPr>
        <w:t xml:space="preserve"> 名</w:t>
      </w:r>
      <w:r>
        <w:rPr>
          <w:rStyle w:val="24"/>
          <w:rFonts w:hint="eastAsia" w:ascii="黑体" w:hAnsi="黑体" w:eastAsia="黑体" w:cs="黑体"/>
          <w:b w:val="0"/>
          <w:color w:val="000000" w:themeColor="text1"/>
          <w:sz w:val="32"/>
          <w:szCs w:val="32"/>
          <w14:textFill>
            <w14:solidFill>
              <w14:schemeClr w14:val="tx1"/>
            </w14:solidFill>
          </w14:textFill>
        </w:rPr>
        <w:t>词解释</w:t>
      </w:r>
      <w:bookmarkEnd w:id="51"/>
      <w:bookmarkEnd w:id="52"/>
    </w:p>
    <w:p>
      <w:pPr>
        <w:keepNext w:val="0"/>
        <w:keepLines w:val="0"/>
        <w:pageBreakBefore w:val="0"/>
        <w:widowControl w:val="0"/>
        <w:kinsoku/>
        <w:wordWrap/>
        <w:overflowPunct/>
        <w:bidi w:val="0"/>
        <w:snapToGrid/>
        <w:spacing w:line="600" w:lineRule="exact"/>
        <w:jc w:val="left"/>
        <w:textAlignment w:val="auto"/>
        <w:rPr>
          <w:rFonts w:ascii="仿宋" w:hAnsi="仿宋" w:eastAsia="仿宋" w:cs="仿宋"/>
          <w:b/>
          <w:color w:val="000000" w:themeColor="text1"/>
          <w:sz w:val="32"/>
          <w:szCs w:val="32"/>
          <w14:textFill>
            <w14:solidFill>
              <w14:schemeClr w14:val="tx1"/>
            </w14:solidFill>
          </w14:textFill>
        </w:rPr>
      </w:pPr>
    </w:p>
    <w:p>
      <w:pPr>
        <w:keepNext w:val="0"/>
        <w:keepLines w:val="0"/>
        <w:pageBreakBefore w:val="0"/>
        <w:widowControl w:val="0"/>
        <w:kinsoku/>
        <w:wordWrap/>
        <w:overflowPunct/>
        <w:autoSpaceDE w:val="0"/>
        <w:autoSpaceDN w:val="0"/>
        <w:bidi w:val="0"/>
        <w:adjustRightInd w:val="0"/>
        <w:snapToGrid/>
        <w:spacing w:line="600" w:lineRule="exact"/>
        <w:ind w:firstLine="640" w:firstLineChars="200"/>
        <w:jc w:val="lef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十一、名词解释</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财政拨款收支情况：是指一般公共预算、政府性基金预算、国有资本经营预算拨款收支情况。</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一般公共预算拨款收入：指县级财政当年拨付的资金。</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社会保障和就业（类）行政事业单位离退休（款）事业单位离退休（项）：指离退休人员的支出。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社会保障和就业（类）行政事业单位离退休（款）未归口管理的行政单位离退休（项）：指离退休人员的支出。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社会保障和就业（类）行政事业单位离退休（款）机关事业单位基本养老保险缴费支出（项）：指部门实施养老保险制度由单位缴纳的养老保险费的支出。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社会保障和就业（类）行政事业单位离退休（款）机关事业单位职业年金缴费支出（项）：指部门实施养老保险制度由单位缴纳的职业年金的支出。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社会保障和就业（类）其他社会保障和就业（款）其他社会保障和就业支出（项）：指除上述项目外，其他用于行政事业单位离退休方面的支出。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医疗卫生与计划生育（类）行政事业单位医疗（款）行政单位医疗（项）：指行政单位及参公管理事业单位用于缴纳单位基本医疗保险支出。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医疗卫生与计划生育（类）行政事业单位医疗（款）公务员医疗补助（项）：指行政单位及参公管理事业单位用于集中缴纳公务员医疗补助支出。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住房保障（类）住房改革支出（款）住房公积金（项）：指由单位及其在职职工按规定缴存的住房公积金支出。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基本支出：指为保证机构正常运转，完成日常工作任务而发生的人员支出和公用支出。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项目支出：指在基本支出之外为完成特定行政任务和事业发展目标所发生的支出。</w:t>
      </w:r>
    </w:p>
    <w:p>
      <w:pPr>
        <w:pStyle w:val="31"/>
        <w:keepNext w:val="0"/>
        <w:keepLines w:val="0"/>
        <w:pageBreakBefore w:val="0"/>
        <w:widowControl w:val="0"/>
        <w:kinsoku/>
        <w:wordWrap/>
        <w:overflowPunct/>
        <w:bidi w:val="0"/>
        <w:snapToGrid/>
        <w:spacing w:line="60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纳入预决算管理的“三公”经费，</w:t>
      </w:r>
      <w:r>
        <w:rPr>
          <w:rFonts w:hint="eastAsia" w:ascii="仿宋" w:hAnsi="仿宋" w:eastAsia="仿宋" w:cs="仿宋"/>
          <w:color w:val="000000" w:themeColor="text1"/>
          <w:lang w:val="en-US" w:eastAsia="zh-CN"/>
          <w14:textFill>
            <w14:solidFill>
              <w14:schemeClr w14:val="tx1"/>
            </w14:solidFill>
          </w14:textFill>
        </w:rPr>
        <w:t>市直</w:t>
      </w:r>
      <w:r>
        <w:rPr>
          <w:rFonts w:hint="eastAsia" w:ascii="仿宋" w:hAnsi="仿宋" w:eastAsia="仿宋" w:cs="仿宋"/>
          <w:color w:val="000000" w:themeColor="text1"/>
          <w14:textFill>
            <w14:solidFill>
              <w14:schemeClr w14:val="tx1"/>
            </w14:solidFill>
          </w14:textFill>
        </w:rPr>
        <w:t>部门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Ansi="仿宋"/>
          <w:color w:val="000000" w:themeColor="text1"/>
          <w:sz w:val="32"/>
          <w:szCs w:val="32"/>
          <w14:textFill>
            <w14:solidFill>
              <w14:schemeClr w14:val="tx1"/>
            </w14:solidFill>
          </w14:textFill>
        </w:rPr>
      </w:pPr>
    </w:p>
    <w:p>
      <w:pPr>
        <w:ind w:firstLine="643" w:firstLineChars="200"/>
        <w:rPr>
          <w:rFonts w:ascii="仿宋" w:hAnsi="仿宋" w:eastAsia="仿宋" w:cs="仿宋"/>
          <w:b/>
          <w:color w:val="000000" w:themeColor="text1"/>
          <w:sz w:val="32"/>
          <w:szCs w:val="32"/>
          <w14:textFill>
            <w14:solidFill>
              <w14:schemeClr w14:val="tx1"/>
            </w14:solidFill>
          </w14:textFill>
        </w:rPr>
      </w:pPr>
    </w:p>
    <w:p>
      <w:pPr>
        <w:spacing w:line="600" w:lineRule="exact"/>
        <w:jc w:val="center"/>
        <w:outlineLvl w:val="0"/>
        <w:rPr>
          <w:rStyle w:val="24"/>
          <w:rFonts w:hint="eastAsia" w:ascii="黑体" w:hAnsi="黑体" w:eastAsia="黑体" w:cs="黑体"/>
          <w:b w:val="0"/>
          <w:color w:val="000000" w:themeColor="text1"/>
          <w:sz w:val="44"/>
          <w:szCs w:val="44"/>
          <w14:textFill>
            <w14:solidFill>
              <w14:schemeClr w14:val="tx1"/>
            </w14:solidFill>
          </w14:textFill>
        </w:rPr>
      </w:pPr>
      <w:bookmarkStart w:id="53" w:name="_Toc15377226"/>
      <w:r>
        <w:rPr>
          <w:rFonts w:hint="eastAsia" w:ascii="仿宋" w:hAnsi="仿宋" w:eastAsia="仿宋" w:cs="仿宋"/>
          <w:b/>
          <w:color w:val="000000" w:themeColor="text1"/>
          <w:sz w:val="32"/>
          <w:szCs w:val="32"/>
          <w14:textFill>
            <w14:solidFill>
              <w14:schemeClr w14:val="tx1"/>
            </w14:solidFill>
          </w14:textFill>
        </w:rPr>
        <w:br w:type="page"/>
      </w:r>
      <w:bookmarkStart w:id="54" w:name="_Toc15396614"/>
      <w:r>
        <w:rPr>
          <w:rFonts w:hint="eastAsia" w:ascii="黑体" w:hAnsi="黑体" w:eastAsia="黑体" w:cs="黑体"/>
          <w:color w:val="000000" w:themeColor="text1"/>
          <w:sz w:val="44"/>
          <w:szCs w:val="44"/>
          <w14:textFill>
            <w14:solidFill>
              <w14:schemeClr w14:val="tx1"/>
            </w14:solidFill>
          </w14:textFill>
        </w:rPr>
        <w:t>第</w:t>
      </w:r>
      <w:r>
        <w:rPr>
          <w:rStyle w:val="24"/>
          <w:rFonts w:hint="eastAsia" w:ascii="黑体" w:hAnsi="黑体" w:eastAsia="黑体" w:cs="黑体"/>
          <w:b w:val="0"/>
          <w:color w:val="000000" w:themeColor="text1"/>
          <w:sz w:val="44"/>
          <w:szCs w:val="44"/>
          <w14:textFill>
            <w14:solidFill>
              <w14:schemeClr w14:val="tx1"/>
            </w14:solidFill>
          </w14:textFill>
        </w:rPr>
        <w:t>四部分 附件</w:t>
      </w:r>
      <w:bookmarkEnd w:id="54"/>
    </w:p>
    <w:p>
      <w:pPr>
        <w:spacing w:line="600" w:lineRule="exact"/>
        <w:jc w:val="center"/>
        <w:outlineLvl w:val="0"/>
        <w:rPr>
          <w:rStyle w:val="24"/>
          <w:rFonts w:ascii="仿宋" w:hAnsi="仿宋" w:eastAsia="仿宋" w:cs="仿宋"/>
          <w:color w:val="000000" w:themeColor="text1"/>
          <w:sz w:val="32"/>
          <w:szCs w:val="32"/>
          <w14:textFill>
            <w14:solidFill>
              <w14:schemeClr w14:val="tx1"/>
            </w14:solidFill>
          </w14:textFill>
        </w:rPr>
      </w:pPr>
    </w:p>
    <w:p>
      <w:pPr>
        <w:pStyle w:val="3"/>
        <w:rPr>
          <w:rStyle w:val="24"/>
          <w:rFonts w:ascii="仿宋" w:hAnsi="仿宋" w:eastAsia="仿宋" w:cs="仿宋"/>
          <w:b w:val="0"/>
          <w:bCs w:val="0"/>
          <w:color w:val="000000" w:themeColor="text1"/>
          <w:sz w:val="32"/>
          <w:szCs w:val="32"/>
          <w14:textFill>
            <w14:solidFill>
              <w14:schemeClr w14:val="tx1"/>
            </w14:solidFill>
          </w14:textFill>
        </w:rPr>
      </w:pPr>
      <w:bookmarkStart w:id="55" w:name="_Toc15396615"/>
      <w:r>
        <w:rPr>
          <w:rStyle w:val="24"/>
          <w:rFonts w:hint="eastAsia" w:ascii="仿宋" w:hAnsi="仿宋" w:eastAsia="仿宋" w:cs="仿宋"/>
          <w:b w:val="0"/>
          <w:bCs w:val="0"/>
          <w:color w:val="000000" w:themeColor="text1"/>
          <w:sz w:val="32"/>
          <w:szCs w:val="32"/>
          <w14:textFill>
            <w14:solidFill>
              <w14:schemeClr w14:val="tx1"/>
            </w14:solidFill>
          </w14:textFill>
        </w:rPr>
        <w:t>附件1</w:t>
      </w:r>
      <w:bookmarkEnd w:id="55"/>
    </w:p>
    <w:p>
      <w:pPr>
        <w:spacing w:line="600" w:lineRule="exact"/>
        <w:jc w:val="center"/>
        <w:outlineLvl w:val="0"/>
        <w:rPr>
          <w:rFonts w:ascii="黑体" w:hAnsi="黑体" w:eastAsia="黑体" w:cs="黑体"/>
          <w:color w:val="000000" w:themeColor="text1"/>
          <w:sz w:val="32"/>
          <w:szCs w:val="32"/>
          <w:shd w:val="clear" w:color="auto" w:fill="FFFFFF"/>
          <w14:textFill>
            <w14:solidFill>
              <w14:schemeClr w14:val="tx1"/>
            </w14:solidFill>
          </w14:textFill>
        </w:rPr>
      </w:pPr>
      <w:bookmarkStart w:id="56" w:name="_Toc15396616"/>
      <w:r>
        <w:rPr>
          <w:rFonts w:hint="eastAsia" w:ascii="黑体" w:hAnsi="黑体" w:eastAsia="黑体" w:cs="黑体"/>
          <w:color w:val="000000" w:themeColor="text1"/>
          <w:sz w:val="32"/>
          <w:szCs w:val="32"/>
          <w:shd w:val="clear" w:color="auto" w:fill="FFFFFF"/>
          <w14:textFill>
            <w14:solidFill>
              <w14:schemeClr w14:val="tx1"/>
            </w14:solidFill>
          </w14:textFill>
        </w:rPr>
        <w:t>井研县安全生产监督管理局</w:t>
      </w:r>
    </w:p>
    <w:p>
      <w:pPr>
        <w:spacing w:line="600" w:lineRule="exact"/>
        <w:jc w:val="center"/>
        <w:outlineLvl w:val="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2018年部门整体支出绩效评价报告</w:t>
      </w:r>
      <w:bookmarkEnd w:id="56"/>
    </w:p>
    <w:p>
      <w:pPr>
        <w:spacing w:line="580" w:lineRule="exact"/>
        <w:ind w:firstLine="640" w:firstLineChars="200"/>
        <w:rPr>
          <w:rFonts w:ascii="黑体" w:hAnsi="黑体" w:eastAsia="黑体" w:cs="黑体"/>
          <w:color w:val="000000" w:themeColor="text1"/>
          <w:sz w:val="32"/>
          <w:szCs w:val="32"/>
          <w14:textFill>
            <w14:solidFill>
              <w14:schemeClr w14:val="tx1"/>
            </w14:solidFill>
          </w14:textFill>
        </w:rPr>
      </w:pPr>
    </w:p>
    <w:p>
      <w:pPr>
        <w:spacing w:line="600" w:lineRule="exact"/>
        <w:ind w:firstLine="707" w:firstLineChars="221"/>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一、部门概况</w:t>
      </w:r>
    </w:p>
    <w:p>
      <w:pPr>
        <w:spacing w:line="600" w:lineRule="exact"/>
        <w:ind w:firstLine="707" w:firstLineChars="221"/>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（一）机构组成</w:t>
      </w:r>
      <w:r>
        <w:rPr>
          <w:rFonts w:hint="eastAsia" w:ascii="仿宋" w:hAnsi="仿宋" w:eastAsia="仿宋" w:cs="仿宋"/>
          <w:color w:val="000000" w:themeColor="text1"/>
          <w:sz w:val="32"/>
          <w:szCs w:val="32"/>
          <w14:textFill>
            <w14:solidFill>
              <w14:schemeClr w14:val="tx1"/>
            </w14:solidFill>
          </w14:textFill>
        </w:rPr>
        <w:t>：局办公室、综合监管股、职业卫生监管股、安全生产监察执法大队。</w:t>
      </w:r>
    </w:p>
    <w:p>
      <w:pPr>
        <w:spacing w:line="600" w:lineRule="exact"/>
        <w:ind w:firstLine="707" w:firstLineChars="221"/>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（二）机构职能</w:t>
      </w:r>
      <w:r>
        <w:rPr>
          <w:rFonts w:hint="eastAsia" w:ascii="仿宋" w:hAnsi="仿宋" w:eastAsia="仿宋" w:cs="仿宋"/>
          <w:color w:val="000000" w:themeColor="text1"/>
          <w:sz w:val="32"/>
          <w:szCs w:val="32"/>
          <w14:textFill>
            <w14:solidFill>
              <w14:schemeClr w14:val="tx1"/>
            </w14:solidFill>
          </w14:textFill>
        </w:rPr>
        <w:t>：负责贯彻执行国家安全生产的法律、法规和政策等；承担县政府安全生产综合管理责任，依法行使安全生产综合监督管理职责等；承担安全生产综合监督管理责任，依法监督检查负有安全生产监管职责的部门、乡镇人民政府贯彻执行安全生产法律法规情况等；负责危险化学品、非煤矿山、冶金和烟花爆竹行业安全生产监督管理工作；负责职业病防治相关工作；负责生产责任事故调查处理工作。</w:t>
      </w:r>
    </w:p>
    <w:p>
      <w:pPr>
        <w:spacing w:line="600" w:lineRule="exact"/>
        <w:ind w:firstLine="707" w:firstLineChars="221"/>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（三）人员概况</w:t>
      </w:r>
      <w:r>
        <w:rPr>
          <w:rFonts w:hint="eastAsia" w:ascii="仿宋" w:hAnsi="仿宋" w:eastAsia="仿宋" w:cs="仿宋"/>
          <w:color w:val="000000" w:themeColor="text1"/>
          <w:sz w:val="32"/>
          <w:szCs w:val="32"/>
          <w14:textFill>
            <w14:solidFill>
              <w14:schemeClr w14:val="tx1"/>
            </w14:solidFill>
          </w14:textFill>
        </w:rPr>
        <w:t>：县安监局有编制15人，其中行政编制7人（含工勤编制1人）；参公编制8人。</w:t>
      </w:r>
    </w:p>
    <w:p>
      <w:pPr>
        <w:pStyle w:val="29"/>
        <w:numPr>
          <w:ilvl w:val="0"/>
          <w:numId w:val="0"/>
        </w:numPr>
        <w:ind w:firstLine="960" w:firstLineChars="300"/>
        <w:rPr>
          <w:rFonts w:ascii="仿宋" w:hAnsi="仿宋" w:eastAsia="仿宋" w:cs="仿宋"/>
          <w:color w:val="000000" w:themeColor="text1"/>
          <w:shd w:val="clear" w:color="auto" w:fill="FFFFFF"/>
          <w14:textFill>
            <w14:solidFill>
              <w14:schemeClr w14:val="tx1"/>
            </w14:solidFill>
          </w14:textFill>
        </w:rPr>
      </w:pPr>
      <w:r>
        <w:rPr>
          <w:rFonts w:hint="eastAsia" w:ascii="黑体" w:hAnsi="黑体" w:eastAsia="黑体" w:cs="黑体"/>
          <w:color w:val="000000" w:themeColor="text1"/>
          <w:lang w:val="zh-CN"/>
          <w14:textFill>
            <w14:solidFill>
              <w14:schemeClr w14:val="tx1"/>
            </w14:solidFill>
          </w14:textFill>
        </w:rPr>
        <w:t>二、</w:t>
      </w:r>
      <w:r>
        <w:rPr>
          <w:rFonts w:hint="eastAsia" w:ascii="黑体" w:hAnsi="黑体" w:eastAsia="黑体" w:cs="黑体"/>
          <w:color w:val="000000" w:themeColor="text1"/>
          <w:shd w:val="clear" w:color="auto" w:fill="FFFFFF"/>
          <w14:textFill>
            <w14:solidFill>
              <w14:schemeClr w14:val="tx1"/>
            </w14:solidFill>
          </w14:textFill>
        </w:rPr>
        <w:t>部门财政资金收支情况</w:t>
      </w:r>
    </w:p>
    <w:p>
      <w:pPr>
        <w:spacing w:line="600" w:lineRule="exact"/>
        <w:ind w:firstLine="960" w:firstLineChars="30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(一)部门财政资金收入情况</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1.工资福利收入预算 1,811,178.48元，其中：工资津贴收入预算 1422639.8元，社会保险收入预算 388538.64元。 </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2.商品服务支出收入预算 687,575.66元。其中：办公费收入预算 51,092.26元，印刷费收入预算133,690.00元，电费收入预算15,569.89元，邮电费收入预算28,203.31，差旅费收入预算65,961.00，维修费收入预算12350.00元，租赁费收入预算97,000.00，会议费收入预算13,590.00，培训费收入预算54,886.20，公务接待费收入预算9,708.00，工会经费收入预算 11578元，公务车运行费收入预算 27,658.00，交通补贴收入预算138339元，其他商品和服务收入预算27,950.00。</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共计全年财政拨款收入预算 2,498,814.14元。</w:t>
      </w:r>
    </w:p>
    <w:p>
      <w:pPr>
        <w:spacing w:line="600" w:lineRule="exact"/>
        <w:ind w:firstLine="566" w:firstLineChars="177"/>
        <w:rPr>
          <w:rFonts w:ascii="仿宋" w:hAnsi="仿宋" w:eastAsia="仿宋" w:cs="仿宋"/>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（二）部门财政资金支出情况</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工资福利支出预算 1,811,178.48元，其中：工资津贴支出预算 1422639.8元，社会保险支出预算 388538.64元。</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2.商品服务支出预算 687,575.66元。其中：办公费支出预算 51,092.26元，印刷费支出预算133,690.00元，电费支出预算15,569.89元，邮电费支出预算28,203.31，差旅费支出预算65,961.00，维修费支出预算12350.00元，租赁费支出预算97,000.00，会议费支出预算13,590.00，培训费支出预算54,886.20，公务接待费支出预算9,708.00，工会经费支出预算 11578元，公务车运行费支出预算 27,658.00，交通补贴支出预算138339元，其他商品和服务支出预算27,950.00。</w:t>
      </w:r>
    </w:p>
    <w:p>
      <w:pPr>
        <w:spacing w:line="600" w:lineRule="exact"/>
        <w:ind w:firstLine="566" w:firstLineChars="177"/>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共计全年财政拨款支出预算 2,498,814.14元。</w:t>
      </w:r>
    </w:p>
    <w:p>
      <w:pPr>
        <w:spacing w:line="600" w:lineRule="exact"/>
        <w:ind w:firstLine="640" w:firstLineChars="200"/>
        <w:rPr>
          <w:rFonts w:hint="eastAsia" w:ascii="黑体" w:hAnsi="黑体" w:eastAsia="黑体" w:cs="黑体"/>
          <w:bCs/>
          <w:color w:val="000000" w:themeColor="text1"/>
          <w:sz w:val="32"/>
          <w:szCs w:val="32"/>
          <w:lang w:val="zh-CN"/>
          <w14:textFill>
            <w14:solidFill>
              <w14:schemeClr w14:val="tx1"/>
            </w14:solidFill>
          </w14:textFill>
        </w:rPr>
      </w:pPr>
      <w:r>
        <w:rPr>
          <w:rFonts w:hint="eastAsia" w:ascii="黑体" w:hAnsi="黑体" w:eastAsia="黑体" w:cs="黑体"/>
          <w:bCs/>
          <w:color w:val="000000" w:themeColor="text1"/>
          <w:sz w:val="32"/>
          <w:szCs w:val="32"/>
          <w:lang w:val="zh-CN"/>
          <w14:textFill>
            <w14:solidFill>
              <w14:schemeClr w14:val="tx1"/>
            </w14:solidFill>
          </w14:textFill>
        </w:rPr>
        <w:t>三、部门财政支出管理情况</w:t>
      </w:r>
    </w:p>
    <w:p>
      <w:pPr>
        <w:spacing w:line="600" w:lineRule="exact"/>
        <w:ind w:firstLine="563" w:firstLineChars="176"/>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（一）预决算编制情况。</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1.科学编制预算。以零基预算方式，结合单位实际情况，科学编制部门预算。不多编，不漏编，不虚编，不搞赤字预算。</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2.专项业务编制细化。结合井研县安监局特殊工作性质细化专项业务，把误餐费、目标考核等专项支出单独预算，将邮电费、窗口办公费、水电费等日常性专用支出综合编制预算，做到预算与实际工作完全相符。</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3.加强预算管理。每月向领导汇报预算执行进度，根据执行进度调整预算执行安排，确保全年预算支出平衡，不超支，不欠账。</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4.强化结余管理。对当年未安排的结余资金，明确下年具体用途和时间，进行安排使用。</w:t>
      </w:r>
    </w:p>
    <w:p>
      <w:pPr>
        <w:spacing w:line="600" w:lineRule="exact"/>
        <w:ind w:firstLine="563" w:firstLineChars="176"/>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（二）执行管理情况。</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强化预算执行管理，定期汇总分析，按时向领导汇报预算执行进度，根据执行进度合理调整预算安排，确保全年预算收支平衡，全年预算执行进度良好。</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全年无中期评估调整取消资金，同时，我单位加强对水、电、气、油的使用管理，扎实做好节能降耗工作。</w:t>
      </w:r>
    </w:p>
    <w:p>
      <w:pPr>
        <w:spacing w:line="600" w:lineRule="exact"/>
        <w:ind w:firstLine="640" w:firstLineChars="200"/>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（三）综合管理情况。</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1.资产管理上，及时录入资产变动信息，保证账、卡、物一致，定期开展资产清查，完成清查工作。</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2.内控管理上，建立符合本单位实际情况的内控管理制度并严格遵守，明确内控相关责任人员及责任归属，做到财务预算有依据、收支有标准、控制有制度，使财务工作科学化、规范化、制度化。</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3.信息公开上，落实专人及时、全面、准确按县财政局统一安排部署，对部门预决算及绩效评价等信息进行公开。</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4.依法接受财政监督，积极配合各级部门监督检查。</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5.县安监局无政府性债务、非税收入、2018年无政府采购实施计划。</w:t>
      </w:r>
    </w:p>
    <w:p>
      <w:pPr>
        <w:spacing w:line="600" w:lineRule="exact"/>
        <w:ind w:firstLine="563" w:firstLineChars="176"/>
        <w:rPr>
          <w:rFonts w:hint="eastAsia" w:ascii="楷体" w:hAnsi="楷体" w:eastAsia="楷体" w:cs="楷体"/>
          <w:b w:val="0"/>
          <w:bCs/>
          <w:color w:val="000000" w:themeColor="text1"/>
          <w:sz w:val="32"/>
          <w:szCs w:val="32"/>
          <w14:textFill>
            <w14:solidFill>
              <w14:schemeClr w14:val="tx1"/>
            </w14:solidFill>
          </w14:textFill>
        </w:rPr>
      </w:pPr>
      <w:r>
        <w:rPr>
          <w:rFonts w:hint="eastAsia" w:ascii="楷体" w:hAnsi="楷体" w:eastAsia="楷体" w:cs="楷体"/>
          <w:b w:val="0"/>
          <w:bCs/>
          <w:color w:val="000000" w:themeColor="text1"/>
          <w:sz w:val="32"/>
          <w:szCs w:val="32"/>
          <w14:textFill>
            <w14:solidFill>
              <w14:schemeClr w14:val="tx1"/>
            </w14:solidFill>
          </w14:textFill>
        </w:rPr>
        <w:t>（四）整体绩效。</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1.行政运转保障。全年安排的财政预算经费基本能保障机关的正常运转。</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预算支出厉行节约。一是严格执行《党政机关厉行节约反对浪费条例》，不到高档地方搞接待，不上高档烟酒，不上野味，不送土特产；二是严防“四风”。不搞享乐主义、形式主义、官僚主义、奢糜之风，求真务实；三是严控会议费。能不开会的就不开，能合开的会议就合开，会议餐的安排以工作餐为主，不超标，不加人；四是严格控制接待费。对来人单位的接待以工作餐为主，不上野味、高档菜、高档烟酒，不超规格接待，不扩大接待范围，不扩大陪同接待人数；五是严格控制公车运行费。不新购置公务用车，在公车编制内用车，定点加油，定点保险，定点维修。</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3.机关节能降耗。大力推进机关节能减排工作，将局机关的灯全部换为节能灯，安装抽水水箱，空调按规定开启。</w:t>
      </w:r>
    </w:p>
    <w:p>
      <w:pPr>
        <w:spacing w:line="600" w:lineRule="exact"/>
        <w:ind w:firstLine="563" w:firstLineChars="176"/>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专项经费专款专用。建立严格的专项资金管理制度，制定了惠民帮扶资金管理办法，规范惠民帮扶资金的使用范围和程序，惠民帮扶资金全部用于帮助困难群体和困难群众提供产业扶持，每笔开支都经过申报——审核——现场抽查——集体讨论——公示等程序，做到专款专用，通过惠民帮扶资金的帮扶，帮助解决了部分困难群众的生活困难问题，帮助困难户发展种养业脱贫致富，取得了良好的社会和经济效益。</w:t>
      </w:r>
    </w:p>
    <w:p>
      <w:pPr>
        <w:spacing w:line="600" w:lineRule="exact"/>
        <w:ind w:firstLine="563" w:firstLineChars="176"/>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四、评价结论及建议</w:t>
      </w:r>
    </w:p>
    <w:p>
      <w:pPr>
        <w:pStyle w:val="30"/>
        <w:numPr>
          <w:ilvl w:val="0"/>
          <w:numId w:val="0"/>
        </w:numPr>
        <w:ind w:firstLine="640" w:firstLineChars="200"/>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shd w:val="clear" w:color="auto" w:fill="FFFFFF"/>
          <w:lang w:val="en-US"/>
          <w14:textFill>
            <w14:solidFill>
              <w14:schemeClr w14:val="tx1"/>
            </w14:solidFill>
          </w14:textFill>
        </w:rPr>
        <w:t>通过对2018年井研县安监局预算支出的评估，认为井研县安监局财务管理制度健全，会计核算到位，支出合理合规，不存在乱用、滥用的情况，通过财政安排的预算支出，保证了安监局机关工作的正常开展；保证了全县安全生产工作的开展，树立了良好的政府形象</w:t>
      </w:r>
      <w:r>
        <w:rPr>
          <w:rFonts w:hint="eastAsia" w:ascii="仿宋" w:hAnsi="仿宋" w:eastAsia="仿宋" w:cs="仿宋"/>
          <w:color w:val="000000" w:themeColor="text1"/>
          <w:szCs w:val="32"/>
          <w14:textFill>
            <w14:solidFill>
              <w14:schemeClr w14:val="tx1"/>
            </w14:solidFill>
          </w14:textFill>
        </w:rPr>
        <w:t>。</w:t>
      </w:r>
    </w:p>
    <w:p>
      <w:pPr>
        <w:pStyle w:val="30"/>
        <w:numPr>
          <w:ilvl w:val="0"/>
          <w:numId w:val="0"/>
        </w:numPr>
        <w:ind w:left="142" w:firstLine="640" w:firstLineChars="200"/>
        <w:rPr>
          <w:rFonts w:ascii="仿宋" w:hAnsi="仿宋" w:eastAsia="仿宋" w:cs="仿宋"/>
          <w:color w:val="000000" w:themeColor="text1"/>
          <w:szCs w:val="32"/>
          <w:shd w:val="clear" w:color="auto" w:fill="FFFFFF"/>
          <w:lang w:val="en-US"/>
          <w14:textFill>
            <w14:solidFill>
              <w14:schemeClr w14:val="tx1"/>
            </w14:solidFill>
          </w14:textFill>
        </w:rPr>
      </w:pPr>
      <w:r>
        <w:rPr>
          <w:rFonts w:hint="eastAsia" w:ascii="仿宋" w:hAnsi="仿宋" w:eastAsia="仿宋" w:cs="仿宋"/>
          <w:color w:val="000000" w:themeColor="text1"/>
          <w:szCs w:val="32"/>
          <w:shd w:val="clear" w:color="auto" w:fill="FFFFFF"/>
          <w14:textFill>
            <w14:solidFill>
              <w14:schemeClr w14:val="tx1"/>
            </w14:solidFill>
          </w14:textFill>
        </w:rPr>
        <w:t>改进建议：</w:t>
      </w:r>
      <w:r>
        <w:rPr>
          <w:rFonts w:hint="eastAsia" w:ascii="仿宋" w:hAnsi="仿宋" w:eastAsia="仿宋" w:cs="仿宋"/>
          <w:color w:val="000000" w:themeColor="text1"/>
          <w:szCs w:val="32"/>
          <w:shd w:val="clear" w:color="auto" w:fill="FFFFFF"/>
          <w:lang w:val="en-US"/>
          <w14:textFill>
            <w14:solidFill>
              <w14:schemeClr w14:val="tx1"/>
            </w14:solidFill>
          </w14:textFill>
        </w:rPr>
        <w:t>进行专项培训，加强监督管理。</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p>
    <w:p>
      <w:pPr>
        <w:widowControl/>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br w:type="page"/>
      </w:r>
    </w:p>
    <w:p>
      <w:pPr>
        <w:spacing w:line="600" w:lineRule="exact"/>
        <w:jc w:val="center"/>
        <w:outlineLvl w:val="0"/>
        <w:rPr>
          <w:rStyle w:val="24"/>
          <w:rFonts w:ascii="仿宋" w:hAnsi="仿宋" w:eastAsia="仿宋" w:cs="仿宋"/>
          <w:b w:val="0"/>
          <w:color w:val="000000" w:themeColor="text1"/>
          <w:sz w:val="32"/>
          <w:szCs w:val="32"/>
          <w14:textFill>
            <w14:solidFill>
              <w14:schemeClr w14:val="tx1"/>
            </w14:solidFill>
          </w14:textFill>
        </w:rPr>
      </w:pPr>
      <w:bookmarkStart w:id="57" w:name="_Toc15396618"/>
      <w:r>
        <w:rPr>
          <w:rFonts w:hint="eastAsia" w:ascii="仿宋" w:hAnsi="仿宋" w:eastAsia="仿宋" w:cs="仿宋"/>
          <w:color w:val="000000" w:themeColor="text1"/>
          <w:sz w:val="32"/>
          <w:szCs w:val="32"/>
          <w14:textFill>
            <w14:solidFill>
              <w14:schemeClr w14:val="tx1"/>
            </w14:solidFill>
          </w14:textFill>
        </w:rPr>
        <w:t>第</w:t>
      </w:r>
      <w:r>
        <w:rPr>
          <w:rStyle w:val="24"/>
          <w:rFonts w:hint="eastAsia" w:ascii="仿宋" w:hAnsi="仿宋" w:eastAsia="仿宋" w:cs="仿宋"/>
          <w:b w:val="0"/>
          <w:color w:val="000000" w:themeColor="text1"/>
          <w:sz w:val="32"/>
          <w:szCs w:val="32"/>
          <w14:textFill>
            <w14:solidFill>
              <w14:schemeClr w14:val="tx1"/>
            </w14:solidFill>
          </w14:textFill>
        </w:rPr>
        <w:t>五部分 附表</w:t>
      </w:r>
      <w:bookmarkEnd w:id="53"/>
      <w:bookmarkEnd w:id="57"/>
    </w:p>
    <w:p>
      <w:pPr>
        <w:spacing w:line="600" w:lineRule="exact"/>
        <w:jc w:val="center"/>
        <w:outlineLvl w:val="0"/>
        <w:rPr>
          <w:rFonts w:ascii="仿宋" w:hAnsi="仿宋" w:eastAsia="仿宋" w:cs="仿宋"/>
          <w:b/>
          <w:color w:val="000000" w:themeColor="text1"/>
          <w:sz w:val="32"/>
          <w:szCs w:val="32"/>
          <w14:textFill>
            <w14:solidFill>
              <w14:schemeClr w14:val="tx1"/>
            </w14:solidFill>
          </w14:textFill>
        </w:rPr>
      </w:pPr>
    </w:p>
    <w:p>
      <w:pPr>
        <w:pStyle w:val="3"/>
        <w:rPr>
          <w:rFonts w:ascii="仿宋" w:hAnsi="仿宋" w:eastAsia="仿宋" w:cs="仿宋"/>
          <w:color w:val="000000" w:themeColor="text1"/>
          <w14:textFill>
            <w14:solidFill>
              <w14:schemeClr w14:val="tx1"/>
            </w14:solidFill>
          </w14:textFill>
        </w:rPr>
      </w:pPr>
      <w:bookmarkStart w:id="58" w:name="_Toc15396619"/>
      <w:r>
        <w:rPr>
          <w:rFonts w:hint="eastAsia" w:ascii="仿宋" w:hAnsi="仿宋" w:eastAsia="仿宋" w:cs="仿宋"/>
          <w:b w:val="0"/>
          <w:color w:val="000000" w:themeColor="text1"/>
          <w14:textFill>
            <w14:solidFill>
              <w14:schemeClr w14:val="tx1"/>
            </w14:solidFill>
          </w14:textFill>
        </w:rPr>
        <w:t>一、收</w:t>
      </w:r>
      <w:r>
        <w:rPr>
          <w:rStyle w:val="25"/>
          <w:rFonts w:hint="eastAsia" w:ascii="仿宋" w:hAnsi="仿宋" w:eastAsia="仿宋" w:cs="仿宋"/>
          <w:b w:val="0"/>
          <w:bCs w:val="0"/>
          <w:color w:val="000000" w:themeColor="text1"/>
          <w14:textFill>
            <w14:solidFill>
              <w14:schemeClr w14:val="tx1"/>
            </w14:solidFill>
          </w14:textFill>
        </w:rPr>
        <w:t>入支出决算总表</w:t>
      </w:r>
      <w:bookmarkEnd w:id="58"/>
    </w:p>
    <w:p>
      <w:pPr>
        <w:pStyle w:val="3"/>
        <w:rPr>
          <w:rFonts w:ascii="仿宋" w:hAnsi="仿宋" w:eastAsia="仿宋" w:cs="仿宋"/>
          <w:color w:val="000000" w:themeColor="text1"/>
          <w14:textFill>
            <w14:solidFill>
              <w14:schemeClr w14:val="tx1"/>
            </w14:solidFill>
          </w14:textFill>
        </w:rPr>
      </w:pPr>
      <w:bookmarkStart w:id="59" w:name="_Toc15396620"/>
      <w:r>
        <w:rPr>
          <w:rFonts w:hint="eastAsia" w:ascii="仿宋" w:hAnsi="仿宋" w:eastAsia="仿宋" w:cs="仿宋"/>
          <w:b w:val="0"/>
          <w:color w:val="000000" w:themeColor="text1"/>
          <w14:textFill>
            <w14:solidFill>
              <w14:schemeClr w14:val="tx1"/>
            </w14:solidFill>
          </w14:textFill>
        </w:rPr>
        <w:t>二、收</w:t>
      </w:r>
      <w:r>
        <w:rPr>
          <w:rStyle w:val="25"/>
          <w:rFonts w:hint="eastAsia" w:ascii="仿宋" w:hAnsi="仿宋" w:eastAsia="仿宋" w:cs="仿宋"/>
          <w:b w:val="0"/>
          <w:bCs w:val="0"/>
          <w:color w:val="000000" w:themeColor="text1"/>
          <w14:textFill>
            <w14:solidFill>
              <w14:schemeClr w14:val="tx1"/>
            </w14:solidFill>
          </w14:textFill>
        </w:rPr>
        <w:t>入总表</w:t>
      </w:r>
      <w:bookmarkEnd w:id="59"/>
    </w:p>
    <w:p>
      <w:pPr>
        <w:pStyle w:val="3"/>
        <w:rPr>
          <w:rFonts w:ascii="仿宋" w:hAnsi="仿宋" w:eastAsia="仿宋" w:cs="仿宋"/>
          <w:color w:val="000000" w:themeColor="text1"/>
          <w14:textFill>
            <w14:solidFill>
              <w14:schemeClr w14:val="tx1"/>
            </w14:solidFill>
          </w14:textFill>
        </w:rPr>
      </w:pPr>
      <w:bookmarkStart w:id="60" w:name="_Toc15396621"/>
      <w:r>
        <w:rPr>
          <w:rStyle w:val="25"/>
          <w:rFonts w:hint="eastAsia" w:ascii="仿宋" w:hAnsi="仿宋" w:eastAsia="仿宋" w:cs="仿宋"/>
          <w:b w:val="0"/>
          <w:bCs w:val="0"/>
          <w:color w:val="000000" w:themeColor="text1"/>
          <w14:textFill>
            <w14:solidFill>
              <w14:schemeClr w14:val="tx1"/>
            </w14:solidFill>
          </w14:textFill>
        </w:rPr>
        <w:t>三、</w:t>
      </w:r>
      <w:r>
        <w:rPr>
          <w:rFonts w:hint="eastAsia" w:ascii="仿宋" w:hAnsi="仿宋" w:eastAsia="仿宋" w:cs="仿宋"/>
          <w:b w:val="0"/>
          <w:color w:val="000000" w:themeColor="text1"/>
          <w14:textFill>
            <w14:solidFill>
              <w14:schemeClr w14:val="tx1"/>
            </w14:solidFill>
          </w14:textFill>
        </w:rPr>
        <w:t>支</w:t>
      </w:r>
      <w:r>
        <w:rPr>
          <w:rStyle w:val="25"/>
          <w:rFonts w:hint="eastAsia" w:ascii="仿宋" w:hAnsi="仿宋" w:eastAsia="仿宋" w:cs="仿宋"/>
          <w:b w:val="0"/>
          <w:bCs w:val="0"/>
          <w:color w:val="000000" w:themeColor="text1"/>
          <w14:textFill>
            <w14:solidFill>
              <w14:schemeClr w14:val="tx1"/>
            </w14:solidFill>
          </w14:textFill>
        </w:rPr>
        <w:t>出总表</w:t>
      </w:r>
      <w:bookmarkEnd w:id="60"/>
    </w:p>
    <w:p>
      <w:pPr>
        <w:pStyle w:val="3"/>
        <w:rPr>
          <w:rFonts w:ascii="仿宋" w:hAnsi="仿宋" w:eastAsia="仿宋" w:cs="仿宋"/>
          <w:b w:val="0"/>
          <w:color w:val="000000" w:themeColor="text1"/>
          <w14:textFill>
            <w14:solidFill>
              <w14:schemeClr w14:val="tx1"/>
            </w14:solidFill>
          </w14:textFill>
        </w:rPr>
      </w:pPr>
      <w:bookmarkStart w:id="61" w:name="_Toc15396622"/>
      <w:r>
        <w:rPr>
          <w:rStyle w:val="25"/>
          <w:rFonts w:hint="eastAsia" w:ascii="仿宋" w:hAnsi="仿宋" w:eastAsia="仿宋" w:cs="仿宋"/>
          <w:b w:val="0"/>
          <w:bCs w:val="0"/>
          <w:color w:val="000000" w:themeColor="text1"/>
          <w14:textFill>
            <w14:solidFill>
              <w14:schemeClr w14:val="tx1"/>
            </w14:solidFill>
          </w14:textFill>
        </w:rPr>
        <w:t>四、</w:t>
      </w:r>
      <w:r>
        <w:rPr>
          <w:rFonts w:hint="eastAsia" w:ascii="仿宋" w:hAnsi="仿宋" w:eastAsia="仿宋" w:cs="仿宋"/>
          <w:b w:val="0"/>
          <w:color w:val="000000" w:themeColor="text1"/>
          <w14:textFill>
            <w14:solidFill>
              <w14:schemeClr w14:val="tx1"/>
            </w14:solidFill>
          </w14:textFill>
        </w:rPr>
        <w:t>财</w:t>
      </w:r>
      <w:r>
        <w:rPr>
          <w:rStyle w:val="25"/>
          <w:rFonts w:hint="eastAsia" w:ascii="仿宋" w:hAnsi="仿宋" w:eastAsia="仿宋" w:cs="仿宋"/>
          <w:b w:val="0"/>
          <w:bCs w:val="0"/>
          <w:color w:val="000000" w:themeColor="text1"/>
          <w14:textFill>
            <w14:solidFill>
              <w14:schemeClr w14:val="tx1"/>
            </w14:solidFill>
          </w14:textFill>
        </w:rPr>
        <w:t>政拨款收入支出决算总表</w:t>
      </w:r>
      <w:bookmarkEnd w:id="61"/>
    </w:p>
    <w:p>
      <w:pPr>
        <w:pStyle w:val="3"/>
        <w:rPr>
          <w:rFonts w:ascii="仿宋" w:hAnsi="仿宋" w:eastAsia="仿宋" w:cs="仿宋"/>
          <w:color w:val="000000" w:themeColor="text1"/>
          <w14:textFill>
            <w14:solidFill>
              <w14:schemeClr w14:val="tx1"/>
            </w14:solidFill>
          </w14:textFill>
        </w:rPr>
      </w:pPr>
      <w:bookmarkStart w:id="62" w:name="_Toc15396623"/>
      <w:r>
        <w:rPr>
          <w:rStyle w:val="25"/>
          <w:rFonts w:hint="eastAsia" w:ascii="仿宋" w:hAnsi="仿宋" w:eastAsia="仿宋" w:cs="仿宋"/>
          <w:b w:val="0"/>
          <w:bCs w:val="0"/>
          <w:color w:val="000000" w:themeColor="text1"/>
          <w14:textFill>
            <w14:solidFill>
              <w14:schemeClr w14:val="tx1"/>
            </w14:solidFill>
          </w14:textFill>
        </w:rPr>
        <w:t>五、</w:t>
      </w:r>
      <w:r>
        <w:rPr>
          <w:rFonts w:hint="eastAsia" w:ascii="仿宋" w:hAnsi="仿宋" w:eastAsia="仿宋" w:cs="仿宋"/>
          <w:b w:val="0"/>
          <w:color w:val="000000" w:themeColor="text1"/>
          <w14:textFill>
            <w14:solidFill>
              <w14:schemeClr w14:val="tx1"/>
            </w14:solidFill>
          </w14:textFill>
        </w:rPr>
        <w:t>财</w:t>
      </w:r>
      <w:r>
        <w:rPr>
          <w:rStyle w:val="25"/>
          <w:rFonts w:hint="eastAsia" w:ascii="仿宋" w:hAnsi="仿宋" w:eastAsia="仿宋" w:cs="仿宋"/>
          <w:b w:val="0"/>
          <w:bCs w:val="0"/>
          <w:color w:val="000000" w:themeColor="text1"/>
          <w14:textFill>
            <w14:solidFill>
              <w14:schemeClr w14:val="tx1"/>
            </w14:solidFill>
          </w14:textFill>
        </w:rPr>
        <w:t>政拨款支出决算明细表（政府经济分类科目）</w:t>
      </w:r>
      <w:bookmarkEnd w:id="62"/>
    </w:p>
    <w:p>
      <w:pPr>
        <w:pStyle w:val="3"/>
        <w:rPr>
          <w:rFonts w:ascii="仿宋" w:hAnsi="仿宋" w:eastAsia="仿宋" w:cs="仿宋"/>
          <w:color w:val="000000" w:themeColor="text1"/>
          <w14:textFill>
            <w14:solidFill>
              <w14:schemeClr w14:val="tx1"/>
            </w14:solidFill>
          </w14:textFill>
        </w:rPr>
      </w:pPr>
      <w:bookmarkStart w:id="63" w:name="_Toc15396624"/>
      <w:r>
        <w:rPr>
          <w:rStyle w:val="25"/>
          <w:rFonts w:hint="eastAsia" w:ascii="仿宋" w:hAnsi="仿宋" w:eastAsia="仿宋" w:cs="仿宋"/>
          <w:b w:val="0"/>
          <w:bCs w:val="0"/>
          <w:color w:val="000000" w:themeColor="text1"/>
          <w14:textFill>
            <w14:solidFill>
              <w14:schemeClr w14:val="tx1"/>
            </w14:solidFill>
          </w14:textFill>
        </w:rPr>
        <w:t>六、</w:t>
      </w:r>
      <w:r>
        <w:rPr>
          <w:rFonts w:hint="eastAsia" w:ascii="仿宋" w:hAnsi="仿宋" w:eastAsia="仿宋" w:cs="仿宋"/>
          <w:b w:val="0"/>
          <w:color w:val="000000" w:themeColor="text1"/>
          <w14:textFill>
            <w14:solidFill>
              <w14:schemeClr w14:val="tx1"/>
            </w14:solidFill>
          </w14:textFill>
        </w:rPr>
        <w:t>一</w:t>
      </w:r>
      <w:r>
        <w:rPr>
          <w:rStyle w:val="25"/>
          <w:rFonts w:hint="eastAsia" w:ascii="仿宋" w:hAnsi="仿宋" w:eastAsia="仿宋" w:cs="仿宋"/>
          <w:b w:val="0"/>
          <w:bCs w:val="0"/>
          <w:color w:val="000000" w:themeColor="text1"/>
          <w14:textFill>
            <w14:solidFill>
              <w14:schemeClr w14:val="tx1"/>
            </w14:solidFill>
          </w14:textFill>
        </w:rPr>
        <w:t>般公共预算财政拨款支出决算表</w:t>
      </w:r>
      <w:bookmarkEnd w:id="63"/>
    </w:p>
    <w:p>
      <w:pPr>
        <w:pStyle w:val="3"/>
        <w:rPr>
          <w:rFonts w:ascii="仿宋" w:hAnsi="仿宋" w:eastAsia="仿宋" w:cs="仿宋"/>
          <w:color w:val="000000" w:themeColor="text1"/>
          <w14:textFill>
            <w14:solidFill>
              <w14:schemeClr w14:val="tx1"/>
            </w14:solidFill>
          </w14:textFill>
        </w:rPr>
      </w:pPr>
      <w:bookmarkStart w:id="64" w:name="_Toc15396625"/>
      <w:r>
        <w:rPr>
          <w:rStyle w:val="25"/>
          <w:rFonts w:hint="eastAsia" w:ascii="仿宋" w:hAnsi="仿宋" w:eastAsia="仿宋" w:cs="仿宋"/>
          <w:b w:val="0"/>
          <w:bCs w:val="0"/>
          <w:color w:val="000000" w:themeColor="text1"/>
          <w14:textFill>
            <w14:solidFill>
              <w14:schemeClr w14:val="tx1"/>
            </w14:solidFill>
          </w14:textFill>
        </w:rPr>
        <w:t>七、</w:t>
      </w:r>
      <w:r>
        <w:rPr>
          <w:rFonts w:hint="eastAsia" w:ascii="仿宋" w:hAnsi="仿宋" w:eastAsia="仿宋" w:cs="仿宋"/>
          <w:b w:val="0"/>
          <w:color w:val="000000" w:themeColor="text1"/>
          <w14:textFill>
            <w14:solidFill>
              <w14:schemeClr w14:val="tx1"/>
            </w14:solidFill>
          </w14:textFill>
        </w:rPr>
        <w:t>一</w:t>
      </w:r>
      <w:r>
        <w:rPr>
          <w:rStyle w:val="25"/>
          <w:rFonts w:hint="eastAsia" w:ascii="仿宋" w:hAnsi="仿宋" w:eastAsia="仿宋" w:cs="仿宋"/>
          <w:b w:val="0"/>
          <w:bCs w:val="0"/>
          <w:color w:val="000000" w:themeColor="text1"/>
          <w14:textFill>
            <w14:solidFill>
              <w14:schemeClr w14:val="tx1"/>
            </w14:solidFill>
          </w14:textFill>
        </w:rPr>
        <w:t>般公共预算财政拨款支出决算明细表</w:t>
      </w:r>
      <w:bookmarkEnd w:id="64"/>
    </w:p>
    <w:p>
      <w:pPr>
        <w:pStyle w:val="3"/>
        <w:rPr>
          <w:rFonts w:ascii="仿宋" w:hAnsi="仿宋" w:eastAsia="仿宋" w:cs="仿宋"/>
          <w:color w:val="000000" w:themeColor="text1"/>
          <w14:textFill>
            <w14:solidFill>
              <w14:schemeClr w14:val="tx1"/>
            </w14:solidFill>
          </w14:textFill>
        </w:rPr>
      </w:pPr>
      <w:bookmarkStart w:id="65" w:name="_Toc15396626"/>
      <w:r>
        <w:rPr>
          <w:rStyle w:val="25"/>
          <w:rFonts w:hint="eastAsia" w:ascii="仿宋" w:hAnsi="仿宋" w:eastAsia="仿宋" w:cs="仿宋"/>
          <w:b w:val="0"/>
          <w:bCs w:val="0"/>
          <w:color w:val="000000" w:themeColor="text1"/>
          <w14:textFill>
            <w14:solidFill>
              <w14:schemeClr w14:val="tx1"/>
            </w14:solidFill>
          </w14:textFill>
        </w:rPr>
        <w:t>八、</w:t>
      </w:r>
      <w:r>
        <w:rPr>
          <w:rFonts w:hint="eastAsia" w:ascii="仿宋" w:hAnsi="仿宋" w:eastAsia="仿宋" w:cs="仿宋"/>
          <w:b w:val="0"/>
          <w:color w:val="000000" w:themeColor="text1"/>
          <w14:textFill>
            <w14:solidFill>
              <w14:schemeClr w14:val="tx1"/>
            </w14:solidFill>
          </w14:textFill>
        </w:rPr>
        <w:t>一</w:t>
      </w:r>
      <w:r>
        <w:rPr>
          <w:rStyle w:val="25"/>
          <w:rFonts w:hint="eastAsia" w:ascii="仿宋" w:hAnsi="仿宋" w:eastAsia="仿宋" w:cs="仿宋"/>
          <w:b w:val="0"/>
          <w:bCs w:val="0"/>
          <w:color w:val="000000" w:themeColor="text1"/>
          <w14:textFill>
            <w14:solidFill>
              <w14:schemeClr w14:val="tx1"/>
            </w14:solidFill>
          </w14:textFill>
        </w:rPr>
        <w:t>般公共预算财政拨款基本支出决算表</w:t>
      </w:r>
      <w:bookmarkEnd w:id="65"/>
    </w:p>
    <w:p>
      <w:pPr>
        <w:pStyle w:val="3"/>
        <w:rPr>
          <w:rFonts w:ascii="仿宋" w:hAnsi="仿宋" w:eastAsia="仿宋" w:cs="仿宋"/>
          <w:color w:val="000000" w:themeColor="text1"/>
          <w14:textFill>
            <w14:solidFill>
              <w14:schemeClr w14:val="tx1"/>
            </w14:solidFill>
          </w14:textFill>
        </w:rPr>
      </w:pPr>
      <w:bookmarkStart w:id="66" w:name="_Toc15396627"/>
      <w:r>
        <w:rPr>
          <w:rStyle w:val="25"/>
          <w:rFonts w:hint="eastAsia" w:ascii="仿宋" w:hAnsi="仿宋" w:eastAsia="仿宋" w:cs="仿宋"/>
          <w:b w:val="0"/>
          <w:bCs w:val="0"/>
          <w:color w:val="000000" w:themeColor="text1"/>
          <w14:textFill>
            <w14:solidFill>
              <w14:schemeClr w14:val="tx1"/>
            </w14:solidFill>
          </w14:textFill>
        </w:rPr>
        <w:t>九、</w:t>
      </w:r>
      <w:r>
        <w:rPr>
          <w:rFonts w:hint="eastAsia" w:ascii="仿宋" w:hAnsi="仿宋" w:eastAsia="仿宋" w:cs="仿宋"/>
          <w:b w:val="0"/>
          <w:color w:val="000000" w:themeColor="text1"/>
          <w14:textFill>
            <w14:solidFill>
              <w14:schemeClr w14:val="tx1"/>
            </w14:solidFill>
          </w14:textFill>
        </w:rPr>
        <w:t>一</w:t>
      </w:r>
      <w:r>
        <w:rPr>
          <w:rStyle w:val="25"/>
          <w:rFonts w:hint="eastAsia" w:ascii="仿宋" w:hAnsi="仿宋" w:eastAsia="仿宋" w:cs="仿宋"/>
          <w:b w:val="0"/>
          <w:bCs w:val="0"/>
          <w:color w:val="000000" w:themeColor="text1"/>
          <w14:textFill>
            <w14:solidFill>
              <w14:schemeClr w14:val="tx1"/>
            </w14:solidFill>
          </w14:textFill>
        </w:rPr>
        <w:t>般公共预算财政拨款项目支出决算表</w:t>
      </w:r>
      <w:bookmarkEnd w:id="66"/>
    </w:p>
    <w:p>
      <w:pPr>
        <w:pStyle w:val="3"/>
        <w:rPr>
          <w:rFonts w:ascii="仿宋" w:hAnsi="仿宋" w:eastAsia="仿宋" w:cs="仿宋"/>
          <w:color w:val="000000" w:themeColor="text1"/>
          <w14:textFill>
            <w14:solidFill>
              <w14:schemeClr w14:val="tx1"/>
            </w14:solidFill>
          </w14:textFill>
        </w:rPr>
      </w:pPr>
      <w:bookmarkStart w:id="67" w:name="_Toc15396628"/>
      <w:r>
        <w:rPr>
          <w:rStyle w:val="25"/>
          <w:rFonts w:hint="eastAsia" w:ascii="仿宋" w:hAnsi="仿宋" w:eastAsia="仿宋" w:cs="仿宋"/>
          <w:b w:val="0"/>
          <w:bCs w:val="0"/>
          <w:color w:val="000000" w:themeColor="text1"/>
          <w14:textFill>
            <w14:solidFill>
              <w14:schemeClr w14:val="tx1"/>
            </w14:solidFill>
          </w14:textFill>
        </w:rPr>
        <w:t>十、</w:t>
      </w:r>
      <w:r>
        <w:rPr>
          <w:rFonts w:hint="eastAsia" w:ascii="仿宋" w:hAnsi="仿宋" w:eastAsia="仿宋" w:cs="仿宋"/>
          <w:b w:val="0"/>
          <w:color w:val="000000" w:themeColor="text1"/>
          <w14:textFill>
            <w14:solidFill>
              <w14:schemeClr w14:val="tx1"/>
            </w14:solidFill>
          </w14:textFill>
        </w:rPr>
        <w:t>一</w:t>
      </w:r>
      <w:r>
        <w:rPr>
          <w:rStyle w:val="25"/>
          <w:rFonts w:hint="eastAsia" w:ascii="仿宋" w:hAnsi="仿宋" w:eastAsia="仿宋" w:cs="仿宋"/>
          <w:b w:val="0"/>
          <w:bCs w:val="0"/>
          <w:color w:val="000000" w:themeColor="text1"/>
          <w14:textFill>
            <w14:solidFill>
              <w14:schemeClr w14:val="tx1"/>
            </w14:solidFill>
          </w14:textFill>
        </w:rPr>
        <w:t>般公共预算财政拨款“三公”经费支出决算表</w:t>
      </w:r>
      <w:bookmarkEnd w:id="67"/>
    </w:p>
    <w:p>
      <w:pPr>
        <w:pStyle w:val="3"/>
        <w:rPr>
          <w:rFonts w:ascii="仿宋" w:hAnsi="仿宋" w:eastAsia="仿宋" w:cs="仿宋"/>
          <w:color w:val="000000" w:themeColor="text1"/>
          <w14:textFill>
            <w14:solidFill>
              <w14:schemeClr w14:val="tx1"/>
            </w14:solidFill>
          </w14:textFill>
        </w:rPr>
      </w:pPr>
      <w:bookmarkStart w:id="68" w:name="_Toc15396629"/>
      <w:r>
        <w:rPr>
          <w:rStyle w:val="25"/>
          <w:rFonts w:hint="eastAsia" w:ascii="仿宋" w:hAnsi="仿宋" w:eastAsia="仿宋" w:cs="仿宋"/>
          <w:b w:val="0"/>
          <w:bCs w:val="0"/>
          <w:color w:val="000000" w:themeColor="text1"/>
          <w14:textFill>
            <w14:solidFill>
              <w14:schemeClr w14:val="tx1"/>
            </w14:solidFill>
          </w14:textFill>
        </w:rPr>
        <w:t>十一、</w:t>
      </w:r>
      <w:r>
        <w:rPr>
          <w:rFonts w:hint="eastAsia" w:ascii="仿宋" w:hAnsi="仿宋" w:eastAsia="仿宋" w:cs="仿宋"/>
          <w:b w:val="0"/>
          <w:color w:val="000000" w:themeColor="text1"/>
          <w14:textFill>
            <w14:solidFill>
              <w14:schemeClr w14:val="tx1"/>
            </w14:solidFill>
          </w14:textFill>
        </w:rPr>
        <w:t>政</w:t>
      </w:r>
      <w:r>
        <w:rPr>
          <w:rStyle w:val="25"/>
          <w:rFonts w:hint="eastAsia" w:ascii="仿宋" w:hAnsi="仿宋" w:eastAsia="仿宋" w:cs="仿宋"/>
          <w:b w:val="0"/>
          <w:bCs w:val="0"/>
          <w:color w:val="000000" w:themeColor="text1"/>
          <w14:textFill>
            <w14:solidFill>
              <w14:schemeClr w14:val="tx1"/>
            </w14:solidFill>
          </w14:textFill>
        </w:rPr>
        <w:t>府性基金预算财政拨款收入支出决算表</w:t>
      </w:r>
      <w:bookmarkEnd w:id="68"/>
    </w:p>
    <w:p>
      <w:pPr>
        <w:pStyle w:val="3"/>
        <w:rPr>
          <w:rFonts w:ascii="仿宋" w:hAnsi="仿宋" w:eastAsia="仿宋" w:cs="仿宋"/>
          <w:color w:val="000000" w:themeColor="text1"/>
          <w14:textFill>
            <w14:solidFill>
              <w14:schemeClr w14:val="tx1"/>
            </w14:solidFill>
          </w14:textFill>
        </w:rPr>
      </w:pPr>
      <w:bookmarkStart w:id="69" w:name="_Toc15396630"/>
      <w:r>
        <w:rPr>
          <w:rStyle w:val="25"/>
          <w:rFonts w:hint="eastAsia" w:ascii="仿宋" w:hAnsi="仿宋" w:eastAsia="仿宋" w:cs="仿宋"/>
          <w:b w:val="0"/>
          <w:bCs w:val="0"/>
          <w:color w:val="000000" w:themeColor="text1"/>
          <w14:textFill>
            <w14:solidFill>
              <w14:schemeClr w14:val="tx1"/>
            </w14:solidFill>
          </w14:textFill>
        </w:rPr>
        <w:t>十二、</w:t>
      </w:r>
      <w:r>
        <w:rPr>
          <w:rFonts w:hint="eastAsia" w:ascii="仿宋" w:hAnsi="仿宋" w:eastAsia="仿宋" w:cs="仿宋"/>
          <w:b w:val="0"/>
          <w:color w:val="000000" w:themeColor="text1"/>
          <w14:textFill>
            <w14:solidFill>
              <w14:schemeClr w14:val="tx1"/>
            </w14:solidFill>
          </w14:textFill>
        </w:rPr>
        <w:t>政</w:t>
      </w:r>
      <w:r>
        <w:rPr>
          <w:rStyle w:val="25"/>
          <w:rFonts w:hint="eastAsia" w:ascii="仿宋" w:hAnsi="仿宋" w:eastAsia="仿宋" w:cs="仿宋"/>
          <w:b w:val="0"/>
          <w:bCs w:val="0"/>
          <w:color w:val="000000" w:themeColor="text1"/>
          <w14:textFill>
            <w14:solidFill>
              <w14:schemeClr w14:val="tx1"/>
            </w14:solidFill>
          </w14:textFill>
        </w:rPr>
        <w:t>府性基金预算财政拨款“三公”经费支出决算表</w:t>
      </w:r>
      <w:bookmarkEnd w:id="69"/>
    </w:p>
    <w:p>
      <w:pPr>
        <w:pStyle w:val="3"/>
        <w:rPr>
          <w:rFonts w:ascii="仿宋" w:hAnsi="仿宋" w:eastAsia="仿宋" w:cs="仿宋"/>
          <w:color w:val="000000" w:themeColor="text1"/>
          <w14:textFill>
            <w14:solidFill>
              <w14:schemeClr w14:val="tx1"/>
            </w14:solidFill>
          </w14:textFill>
        </w:rPr>
      </w:pPr>
      <w:bookmarkStart w:id="70" w:name="_Toc15396631"/>
      <w:r>
        <w:rPr>
          <w:rStyle w:val="25"/>
          <w:rFonts w:hint="eastAsia" w:ascii="仿宋" w:hAnsi="仿宋" w:eastAsia="仿宋" w:cs="仿宋"/>
          <w:b w:val="0"/>
          <w:bCs w:val="0"/>
          <w:color w:val="000000" w:themeColor="text1"/>
          <w14:textFill>
            <w14:solidFill>
              <w14:schemeClr w14:val="tx1"/>
            </w14:solidFill>
          </w14:textFill>
        </w:rPr>
        <w:t>十三、</w:t>
      </w:r>
      <w:r>
        <w:rPr>
          <w:rFonts w:hint="eastAsia" w:ascii="仿宋" w:hAnsi="仿宋" w:eastAsia="仿宋" w:cs="仿宋"/>
          <w:b w:val="0"/>
          <w:color w:val="000000" w:themeColor="text1"/>
          <w14:textFill>
            <w14:solidFill>
              <w14:schemeClr w14:val="tx1"/>
            </w14:solidFill>
          </w14:textFill>
        </w:rPr>
        <w:t>国</w:t>
      </w:r>
      <w:r>
        <w:rPr>
          <w:rStyle w:val="25"/>
          <w:rFonts w:hint="eastAsia" w:ascii="仿宋" w:hAnsi="仿宋" w:eastAsia="仿宋" w:cs="仿宋"/>
          <w:b w:val="0"/>
          <w:bCs w:val="0"/>
          <w:color w:val="000000" w:themeColor="text1"/>
          <w14:textFill>
            <w14:solidFill>
              <w14:schemeClr w14:val="tx1"/>
            </w14:solidFill>
          </w14:textFill>
        </w:rPr>
        <w:t>有资本经营预算支出决算表</w:t>
      </w:r>
      <w:bookmarkEnd w:id="7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66677D"/>
    <w:multiLevelType w:val="singleLevel"/>
    <w:tmpl w:val="A366677D"/>
    <w:lvl w:ilvl="0" w:tentative="0">
      <w:start w:val="1"/>
      <w:numFmt w:val="decimal"/>
      <w:lvlText w:val="%1."/>
      <w:lvlJc w:val="left"/>
      <w:pPr>
        <w:tabs>
          <w:tab w:val="left" w:pos="312"/>
        </w:tabs>
      </w:pPr>
    </w:lvl>
  </w:abstractNum>
  <w:abstractNum w:abstractNumId="1">
    <w:nsid w:val="DE8A7BB4"/>
    <w:multiLevelType w:val="singleLevel"/>
    <w:tmpl w:val="DE8A7BB4"/>
    <w:lvl w:ilvl="0" w:tentative="0">
      <w:start w:val="1"/>
      <w:numFmt w:val="chineseCounting"/>
      <w:suff w:val="nothing"/>
      <w:lvlText w:val="%1、"/>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0C670402"/>
    <w:multiLevelType w:val="multilevel"/>
    <w:tmpl w:val="0C670402"/>
    <w:lvl w:ilvl="0" w:tentative="0">
      <w:start w:val="2"/>
      <w:numFmt w:val="japaneseCounting"/>
      <w:lvlText w:val="（%1）"/>
      <w:lvlJc w:val="left"/>
      <w:pPr>
        <w:ind w:left="2781" w:hanging="1080"/>
      </w:pPr>
      <w:rPr>
        <w:rFonts w:hint="default" w:ascii="仿宋" w:hAnsi="仿宋" w:eastAsia="仿宋" w:cs="楷体_GB2312"/>
        <w:b/>
      </w:rPr>
    </w:lvl>
    <w:lvl w:ilvl="1" w:tentative="0">
      <w:start w:val="1"/>
      <w:numFmt w:val="lowerLetter"/>
      <w:lvlText w:val="%2)"/>
      <w:lvlJc w:val="left"/>
      <w:pPr>
        <w:ind w:left="2541" w:hanging="420"/>
      </w:pPr>
    </w:lvl>
    <w:lvl w:ilvl="2" w:tentative="0">
      <w:start w:val="1"/>
      <w:numFmt w:val="lowerRoman"/>
      <w:lvlText w:val="%3."/>
      <w:lvlJc w:val="right"/>
      <w:pPr>
        <w:ind w:left="2961" w:hanging="420"/>
      </w:pPr>
    </w:lvl>
    <w:lvl w:ilvl="3" w:tentative="0">
      <w:start w:val="1"/>
      <w:numFmt w:val="decimal"/>
      <w:lvlText w:val="%4."/>
      <w:lvlJc w:val="left"/>
      <w:pPr>
        <w:ind w:left="3381" w:hanging="420"/>
      </w:pPr>
    </w:lvl>
    <w:lvl w:ilvl="4" w:tentative="0">
      <w:start w:val="1"/>
      <w:numFmt w:val="lowerLetter"/>
      <w:lvlText w:val="%5)"/>
      <w:lvlJc w:val="left"/>
      <w:pPr>
        <w:ind w:left="3801" w:hanging="420"/>
      </w:pPr>
    </w:lvl>
    <w:lvl w:ilvl="5" w:tentative="0">
      <w:start w:val="1"/>
      <w:numFmt w:val="lowerRoman"/>
      <w:lvlText w:val="%6."/>
      <w:lvlJc w:val="right"/>
      <w:pPr>
        <w:ind w:left="4221" w:hanging="420"/>
      </w:pPr>
    </w:lvl>
    <w:lvl w:ilvl="6" w:tentative="0">
      <w:start w:val="1"/>
      <w:numFmt w:val="decimal"/>
      <w:lvlText w:val="%7."/>
      <w:lvlJc w:val="left"/>
      <w:pPr>
        <w:ind w:left="4641" w:hanging="420"/>
      </w:pPr>
    </w:lvl>
    <w:lvl w:ilvl="7" w:tentative="0">
      <w:start w:val="1"/>
      <w:numFmt w:val="lowerLetter"/>
      <w:lvlText w:val="%8)"/>
      <w:lvlJc w:val="left"/>
      <w:pPr>
        <w:ind w:left="5061" w:hanging="420"/>
      </w:pPr>
    </w:lvl>
    <w:lvl w:ilvl="8" w:tentative="0">
      <w:start w:val="1"/>
      <w:numFmt w:val="lowerRoman"/>
      <w:lvlText w:val="%9."/>
      <w:lvlJc w:val="right"/>
      <w:pPr>
        <w:ind w:left="5481" w:hanging="420"/>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4F85EAF"/>
    <w:multiLevelType w:val="multilevel"/>
    <w:tmpl w:val="34F85EAF"/>
    <w:lvl w:ilvl="0" w:tentative="0">
      <w:start w:val="1"/>
      <w:numFmt w:val="chineseCountingThousand"/>
      <w:pStyle w:val="29"/>
      <w:suff w:val="nothing"/>
      <w:lvlText w:val="%1、"/>
      <w:lvlJc w:val="left"/>
      <w:pPr>
        <w:ind w:left="214" w:firstLine="637"/>
      </w:pPr>
      <w:rPr>
        <w:rFonts w:hint="eastAsia"/>
      </w:rPr>
    </w:lvl>
    <w:lvl w:ilvl="1" w:tentative="0">
      <w:start w:val="1"/>
      <w:numFmt w:val="lowerLetter"/>
      <w:lvlText w:val="%2)"/>
      <w:lvlJc w:val="left"/>
      <w:pPr>
        <w:ind w:left="1477" w:hanging="420"/>
      </w:pPr>
    </w:lvl>
    <w:lvl w:ilvl="2" w:tentative="0">
      <w:start w:val="3"/>
      <w:numFmt w:val="japaneseCounting"/>
      <w:lvlText w:val="%3、"/>
      <w:lvlJc w:val="left"/>
      <w:pPr>
        <w:ind w:left="2197" w:hanging="720"/>
      </w:pPr>
      <w:rPr>
        <w:rFonts w:hint="default"/>
      </w:rPr>
    </w:lvl>
    <w:lvl w:ilvl="3" w:tentative="0">
      <w:start w:val="1"/>
      <w:numFmt w:val="decimal"/>
      <w:lvlText w:val="%4."/>
      <w:lvlJc w:val="left"/>
      <w:pPr>
        <w:ind w:left="2317" w:hanging="420"/>
      </w:pPr>
    </w:lvl>
    <w:lvl w:ilvl="4" w:tentative="0">
      <w:start w:val="1"/>
      <w:numFmt w:val="lowerLetter"/>
      <w:lvlText w:val="%5)"/>
      <w:lvlJc w:val="left"/>
      <w:pPr>
        <w:ind w:left="2737" w:hanging="420"/>
      </w:pPr>
    </w:lvl>
    <w:lvl w:ilvl="5" w:tentative="0">
      <w:start w:val="1"/>
      <w:numFmt w:val="lowerRoman"/>
      <w:lvlText w:val="%6."/>
      <w:lvlJc w:val="right"/>
      <w:pPr>
        <w:ind w:left="3157" w:hanging="420"/>
      </w:pPr>
    </w:lvl>
    <w:lvl w:ilvl="6" w:tentative="0">
      <w:start w:val="1"/>
      <w:numFmt w:val="decimal"/>
      <w:lvlText w:val="%7."/>
      <w:lvlJc w:val="left"/>
      <w:pPr>
        <w:ind w:left="3577" w:hanging="420"/>
      </w:pPr>
    </w:lvl>
    <w:lvl w:ilvl="7" w:tentative="0">
      <w:start w:val="1"/>
      <w:numFmt w:val="lowerLetter"/>
      <w:lvlText w:val="%8)"/>
      <w:lvlJc w:val="left"/>
      <w:pPr>
        <w:ind w:left="3997" w:hanging="420"/>
      </w:pPr>
    </w:lvl>
    <w:lvl w:ilvl="8" w:tentative="0">
      <w:start w:val="1"/>
      <w:numFmt w:val="lowerRoman"/>
      <w:lvlText w:val="%9."/>
      <w:lvlJc w:val="right"/>
      <w:pPr>
        <w:ind w:left="4417" w:hanging="420"/>
      </w:pPr>
    </w:lvl>
  </w:abstractNum>
  <w:abstractNum w:abstractNumId="6">
    <w:nsid w:val="5B63281F"/>
    <w:multiLevelType w:val="multilevel"/>
    <w:tmpl w:val="5B63281F"/>
    <w:lvl w:ilvl="0" w:tentative="0">
      <w:start w:val="1"/>
      <w:numFmt w:val="decimal"/>
      <w:pStyle w:val="31"/>
      <w:suff w:val="nothing"/>
      <w:lvlText w:val="%1."/>
      <w:lvlJc w:val="left"/>
      <w:pPr>
        <w:ind w:left="0" w:firstLine="635"/>
      </w:pPr>
      <w:rPr>
        <w:rFonts w:hint="eastAsia"/>
      </w:rPr>
    </w:lvl>
    <w:lvl w:ilvl="1" w:tentative="0">
      <w:start w:val="1"/>
      <w:numFmt w:val="lowerLetter"/>
      <w:lvlText w:val="%2)"/>
      <w:lvlJc w:val="left"/>
      <w:pPr>
        <w:ind w:left="1475" w:hanging="420"/>
      </w:pPr>
    </w:lvl>
    <w:lvl w:ilvl="2" w:tentative="0">
      <w:start w:val="1"/>
      <w:numFmt w:val="lowerRoman"/>
      <w:lvlText w:val="%3."/>
      <w:lvlJc w:val="right"/>
      <w:pPr>
        <w:ind w:left="1895" w:hanging="420"/>
      </w:pPr>
    </w:lvl>
    <w:lvl w:ilvl="3" w:tentative="0">
      <w:start w:val="1"/>
      <w:numFmt w:val="decimal"/>
      <w:lvlText w:val="%4."/>
      <w:lvlJc w:val="left"/>
      <w:pPr>
        <w:ind w:left="2315" w:hanging="420"/>
      </w:pPr>
    </w:lvl>
    <w:lvl w:ilvl="4" w:tentative="0">
      <w:start w:val="1"/>
      <w:numFmt w:val="lowerLetter"/>
      <w:lvlText w:val="%5)"/>
      <w:lvlJc w:val="left"/>
      <w:pPr>
        <w:ind w:left="2735" w:hanging="420"/>
      </w:pPr>
    </w:lvl>
    <w:lvl w:ilvl="5" w:tentative="0">
      <w:start w:val="1"/>
      <w:numFmt w:val="lowerRoman"/>
      <w:lvlText w:val="%6."/>
      <w:lvlJc w:val="right"/>
      <w:pPr>
        <w:ind w:left="3155" w:hanging="420"/>
      </w:pPr>
    </w:lvl>
    <w:lvl w:ilvl="6" w:tentative="0">
      <w:start w:val="1"/>
      <w:numFmt w:val="decimal"/>
      <w:lvlText w:val="%7."/>
      <w:lvlJc w:val="left"/>
      <w:pPr>
        <w:ind w:left="3575" w:hanging="420"/>
      </w:pPr>
    </w:lvl>
    <w:lvl w:ilvl="7" w:tentative="0">
      <w:start w:val="1"/>
      <w:numFmt w:val="lowerLetter"/>
      <w:lvlText w:val="%8)"/>
      <w:lvlJc w:val="left"/>
      <w:pPr>
        <w:ind w:left="3995" w:hanging="420"/>
      </w:pPr>
    </w:lvl>
    <w:lvl w:ilvl="8" w:tentative="0">
      <w:start w:val="1"/>
      <w:numFmt w:val="lowerRoman"/>
      <w:lvlText w:val="%9."/>
      <w:lvlJc w:val="right"/>
      <w:pPr>
        <w:ind w:left="4415" w:hanging="420"/>
      </w:pPr>
    </w:lvl>
  </w:abstractNum>
  <w:abstractNum w:abstractNumId="7">
    <w:nsid w:val="7EE55BF3"/>
    <w:multiLevelType w:val="multilevel"/>
    <w:tmpl w:val="7EE55BF3"/>
    <w:lvl w:ilvl="0" w:tentative="0">
      <w:start w:val="1"/>
      <w:numFmt w:val="chineseCountingThousand"/>
      <w:pStyle w:val="30"/>
      <w:suff w:val="nothing"/>
      <w:lvlText w:val="（%1）"/>
      <w:lvlJc w:val="left"/>
      <w:pPr>
        <w:ind w:left="-493" w:firstLine="635"/>
      </w:pPr>
      <w:rPr>
        <w:rFonts w:hint="eastAsia"/>
      </w:rPr>
    </w:lvl>
    <w:lvl w:ilvl="1" w:tentative="0">
      <w:start w:val="1"/>
      <w:numFmt w:val="decimal"/>
      <w:lvlText w:val="%2."/>
      <w:lvlJc w:val="left"/>
      <w:pPr>
        <w:ind w:left="838" w:hanging="360"/>
      </w:pPr>
      <w:rPr>
        <w:rFonts w:hint="default"/>
      </w:rPr>
    </w:lvl>
    <w:lvl w:ilvl="2" w:tentative="0">
      <w:start w:val="1"/>
      <w:numFmt w:val="lowerRoman"/>
      <w:lvlText w:val="%3."/>
      <w:lvlJc w:val="right"/>
      <w:pPr>
        <w:ind w:left="1318" w:hanging="420"/>
      </w:pPr>
    </w:lvl>
    <w:lvl w:ilvl="3" w:tentative="0">
      <w:start w:val="1"/>
      <w:numFmt w:val="decimal"/>
      <w:lvlText w:val="%4."/>
      <w:lvlJc w:val="left"/>
      <w:pPr>
        <w:ind w:left="1738" w:hanging="420"/>
      </w:pPr>
    </w:lvl>
    <w:lvl w:ilvl="4" w:tentative="0">
      <w:start w:val="1"/>
      <w:numFmt w:val="lowerLetter"/>
      <w:lvlText w:val="%5)"/>
      <w:lvlJc w:val="left"/>
      <w:pPr>
        <w:ind w:left="2158" w:hanging="420"/>
      </w:pPr>
    </w:lvl>
    <w:lvl w:ilvl="5" w:tentative="0">
      <w:start w:val="1"/>
      <w:numFmt w:val="lowerRoman"/>
      <w:lvlText w:val="%6."/>
      <w:lvlJc w:val="right"/>
      <w:pPr>
        <w:ind w:left="2578" w:hanging="420"/>
      </w:pPr>
    </w:lvl>
    <w:lvl w:ilvl="6" w:tentative="0">
      <w:start w:val="1"/>
      <w:numFmt w:val="decimal"/>
      <w:lvlText w:val="%7."/>
      <w:lvlJc w:val="left"/>
      <w:pPr>
        <w:ind w:left="2998" w:hanging="420"/>
      </w:pPr>
    </w:lvl>
    <w:lvl w:ilvl="7" w:tentative="0">
      <w:start w:val="1"/>
      <w:numFmt w:val="lowerLetter"/>
      <w:lvlText w:val="%8)"/>
      <w:lvlJc w:val="left"/>
      <w:pPr>
        <w:ind w:left="3418" w:hanging="420"/>
      </w:pPr>
    </w:lvl>
    <w:lvl w:ilvl="8" w:tentative="0">
      <w:start w:val="1"/>
      <w:numFmt w:val="lowerRoman"/>
      <w:lvlText w:val="%9."/>
      <w:lvlJc w:val="right"/>
      <w:pPr>
        <w:ind w:left="3838" w:hanging="420"/>
      </w:p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1AEC"/>
    <w:rsid w:val="0006487A"/>
    <w:rsid w:val="00065F8F"/>
    <w:rsid w:val="000768F2"/>
    <w:rsid w:val="0008329B"/>
    <w:rsid w:val="00090B05"/>
    <w:rsid w:val="0009184B"/>
    <w:rsid w:val="0009593C"/>
    <w:rsid w:val="00097A0D"/>
    <w:rsid w:val="000B047F"/>
    <w:rsid w:val="000B5923"/>
    <w:rsid w:val="000B5A48"/>
    <w:rsid w:val="000B6FF3"/>
    <w:rsid w:val="000C3467"/>
    <w:rsid w:val="000C3CA6"/>
    <w:rsid w:val="000D1267"/>
    <w:rsid w:val="000D1D50"/>
    <w:rsid w:val="000D2280"/>
    <w:rsid w:val="000D28C9"/>
    <w:rsid w:val="000D5782"/>
    <w:rsid w:val="000E6613"/>
    <w:rsid w:val="000E7119"/>
    <w:rsid w:val="000E7353"/>
    <w:rsid w:val="000F45B7"/>
    <w:rsid w:val="00114E9B"/>
    <w:rsid w:val="0014729F"/>
    <w:rsid w:val="00157BAB"/>
    <w:rsid w:val="001654D1"/>
    <w:rsid w:val="0018106D"/>
    <w:rsid w:val="00185CB5"/>
    <w:rsid w:val="001877A7"/>
    <w:rsid w:val="00191536"/>
    <w:rsid w:val="00196687"/>
    <w:rsid w:val="001C0962"/>
    <w:rsid w:val="001D0C3B"/>
    <w:rsid w:val="001D7531"/>
    <w:rsid w:val="001E7120"/>
    <w:rsid w:val="001E737D"/>
    <w:rsid w:val="001F0592"/>
    <w:rsid w:val="001F7506"/>
    <w:rsid w:val="002006CD"/>
    <w:rsid w:val="00202B36"/>
    <w:rsid w:val="00204B7A"/>
    <w:rsid w:val="0021101A"/>
    <w:rsid w:val="00220536"/>
    <w:rsid w:val="00235629"/>
    <w:rsid w:val="00237405"/>
    <w:rsid w:val="00260C38"/>
    <w:rsid w:val="002616C0"/>
    <w:rsid w:val="002662AA"/>
    <w:rsid w:val="00280496"/>
    <w:rsid w:val="00295495"/>
    <w:rsid w:val="002B2613"/>
    <w:rsid w:val="002F1818"/>
    <w:rsid w:val="002F567B"/>
    <w:rsid w:val="002F65D5"/>
    <w:rsid w:val="003143A9"/>
    <w:rsid w:val="003216A9"/>
    <w:rsid w:val="0032244D"/>
    <w:rsid w:val="0037013F"/>
    <w:rsid w:val="003776CE"/>
    <w:rsid w:val="00380C92"/>
    <w:rsid w:val="00391A84"/>
    <w:rsid w:val="003A09F2"/>
    <w:rsid w:val="003A484F"/>
    <w:rsid w:val="003B0BE0"/>
    <w:rsid w:val="003B0C1B"/>
    <w:rsid w:val="003B688C"/>
    <w:rsid w:val="003C0291"/>
    <w:rsid w:val="003C39AE"/>
    <w:rsid w:val="003C74B0"/>
    <w:rsid w:val="003C7B60"/>
    <w:rsid w:val="003D1FB2"/>
    <w:rsid w:val="003D66DA"/>
    <w:rsid w:val="003E1310"/>
    <w:rsid w:val="003E6F55"/>
    <w:rsid w:val="003F7620"/>
    <w:rsid w:val="00406254"/>
    <w:rsid w:val="004122F2"/>
    <w:rsid w:val="004223DE"/>
    <w:rsid w:val="00434489"/>
    <w:rsid w:val="00437085"/>
    <w:rsid w:val="0044195C"/>
    <w:rsid w:val="00443880"/>
    <w:rsid w:val="004464F4"/>
    <w:rsid w:val="0047078F"/>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6A67"/>
    <w:rsid w:val="005610B3"/>
    <w:rsid w:val="005664BB"/>
    <w:rsid w:val="00567F64"/>
    <w:rsid w:val="00572B20"/>
    <w:rsid w:val="0057481D"/>
    <w:rsid w:val="0058486E"/>
    <w:rsid w:val="005D1C8B"/>
    <w:rsid w:val="005D5CED"/>
    <w:rsid w:val="005F0F1A"/>
    <w:rsid w:val="005F1A4C"/>
    <w:rsid w:val="005F360C"/>
    <w:rsid w:val="00605688"/>
    <w:rsid w:val="006070AF"/>
    <w:rsid w:val="00607E6C"/>
    <w:rsid w:val="006101B1"/>
    <w:rsid w:val="00614E44"/>
    <w:rsid w:val="00616E9C"/>
    <w:rsid w:val="00622830"/>
    <w:rsid w:val="00630AEF"/>
    <w:rsid w:val="00632317"/>
    <w:rsid w:val="006325F8"/>
    <w:rsid w:val="00634C9A"/>
    <w:rsid w:val="006440E4"/>
    <w:rsid w:val="006532EF"/>
    <w:rsid w:val="0066343B"/>
    <w:rsid w:val="00664777"/>
    <w:rsid w:val="0066754A"/>
    <w:rsid w:val="006748A4"/>
    <w:rsid w:val="00683E73"/>
    <w:rsid w:val="006A0EA9"/>
    <w:rsid w:val="006A3141"/>
    <w:rsid w:val="006A5E34"/>
    <w:rsid w:val="006B2422"/>
    <w:rsid w:val="006B2B9A"/>
    <w:rsid w:val="006C1937"/>
    <w:rsid w:val="006D0685"/>
    <w:rsid w:val="006D0D74"/>
    <w:rsid w:val="006F020C"/>
    <w:rsid w:val="006F16CD"/>
    <w:rsid w:val="007077A4"/>
    <w:rsid w:val="007127B7"/>
    <w:rsid w:val="007214CF"/>
    <w:rsid w:val="007416B6"/>
    <w:rsid w:val="007443CA"/>
    <w:rsid w:val="00746F48"/>
    <w:rsid w:val="0075404D"/>
    <w:rsid w:val="0076182A"/>
    <w:rsid w:val="00767B7E"/>
    <w:rsid w:val="007770C3"/>
    <w:rsid w:val="00784D24"/>
    <w:rsid w:val="00785FBA"/>
    <w:rsid w:val="00786E4A"/>
    <w:rsid w:val="007875EB"/>
    <w:rsid w:val="0079426B"/>
    <w:rsid w:val="007A7156"/>
    <w:rsid w:val="007B33FA"/>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6639C"/>
    <w:rsid w:val="00871F71"/>
    <w:rsid w:val="00885AF4"/>
    <w:rsid w:val="008939CD"/>
    <w:rsid w:val="008B768C"/>
    <w:rsid w:val="008C4DB1"/>
    <w:rsid w:val="008C4EAF"/>
    <w:rsid w:val="008C5176"/>
    <w:rsid w:val="008C70FD"/>
    <w:rsid w:val="008C7FD0"/>
    <w:rsid w:val="008E1DE7"/>
    <w:rsid w:val="008E707C"/>
    <w:rsid w:val="00900B08"/>
    <w:rsid w:val="00902155"/>
    <w:rsid w:val="00902FA3"/>
    <w:rsid w:val="00923564"/>
    <w:rsid w:val="0092392E"/>
    <w:rsid w:val="009315F9"/>
    <w:rsid w:val="00931A29"/>
    <w:rsid w:val="00935EB1"/>
    <w:rsid w:val="00946945"/>
    <w:rsid w:val="00951248"/>
    <w:rsid w:val="0095152F"/>
    <w:rsid w:val="00954C49"/>
    <w:rsid w:val="0097099F"/>
    <w:rsid w:val="00971997"/>
    <w:rsid w:val="00971FFC"/>
    <w:rsid w:val="0098660A"/>
    <w:rsid w:val="0099103E"/>
    <w:rsid w:val="00992E48"/>
    <w:rsid w:val="009931C3"/>
    <w:rsid w:val="009A0731"/>
    <w:rsid w:val="009A3291"/>
    <w:rsid w:val="009B2C43"/>
    <w:rsid w:val="009B4EAE"/>
    <w:rsid w:val="009B7573"/>
    <w:rsid w:val="009C22F4"/>
    <w:rsid w:val="009C2E98"/>
    <w:rsid w:val="009D3447"/>
    <w:rsid w:val="009D4711"/>
    <w:rsid w:val="009E1795"/>
    <w:rsid w:val="009F1185"/>
    <w:rsid w:val="009F18CD"/>
    <w:rsid w:val="009F2A13"/>
    <w:rsid w:val="009F4946"/>
    <w:rsid w:val="00A04EB0"/>
    <w:rsid w:val="00A13CC1"/>
    <w:rsid w:val="00A1535B"/>
    <w:rsid w:val="00A16847"/>
    <w:rsid w:val="00A218E4"/>
    <w:rsid w:val="00A237D8"/>
    <w:rsid w:val="00A265FC"/>
    <w:rsid w:val="00A268C4"/>
    <w:rsid w:val="00A307CD"/>
    <w:rsid w:val="00A40A00"/>
    <w:rsid w:val="00A4142F"/>
    <w:rsid w:val="00A56DF2"/>
    <w:rsid w:val="00A67AB5"/>
    <w:rsid w:val="00A91760"/>
    <w:rsid w:val="00A93B00"/>
    <w:rsid w:val="00A93C21"/>
    <w:rsid w:val="00AC3C6A"/>
    <w:rsid w:val="00AD5620"/>
    <w:rsid w:val="00AD7C1B"/>
    <w:rsid w:val="00AE16BA"/>
    <w:rsid w:val="00AE1EBE"/>
    <w:rsid w:val="00AE627D"/>
    <w:rsid w:val="00AF5A09"/>
    <w:rsid w:val="00B03C9D"/>
    <w:rsid w:val="00B060AE"/>
    <w:rsid w:val="00B071AA"/>
    <w:rsid w:val="00B10517"/>
    <w:rsid w:val="00B14E76"/>
    <w:rsid w:val="00B1512D"/>
    <w:rsid w:val="00B161B8"/>
    <w:rsid w:val="00B2048C"/>
    <w:rsid w:val="00B310B9"/>
    <w:rsid w:val="00B35F3F"/>
    <w:rsid w:val="00B36CBB"/>
    <w:rsid w:val="00B425E0"/>
    <w:rsid w:val="00B440AA"/>
    <w:rsid w:val="00B44B70"/>
    <w:rsid w:val="00B47BFD"/>
    <w:rsid w:val="00B53C56"/>
    <w:rsid w:val="00B63053"/>
    <w:rsid w:val="00B63406"/>
    <w:rsid w:val="00B77EA6"/>
    <w:rsid w:val="00B81598"/>
    <w:rsid w:val="00B841F1"/>
    <w:rsid w:val="00B944D6"/>
    <w:rsid w:val="00BB4DF0"/>
    <w:rsid w:val="00BC289F"/>
    <w:rsid w:val="00BC5361"/>
    <w:rsid w:val="00BC5460"/>
    <w:rsid w:val="00BC6B50"/>
    <w:rsid w:val="00BD0E25"/>
    <w:rsid w:val="00BE044E"/>
    <w:rsid w:val="00BF5BD6"/>
    <w:rsid w:val="00C01474"/>
    <w:rsid w:val="00C03E31"/>
    <w:rsid w:val="00C33E72"/>
    <w:rsid w:val="00C354B2"/>
    <w:rsid w:val="00C35554"/>
    <w:rsid w:val="00C42709"/>
    <w:rsid w:val="00C533CC"/>
    <w:rsid w:val="00C5751C"/>
    <w:rsid w:val="00C61BFC"/>
    <w:rsid w:val="00C62B85"/>
    <w:rsid w:val="00C65438"/>
    <w:rsid w:val="00C91B44"/>
    <w:rsid w:val="00C91CBB"/>
    <w:rsid w:val="00C9576B"/>
    <w:rsid w:val="00CC09B6"/>
    <w:rsid w:val="00CC666F"/>
    <w:rsid w:val="00CD1E3F"/>
    <w:rsid w:val="00CE44F6"/>
    <w:rsid w:val="00CE49DA"/>
    <w:rsid w:val="00CE7B61"/>
    <w:rsid w:val="00D00095"/>
    <w:rsid w:val="00D20620"/>
    <w:rsid w:val="00D22D39"/>
    <w:rsid w:val="00D26091"/>
    <w:rsid w:val="00D34E7C"/>
    <w:rsid w:val="00D35489"/>
    <w:rsid w:val="00D51276"/>
    <w:rsid w:val="00D5691C"/>
    <w:rsid w:val="00D7035F"/>
    <w:rsid w:val="00DA65AC"/>
    <w:rsid w:val="00DB1913"/>
    <w:rsid w:val="00DC410D"/>
    <w:rsid w:val="00DC68CA"/>
    <w:rsid w:val="00DC7CBA"/>
    <w:rsid w:val="00DD73B7"/>
    <w:rsid w:val="00DF28BC"/>
    <w:rsid w:val="00DF34B9"/>
    <w:rsid w:val="00E01053"/>
    <w:rsid w:val="00E07ACF"/>
    <w:rsid w:val="00E17847"/>
    <w:rsid w:val="00E24678"/>
    <w:rsid w:val="00E331A1"/>
    <w:rsid w:val="00E33202"/>
    <w:rsid w:val="00E336A9"/>
    <w:rsid w:val="00E4122B"/>
    <w:rsid w:val="00E50624"/>
    <w:rsid w:val="00E568DF"/>
    <w:rsid w:val="00E64269"/>
    <w:rsid w:val="00E82267"/>
    <w:rsid w:val="00E978F6"/>
    <w:rsid w:val="00EA010F"/>
    <w:rsid w:val="00EA7D54"/>
    <w:rsid w:val="00EC244F"/>
    <w:rsid w:val="00ED1B63"/>
    <w:rsid w:val="00ED3C1F"/>
    <w:rsid w:val="00ED4085"/>
    <w:rsid w:val="00ED420E"/>
    <w:rsid w:val="00EE2F57"/>
    <w:rsid w:val="00EF4C34"/>
    <w:rsid w:val="00EF77C6"/>
    <w:rsid w:val="00F05438"/>
    <w:rsid w:val="00F1361C"/>
    <w:rsid w:val="00F160C7"/>
    <w:rsid w:val="00F36D8F"/>
    <w:rsid w:val="00F417B1"/>
    <w:rsid w:val="00F602DF"/>
    <w:rsid w:val="00F77942"/>
    <w:rsid w:val="00F81FD9"/>
    <w:rsid w:val="00F841AA"/>
    <w:rsid w:val="00FA23E8"/>
    <w:rsid w:val="00FB37E5"/>
    <w:rsid w:val="00FB6F6B"/>
    <w:rsid w:val="00FD0195"/>
    <w:rsid w:val="00FD3CC1"/>
    <w:rsid w:val="00FF1E02"/>
    <w:rsid w:val="00FF30B4"/>
    <w:rsid w:val="017A57A1"/>
    <w:rsid w:val="0CD25EB6"/>
    <w:rsid w:val="0F6011C2"/>
    <w:rsid w:val="0FE05828"/>
    <w:rsid w:val="10C055FF"/>
    <w:rsid w:val="11674EA1"/>
    <w:rsid w:val="16BB723D"/>
    <w:rsid w:val="1804198E"/>
    <w:rsid w:val="1ECA7D41"/>
    <w:rsid w:val="210A2196"/>
    <w:rsid w:val="240371BF"/>
    <w:rsid w:val="29FD04D3"/>
    <w:rsid w:val="319F7F4E"/>
    <w:rsid w:val="33916CBE"/>
    <w:rsid w:val="33D01A0F"/>
    <w:rsid w:val="363C55D0"/>
    <w:rsid w:val="3AFA2A8A"/>
    <w:rsid w:val="3C3B24F2"/>
    <w:rsid w:val="3EC5114F"/>
    <w:rsid w:val="3EDA122B"/>
    <w:rsid w:val="40242CE8"/>
    <w:rsid w:val="52804685"/>
    <w:rsid w:val="54873724"/>
    <w:rsid w:val="5A2865A4"/>
    <w:rsid w:val="5DEE5127"/>
    <w:rsid w:val="5E416EA0"/>
    <w:rsid w:val="65A301CD"/>
    <w:rsid w:val="68235D8D"/>
    <w:rsid w:val="6A740595"/>
    <w:rsid w:val="6EB032DE"/>
    <w:rsid w:val="716446CC"/>
    <w:rsid w:val="735D3E0F"/>
    <w:rsid w:val="738C5088"/>
    <w:rsid w:val="78E114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列出段落1"/>
    <w:basedOn w:val="1"/>
    <w:qFormat/>
    <w:uiPriority w:val="34"/>
    <w:pPr>
      <w:ind w:firstLine="420" w:firstLineChars="200"/>
    </w:pPr>
  </w:style>
  <w:style w:type="character" w:customStyle="1" w:styleId="24">
    <w:name w:val="标题 1 字符"/>
    <w:basedOn w:val="13"/>
    <w:link w:val="2"/>
    <w:qFormat/>
    <w:uiPriority w:val="9"/>
    <w:rPr>
      <w:rFonts w:ascii="Times New Roman" w:hAnsi="Times New Roman"/>
      <w:b/>
      <w:bCs/>
      <w:kern w:val="44"/>
      <w:sz w:val="44"/>
      <w:szCs w:val="44"/>
    </w:rPr>
  </w:style>
  <w:style w:type="character" w:customStyle="1" w:styleId="25">
    <w:name w:val="标题 2 字符"/>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4"/>
    <w:qFormat/>
    <w:uiPriority w:val="9"/>
    <w:rPr>
      <w:rFonts w:ascii="Times New Roman" w:hAnsi="Times New Roman"/>
      <w:b/>
      <w:bCs/>
      <w:kern w:val="2"/>
      <w:sz w:val="32"/>
      <w:szCs w:val="32"/>
    </w:rPr>
  </w:style>
  <w:style w:type="paragraph" w:customStyle="1" w:styleId="29">
    <w:name w:val="〖B01〗一级标题"/>
    <w:next w:val="1"/>
    <w:qFormat/>
    <w:uiPriority w:val="0"/>
    <w:pPr>
      <w:numPr>
        <w:ilvl w:val="0"/>
        <w:numId w:val="1"/>
      </w:numPr>
      <w:topLinePunct/>
      <w:spacing w:line="600" w:lineRule="exact"/>
      <w:outlineLvl w:val="0"/>
    </w:pPr>
    <w:rPr>
      <w:rFonts w:ascii="黑体" w:hAnsi="Calibri" w:eastAsia="黑体" w:cs="Times New Roman"/>
      <w:kern w:val="2"/>
      <w:sz w:val="32"/>
      <w:szCs w:val="32"/>
      <w:lang w:val="en-US" w:eastAsia="zh-CN" w:bidi="ar-SA"/>
    </w:rPr>
  </w:style>
  <w:style w:type="paragraph" w:customStyle="1" w:styleId="30">
    <w:name w:val="〖B02〗二级标题"/>
    <w:next w:val="1"/>
    <w:qFormat/>
    <w:uiPriority w:val="0"/>
    <w:pPr>
      <w:widowControl w:val="0"/>
      <w:numPr>
        <w:ilvl w:val="0"/>
        <w:numId w:val="2"/>
      </w:numPr>
      <w:spacing w:line="600" w:lineRule="exact"/>
      <w:outlineLvl w:val="1"/>
    </w:pPr>
    <w:rPr>
      <w:rFonts w:ascii="楷体_GB2312" w:hAnsi="Calibri" w:eastAsia="楷体_GB2312" w:cs="Times New Roman"/>
      <w:kern w:val="2"/>
      <w:sz w:val="32"/>
      <w:szCs w:val="21"/>
      <w:lang w:val="zh-CN" w:eastAsia="zh-CN" w:bidi="ar-SA"/>
    </w:rPr>
  </w:style>
  <w:style w:type="paragraph" w:customStyle="1" w:styleId="31">
    <w:name w:val="〖B03〗三级标题"/>
    <w:basedOn w:val="1"/>
    <w:qFormat/>
    <w:uiPriority w:val="0"/>
    <w:pPr>
      <w:numPr>
        <w:ilvl w:val="0"/>
        <w:numId w:val="3"/>
      </w:numPr>
      <w:topLinePunct/>
      <w:spacing w:line="600" w:lineRule="exact"/>
      <w:outlineLvl w:val="2"/>
    </w:pPr>
    <w:rPr>
      <w:rFonts w:ascii="楷体_GB2312" w:hAnsi="Calibri" w:eastAsia="楷体_GB2312"/>
      <w:sz w:val="32"/>
      <w:szCs w:val="32"/>
    </w:rPr>
  </w:style>
  <w:style w:type="paragraph" w:customStyle="1" w:styleId="32">
    <w:name w:val="列出段落2"/>
    <w:basedOn w:val="1"/>
    <w:qFormat/>
    <w:uiPriority w:val="34"/>
    <w:pPr>
      <w:ind w:firstLine="420" w:firstLineChars="200"/>
    </w:pPr>
  </w:style>
  <w:style w:type="character" w:customStyle="1" w:styleId="33">
    <w:name w:val="标题 2 字符1"/>
    <w:basedOn w:val="13"/>
    <w:qFormat/>
    <w:uiPriority w:val="9"/>
    <w:rPr>
      <w:rFonts w:asciiTheme="majorHAnsi" w:hAnsiTheme="majorHAnsi" w:eastAsiaTheme="majorEastAsia" w:cstheme="majorBidi"/>
      <w:b/>
      <w:bCs/>
      <w:kern w:val="2"/>
      <w:sz w:val="32"/>
      <w:szCs w:val="32"/>
    </w:rPr>
  </w:style>
  <w:style w:type="paragraph" w:styleId="34">
    <w:name w:val="List Paragraph"/>
    <w:basedOn w:val="1"/>
    <w:qFormat/>
    <w:uiPriority w:val="99"/>
    <w:pPr>
      <w:ind w:firstLine="420" w:firstLineChars="200"/>
    </w:pPr>
  </w:style>
  <w:style w:type="paragraph" w:customStyle="1" w:styleId="35">
    <w:name w:val="〖A08〗公文标题"/>
    <w:next w:val="1"/>
    <w:qFormat/>
    <w:uiPriority w:val="0"/>
    <w:pPr>
      <w:widowControl w:val="0"/>
      <w:topLinePunct/>
      <w:spacing w:line="700" w:lineRule="exact"/>
      <w:jc w:val="center"/>
    </w:pPr>
    <w:rPr>
      <w:rFonts w:ascii="方正小标宋简体" w:hAnsi="Calibri" w:eastAsia="方正小标宋简体" w:cs="Times New Roman"/>
      <w:kern w:val="2"/>
      <w:sz w:val="44"/>
      <w:szCs w:val="21"/>
      <w:lang w:val="en-US" w:eastAsia="zh-CN" w:bidi="ar-SA"/>
    </w:rPr>
  </w:style>
  <w:style w:type="character" w:customStyle="1" w:styleId="36">
    <w:name w:val="标题 2 Char"/>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65A98E-5482-4E61-B185-553B1335C03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7112</Words>
  <Characters>2894</Characters>
  <Lines>24</Lines>
  <Paragraphs>19</Paragraphs>
  <TotalTime>36</TotalTime>
  <ScaleCrop>false</ScaleCrop>
  <LinksUpToDate>false</LinksUpToDate>
  <CharactersWithSpaces>9987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土豆彡</cp:lastModifiedBy>
  <cp:lastPrinted>2019-11-04T06:40:00Z</cp:lastPrinted>
  <dcterms:modified xsi:type="dcterms:W3CDTF">2021-02-02T09:27:10Z</dcterms:modified>
  <dc:title>四川省***</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