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CE6F2" w:themeColor="accent1" w:themeTint="33"/>
  <w:body>
    <w:p w14:paraId="2CC817E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kern w:val="0"/>
          <w:sz w:val="44"/>
          <w:szCs w:val="44"/>
        </w:rPr>
        <w:t>井研县202</w:t>
      </w:r>
      <w:r>
        <w:rPr>
          <w:rFonts w:hint="default" w:ascii="Times New Roman" w:hAnsi="Times New Roman" w:eastAsia="方正小标宋简体" w:cs="Times New Roman"/>
          <w:kern w:val="0"/>
          <w:sz w:val="44"/>
          <w:szCs w:val="44"/>
          <w:lang w:val="en-US" w:eastAsia="zh-CN"/>
        </w:rPr>
        <w:t>5</w:t>
      </w:r>
      <w:r>
        <w:rPr>
          <w:rFonts w:hint="default" w:ascii="Times New Roman" w:hAnsi="Times New Roman" w:eastAsia="方正小标宋简体" w:cs="Times New Roman"/>
          <w:kern w:val="0"/>
          <w:sz w:val="44"/>
          <w:szCs w:val="44"/>
        </w:rPr>
        <w:t>年县级财政衔接推进乡村振兴补助资金</w:t>
      </w:r>
      <w:r>
        <w:rPr>
          <w:rFonts w:hint="default" w:ascii="Times New Roman" w:hAnsi="Times New Roman" w:eastAsia="方正小标宋简体" w:cs="Times New Roman"/>
          <w:bCs/>
          <w:sz w:val="44"/>
          <w:szCs w:val="44"/>
        </w:rPr>
        <w:t>安排计划的公告</w:t>
      </w:r>
    </w:p>
    <w:p w14:paraId="207CF888">
      <w:pPr>
        <w:pStyle w:val="2"/>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textAlignment w:val="auto"/>
        <w:rPr>
          <w:rFonts w:hint="default" w:ascii="Times New Roman" w:hAnsi="Times New Roman" w:cs="Times New Roman"/>
        </w:rPr>
      </w:pPr>
    </w:p>
    <w:p w14:paraId="59712F96">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为进一步保障贫困群众知情权、参与权、监督权，</w:t>
      </w:r>
      <w:r>
        <w:rPr>
          <w:rFonts w:hint="default" w:ascii="Times New Roman" w:hAnsi="Times New Roman" w:eastAsia="仿宋_GB2312" w:cs="Times New Roman"/>
          <w:sz w:val="32"/>
        </w:rPr>
        <w:t>现将井研县202</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年县级财政衔接推进</w:t>
      </w:r>
      <w:bookmarkStart w:id="0" w:name="_GoBack"/>
      <w:bookmarkEnd w:id="0"/>
      <w:r>
        <w:rPr>
          <w:rFonts w:hint="default" w:ascii="Times New Roman" w:hAnsi="Times New Roman" w:eastAsia="仿宋_GB2312" w:cs="Times New Roman"/>
          <w:sz w:val="32"/>
        </w:rPr>
        <w:t>乡村振兴补助资金安排计划公告如下。</w:t>
      </w:r>
    </w:p>
    <w:p w14:paraId="574C789E">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监督电话：0833-5718158。</w:t>
      </w:r>
    </w:p>
    <w:p w14:paraId="5EA101CA">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意见收集人：范鸿兵，联系电话：0833-5718158；电子邮箱：jyxfpkfj@163.com；通讯地址：井研县顺河街50号。</w:t>
      </w:r>
    </w:p>
    <w:p w14:paraId="54A61E81">
      <w:pPr>
        <w:keepNext w:val="0"/>
        <w:keepLines w:val="0"/>
        <w:pageBreakBefore w:val="0"/>
        <w:widowControl w:val="0"/>
        <w:kinsoku/>
        <w:overflowPunct/>
        <w:topLinePunct w:val="0"/>
        <w:autoSpaceDE/>
        <w:autoSpaceDN/>
        <w:bidi w:val="0"/>
        <w:adjustRightInd/>
        <w:snapToGrid/>
        <w:spacing w:line="600" w:lineRule="exact"/>
        <w:ind w:left="960" w:hanging="960" w:hangingChars="300"/>
        <w:textAlignment w:val="auto"/>
        <w:rPr>
          <w:rFonts w:hint="default" w:ascii="Times New Roman" w:hAnsi="Times New Roman" w:eastAsia="仿宋_GB2312" w:cs="Times New Roman"/>
          <w:color w:val="FF0000"/>
          <w:sz w:val="32"/>
        </w:rPr>
      </w:pPr>
    </w:p>
    <w:p w14:paraId="616725A9">
      <w:pPr>
        <w:keepNext w:val="0"/>
        <w:keepLines w:val="0"/>
        <w:pageBreakBefore w:val="0"/>
        <w:widowControl w:val="0"/>
        <w:kinsoku/>
        <w:overflowPunct/>
        <w:topLinePunct w:val="0"/>
        <w:autoSpaceDE/>
        <w:autoSpaceDN/>
        <w:bidi w:val="0"/>
        <w:adjustRightInd/>
        <w:snapToGrid/>
        <w:spacing w:line="600" w:lineRule="exact"/>
        <w:ind w:left="1598" w:leftChars="304" w:hanging="960" w:hangingChars="300"/>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eastAsia="zh-CN"/>
        </w:rPr>
        <w:t>附件：</w:t>
      </w:r>
      <w:r>
        <w:rPr>
          <w:rFonts w:hint="eastAsia" w:ascii="Times New Roman" w:hAnsi="Times New Roman" w:eastAsia="仿宋_GB2312" w:cs="Times New Roman"/>
          <w:sz w:val="32"/>
          <w:lang w:val="en-US" w:eastAsia="zh-CN"/>
        </w:rPr>
        <w:t>井研县2025年县级财政衔接推进乡村振兴补助资金安排计划</w:t>
      </w:r>
    </w:p>
    <w:p w14:paraId="4ADF200D">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default"/>
        </w:rPr>
      </w:pPr>
    </w:p>
    <w:p w14:paraId="659FE3AF">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default"/>
        </w:rPr>
      </w:pPr>
    </w:p>
    <w:p w14:paraId="31AF6696">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default"/>
        </w:rPr>
      </w:pPr>
    </w:p>
    <w:p w14:paraId="27C29C77">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rPr>
      </w:pP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井研县农业农村局</w:t>
      </w:r>
    </w:p>
    <w:p w14:paraId="6DDB6A6D">
      <w:pPr>
        <w:keepNext w:val="0"/>
        <w:keepLines w:val="0"/>
        <w:pageBreakBefore w:val="0"/>
        <w:widowControl w:val="0"/>
        <w:kinsoku/>
        <w:overflowPunct/>
        <w:topLinePunct w:val="0"/>
        <w:autoSpaceDE/>
        <w:autoSpaceDN/>
        <w:bidi w:val="0"/>
        <w:adjustRightInd/>
        <w:snapToGrid/>
        <w:spacing w:line="600" w:lineRule="exact"/>
        <w:ind w:right="640" w:firstLine="640" w:firstLineChars="200"/>
        <w:jc w:val="center"/>
        <w:textAlignment w:val="auto"/>
        <w:rPr>
          <w:rFonts w:hint="default" w:ascii="Times New Roman" w:hAnsi="Times New Roman" w:eastAsia="仿宋_GB2312" w:cs="Times New Roman"/>
          <w:sz w:val="32"/>
        </w:rPr>
        <w:sectPr>
          <w:footerReference r:id="rId3" w:type="default"/>
          <w:pgSz w:w="11906" w:h="16838"/>
          <w:pgMar w:top="2041" w:right="1468" w:bottom="1587" w:left="1468" w:header="851" w:footer="992" w:gutter="0"/>
          <w:pgNumType w:fmt="numberInDash"/>
          <w:cols w:space="0" w:num="1"/>
          <w:docGrid w:linePitch="312" w:charSpace="0"/>
        </w:sectPr>
      </w:pP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202</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年</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月</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8</w:t>
      </w:r>
      <w:r>
        <w:rPr>
          <w:rFonts w:hint="default" w:ascii="Times New Roman" w:hAnsi="Times New Roman" w:eastAsia="仿宋_GB2312" w:cs="Times New Roman"/>
          <w:sz w:val="32"/>
        </w:rPr>
        <w:t>日</w:t>
      </w:r>
    </w:p>
    <w:tbl>
      <w:tblPr>
        <w:tblStyle w:val="10"/>
        <w:tblW w:w="140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1132"/>
        <w:gridCol w:w="641"/>
        <w:gridCol w:w="3922"/>
        <w:gridCol w:w="1408"/>
        <w:gridCol w:w="1456"/>
        <w:gridCol w:w="1078"/>
        <w:gridCol w:w="870"/>
        <w:gridCol w:w="955"/>
        <w:gridCol w:w="2101"/>
      </w:tblGrid>
      <w:tr w14:paraId="7308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014" w:type="dxa"/>
            <w:gridSpan w:val="10"/>
            <w:tcBorders>
              <w:top w:val="nil"/>
              <w:left w:val="nil"/>
              <w:bottom w:val="nil"/>
              <w:right w:val="nil"/>
            </w:tcBorders>
            <w:shd w:val="clear" w:color="auto" w:fill="auto"/>
            <w:noWrap/>
            <w:vAlign w:val="center"/>
          </w:tcPr>
          <w:p w14:paraId="3B7D4044">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井研县2025年县级财政衔接推进乡村振兴补助资金安排计划</w:t>
            </w:r>
          </w:p>
        </w:tc>
      </w:tr>
      <w:tr w14:paraId="547E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62D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55F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项目类别和名称</w:t>
            </w:r>
          </w:p>
        </w:tc>
        <w:tc>
          <w:tcPr>
            <w:tcW w:w="4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CD3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项目基本情况</w:t>
            </w:r>
          </w:p>
        </w:tc>
        <w:tc>
          <w:tcPr>
            <w:tcW w:w="2864" w:type="dxa"/>
            <w:gridSpan w:val="2"/>
            <w:tcBorders>
              <w:top w:val="single" w:color="000000" w:sz="4" w:space="0"/>
              <w:left w:val="single" w:color="000000" w:sz="4" w:space="0"/>
              <w:bottom w:val="single" w:color="000000" w:sz="4" w:space="0"/>
              <w:right w:val="nil"/>
            </w:tcBorders>
            <w:shd w:val="clear" w:color="auto" w:fill="auto"/>
            <w:vAlign w:val="center"/>
          </w:tcPr>
          <w:p w14:paraId="0D9CDD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项目资金来源及规模</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B23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项目实施</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4FD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2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E2C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群众参与和利益联结机制</w:t>
            </w:r>
          </w:p>
        </w:tc>
      </w:tr>
      <w:tr w14:paraId="63813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00F48">
            <w:pPr>
              <w:jc w:val="center"/>
              <w:rPr>
                <w:rFonts w:hint="eastAsia" w:ascii="宋体" w:hAnsi="宋体" w:eastAsia="宋体" w:cs="宋体"/>
                <w:b/>
                <w:bCs/>
                <w:i w:val="0"/>
                <w:iCs w:val="0"/>
                <w:color w:val="000000"/>
                <w:sz w:val="20"/>
                <w:szCs w:val="20"/>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E9881">
            <w:pPr>
              <w:jc w:val="center"/>
              <w:rPr>
                <w:rFonts w:hint="eastAsia" w:ascii="宋体" w:hAnsi="宋体" w:eastAsia="宋体" w:cs="宋体"/>
                <w:b/>
                <w:bCs/>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F2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实施地点</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31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项目内容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C1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规划投资（万元）</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2B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县级衔接资金（万元）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3E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E5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实施期限</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1D44A">
            <w:pPr>
              <w:jc w:val="center"/>
              <w:rPr>
                <w:rFonts w:hint="eastAsia" w:ascii="宋体" w:hAnsi="宋体" w:eastAsia="宋体" w:cs="宋体"/>
                <w:b/>
                <w:bCs/>
                <w:i w:val="0"/>
                <w:iCs w:val="0"/>
                <w:color w:val="000000"/>
                <w:sz w:val="20"/>
                <w:szCs w:val="20"/>
                <w:u w:val="none"/>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87DC6">
            <w:pPr>
              <w:jc w:val="center"/>
              <w:rPr>
                <w:rFonts w:hint="eastAsia" w:ascii="宋体" w:hAnsi="宋体" w:eastAsia="宋体" w:cs="宋体"/>
                <w:b/>
                <w:bCs/>
                <w:i w:val="0"/>
                <w:iCs w:val="0"/>
                <w:color w:val="000000"/>
                <w:sz w:val="20"/>
                <w:szCs w:val="20"/>
                <w:u w:val="none"/>
              </w:rPr>
            </w:pPr>
          </w:p>
        </w:tc>
      </w:tr>
      <w:tr w14:paraId="7C861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4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FC83D">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合计</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0C75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1339.401595</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16F0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1339.401595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5496">
            <w:pPr>
              <w:jc w:val="center"/>
              <w:rPr>
                <w:rFonts w:hint="eastAsia" w:ascii="仿宋_GB2312" w:hAnsi="宋体" w:eastAsia="仿宋_GB2312" w:cs="仿宋_GB2312"/>
                <w:b/>
                <w:bCs/>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B3C2">
            <w:pPr>
              <w:jc w:val="center"/>
              <w:rPr>
                <w:rFonts w:hint="eastAsia" w:ascii="仿宋_GB2312" w:hAnsi="宋体" w:eastAsia="仿宋_GB2312" w:cs="仿宋_GB2312"/>
                <w:b/>
                <w:bCs/>
                <w:i w:val="0"/>
                <w:iCs w:val="0"/>
                <w:color w:val="000000"/>
                <w:sz w:val="20"/>
                <w:szCs w:val="20"/>
                <w:u w:val="none"/>
              </w:rPr>
            </w:pPr>
          </w:p>
        </w:tc>
        <w:tc>
          <w:tcPr>
            <w:tcW w:w="955" w:type="dxa"/>
            <w:tcBorders>
              <w:top w:val="nil"/>
              <w:left w:val="single" w:color="000000" w:sz="4" w:space="0"/>
              <w:bottom w:val="single" w:color="000000" w:sz="4" w:space="0"/>
              <w:right w:val="single" w:color="000000" w:sz="4" w:space="0"/>
            </w:tcBorders>
            <w:shd w:val="clear" w:color="auto" w:fill="auto"/>
            <w:vAlign w:val="center"/>
          </w:tcPr>
          <w:p w14:paraId="7398DBB6">
            <w:pPr>
              <w:jc w:val="center"/>
              <w:rPr>
                <w:rFonts w:hint="eastAsia" w:ascii="仿宋_GB2312" w:hAnsi="宋体" w:eastAsia="仿宋_GB2312" w:cs="仿宋_GB2312"/>
                <w:b/>
                <w:bCs/>
                <w:i w:val="0"/>
                <w:iCs w:val="0"/>
                <w:color w:val="000000"/>
                <w:sz w:val="20"/>
                <w:szCs w:val="20"/>
                <w:u w:val="none"/>
              </w:rPr>
            </w:pPr>
          </w:p>
        </w:tc>
        <w:tc>
          <w:tcPr>
            <w:tcW w:w="2101" w:type="dxa"/>
            <w:tcBorders>
              <w:top w:val="nil"/>
              <w:left w:val="single" w:color="000000" w:sz="4" w:space="0"/>
              <w:bottom w:val="single" w:color="000000" w:sz="4" w:space="0"/>
              <w:right w:val="single" w:color="000000" w:sz="4" w:space="0"/>
            </w:tcBorders>
            <w:shd w:val="clear" w:color="auto" w:fill="auto"/>
            <w:vAlign w:val="center"/>
          </w:tcPr>
          <w:p w14:paraId="0BC9A745">
            <w:pPr>
              <w:jc w:val="center"/>
              <w:rPr>
                <w:rFonts w:hint="eastAsia" w:ascii="仿宋_GB2312" w:hAnsi="宋体" w:eastAsia="仿宋_GB2312" w:cs="仿宋_GB2312"/>
                <w:b/>
                <w:bCs/>
                <w:i w:val="0"/>
                <w:iCs w:val="0"/>
                <w:color w:val="000000"/>
                <w:sz w:val="20"/>
                <w:szCs w:val="20"/>
                <w:u w:val="none"/>
              </w:rPr>
            </w:pPr>
          </w:p>
        </w:tc>
      </w:tr>
      <w:tr w14:paraId="60F2F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A1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84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女性安康保险</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03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全县</w:t>
            </w:r>
          </w:p>
        </w:tc>
        <w:tc>
          <w:tcPr>
            <w:tcW w:w="3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C7D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为脱贫妇女购买女性安康保险。</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27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11.898</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D2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11.898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4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5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E3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受益群众满意度≧90%</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0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预计提升3700户农户抵御健康风险能力，提高家庭生活质量，避免家庭因病致贫、因病返贫。</w:t>
            </w:r>
          </w:p>
        </w:tc>
      </w:tr>
      <w:tr w14:paraId="2A3E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99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F0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扶贫及乡村振兴工作宣传、培训、迎检、考核等经费</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D7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全县</w:t>
            </w:r>
          </w:p>
        </w:tc>
        <w:tc>
          <w:tcPr>
            <w:tcW w:w="3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792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保障开展扶贫及乡村振兴工作宣传、培训、迎检、考核等经费，含井研县大豆玉米复合种植产业集群项目工作经费。</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87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174.609286</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96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174.609286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D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A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A6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受益群众满意度≧90%</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C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乡村振兴相关经费，不涉及群众参与和利益联结。</w:t>
            </w:r>
          </w:p>
        </w:tc>
      </w:tr>
      <w:tr w14:paraId="2C77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45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84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项目前期费</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28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全县</w:t>
            </w:r>
          </w:p>
        </w:tc>
        <w:tc>
          <w:tcPr>
            <w:tcW w:w="3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E50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扶贫项目及乡村振兴项目规划、设计、评审、监理等费用，若有不足，则从县级衔接资金项目结余资金中解决。</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C3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246.634309</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CE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246.634309</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7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4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CA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受益群众满意度≧90%</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4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按规定提取项目管理费，不涉及群众参与和利益联结。</w:t>
            </w:r>
          </w:p>
        </w:tc>
      </w:tr>
      <w:tr w14:paraId="081D2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1A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84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2024年、2025年度冬季送温暖活动</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B1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全县</w:t>
            </w:r>
          </w:p>
        </w:tc>
        <w:tc>
          <w:tcPr>
            <w:tcW w:w="3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1E3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各镇开展冬季走访慰问送温暖活动。</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4E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B4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3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6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B6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受益群众满意度≧90%</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6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预计改善6600户农户生活条件，增强农户幸福感、获得感。</w:t>
            </w:r>
          </w:p>
        </w:tc>
      </w:tr>
      <w:tr w14:paraId="4396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03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09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促进脱贫人口增收计划（敬老尽孝奖补）</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C2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全县</w:t>
            </w:r>
          </w:p>
        </w:tc>
        <w:tc>
          <w:tcPr>
            <w:tcW w:w="3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16D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脱贫户（监测户）中的老人户（系统内无60岁以下的劳动力人口）亲属孝敬老人，定期给予老人生活费，使家庭人均年收入达到8100元以上（含低保、养老保险及其他收入），按照全年给予老人生活费的20%给予奖励，每户奖补不超过2000元。若有不足，则从县级衔接资金项目结余资金中解决。</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07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9A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9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C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CE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受益群众满意度≧90%</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D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预计带动1200户老人户获得转移收入，户均增收0.5万元以上。</w:t>
            </w:r>
          </w:p>
        </w:tc>
      </w:tr>
      <w:tr w14:paraId="660BD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C9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A7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脱贫人口跨区域务工就业交通补助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55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全县</w:t>
            </w:r>
          </w:p>
        </w:tc>
        <w:tc>
          <w:tcPr>
            <w:tcW w:w="3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D8A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该项目已在县政府审定同意的2025年提前批中省衔接资金项目实施方案中，已预先安排县级衔接资金100万元。</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AC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D0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C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F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36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受益群众满意度≧90%</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D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预计带动3600脱贫人口劳动务工获得收入，户均增收1万元以上。</w:t>
            </w:r>
          </w:p>
        </w:tc>
      </w:tr>
      <w:tr w14:paraId="68EF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CC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8D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2025年中省财政支持新型农村集体经济扶持项目</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55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马踏镇南河村等8个村</w:t>
            </w:r>
          </w:p>
        </w:tc>
        <w:tc>
          <w:tcPr>
            <w:tcW w:w="3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7D0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该项目已在县政府审定同意的2025年提前批中省衔接资金项目实施方案中，已预先安排县级衔接资金320万元。</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99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E8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2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马踏镇等8个镇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A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7C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受益群众满意度≧90%</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1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村集体自主经营或与第三方合作共同壮大发展地方特色优势产业，预计吸纳50人获得就业岗位，并带动周围群众发展柑橘等产业获得生产收入。</w:t>
            </w:r>
          </w:p>
        </w:tc>
      </w:tr>
      <w:tr w14:paraId="19C1D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62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E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补充井研县防致贫返贫基金</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D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全县</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DB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根据《井研县防止致贫返贫救助基金管理办法（修订）》第五条“当救助基金使用后低于30万元时，县财政应及时进行补充”，今年补充防致贫返贫救助基金50万元。</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4F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A4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A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7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23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受益群众满意度≧90%</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0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解决群众因病因灾因意外事故等的困难问题。</w:t>
            </w:r>
          </w:p>
        </w:tc>
      </w:tr>
      <w:tr w14:paraId="2F4DF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4B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7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山洪灾害危险区责任人履职补助</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3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全县</w:t>
            </w:r>
          </w:p>
        </w:tc>
        <w:tc>
          <w:tcPr>
            <w:tcW w:w="3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E69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该项目在2025年提前批中省衔接资金项目实施方案中已经县政府审定同意调剂到县级衔接资金中重新安排，本次安排资金48.26万元，若有不足，则从县级衔接资金项目结余资金中解决。</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37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48.26</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B1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1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D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6F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受益群众满意度≧90%</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C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预计增加254人公益岗位就业。</w:t>
            </w:r>
          </w:p>
        </w:tc>
      </w:tr>
      <w:tr w14:paraId="74017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D9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C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王村镇龙池村2023年新型农村集体经济项目</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B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王村镇龙池村</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9C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本次安排资金51万元用于被调剂的王村镇龙池村2023年新型农村集体经济项目。</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0F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C3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E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王村镇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5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95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受益群众满意度≧90%</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38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村集体自主经营或与第三方合作共同壮大发展地方特色优势产业，预计吸纳50人获得就业岗位，并带动周围群众发展柑橘等产业获得生产收入。</w:t>
            </w:r>
          </w:p>
        </w:tc>
      </w:tr>
      <w:tr w14:paraId="4DAB5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5E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4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井研县2024年大豆玉米复合种植产业集群项目</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A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全县</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A5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本次安排资金120万元用于被调剂的2024年大豆玉米复合种植产业集群项目。</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72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CD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D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9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09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受益群众满意度≧90%</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C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发展优势特色产业，提高粮食作物产量，带动群众增收。</w:t>
            </w:r>
          </w:p>
        </w:tc>
      </w:tr>
      <w:tr w14:paraId="6AEC3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D2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9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井研县乡村振兴农业产业发展补贴</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C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全县</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42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乡村振兴农业产业发展补贴。</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11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19.038405</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4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19.038405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0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6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73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受益群众满意度≧90%</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E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预计带动100户农户增收。</w:t>
            </w:r>
          </w:p>
        </w:tc>
      </w:tr>
      <w:tr w14:paraId="6C22D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60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7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农村公益岗位开发项目</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7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全县</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FD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按后评估考核要求，预估新开发农村公益岗位320个，规划补贴资金70.56万元（补贴每人315元/月，其中工资300元，工伤保险15元据实补助，从6月起算至12月共7个月），按一卡通方式发放。</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5F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70.56</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2E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70.56</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3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E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12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受益群众满意度≧90%</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0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预计开发农村公益岗位320个，增加脱贫户和监测户就业务工收入。</w:t>
            </w:r>
          </w:p>
        </w:tc>
      </w:tr>
    </w:tbl>
    <w:p w14:paraId="6A8D1D05">
      <w:pPr>
        <w:pStyle w:val="2"/>
      </w:pPr>
    </w:p>
    <w:sectPr>
      <w:pgSz w:w="16838" w:h="11906" w:orient="landscape"/>
      <w:pgMar w:top="1587" w:right="1474" w:bottom="1474" w:left="1474"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8CBD8">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62CBC4D">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k5MjZlNDQ0NTc3NDUwYWQ3MjVhOGQ1YjEwYjdjZWEifQ=="/>
  </w:docVars>
  <w:rsids>
    <w:rsidRoot w:val="00FD7FB6"/>
    <w:rsid w:val="00002BE6"/>
    <w:rsid w:val="000202BD"/>
    <w:rsid w:val="00023AC6"/>
    <w:rsid w:val="00026109"/>
    <w:rsid w:val="0002705B"/>
    <w:rsid w:val="00034714"/>
    <w:rsid w:val="000423AA"/>
    <w:rsid w:val="00051F49"/>
    <w:rsid w:val="000533C5"/>
    <w:rsid w:val="00067DAE"/>
    <w:rsid w:val="0007171C"/>
    <w:rsid w:val="00084D71"/>
    <w:rsid w:val="0008605C"/>
    <w:rsid w:val="000870AC"/>
    <w:rsid w:val="00087264"/>
    <w:rsid w:val="000A0961"/>
    <w:rsid w:val="000B1602"/>
    <w:rsid w:val="000B37B0"/>
    <w:rsid w:val="000B5349"/>
    <w:rsid w:val="000B634B"/>
    <w:rsid w:val="000D79BC"/>
    <w:rsid w:val="000E0A08"/>
    <w:rsid w:val="000F19D8"/>
    <w:rsid w:val="00106625"/>
    <w:rsid w:val="00111911"/>
    <w:rsid w:val="001403A4"/>
    <w:rsid w:val="00170526"/>
    <w:rsid w:val="001749FC"/>
    <w:rsid w:val="00175A45"/>
    <w:rsid w:val="0019639B"/>
    <w:rsid w:val="001E608A"/>
    <w:rsid w:val="001F0400"/>
    <w:rsid w:val="001F1866"/>
    <w:rsid w:val="001F73E4"/>
    <w:rsid w:val="00205F6B"/>
    <w:rsid w:val="00225CA0"/>
    <w:rsid w:val="002272FC"/>
    <w:rsid w:val="00233242"/>
    <w:rsid w:val="002A1B81"/>
    <w:rsid w:val="002B2F12"/>
    <w:rsid w:val="002B4F86"/>
    <w:rsid w:val="002D24EF"/>
    <w:rsid w:val="002D4E12"/>
    <w:rsid w:val="002F11AF"/>
    <w:rsid w:val="002F79FF"/>
    <w:rsid w:val="0030258A"/>
    <w:rsid w:val="00307D5C"/>
    <w:rsid w:val="003128E1"/>
    <w:rsid w:val="00324596"/>
    <w:rsid w:val="0032776F"/>
    <w:rsid w:val="00327B96"/>
    <w:rsid w:val="0033500A"/>
    <w:rsid w:val="00340A81"/>
    <w:rsid w:val="00353051"/>
    <w:rsid w:val="00376BC0"/>
    <w:rsid w:val="003773F8"/>
    <w:rsid w:val="0039493A"/>
    <w:rsid w:val="003D3452"/>
    <w:rsid w:val="003D3B35"/>
    <w:rsid w:val="003E25E1"/>
    <w:rsid w:val="003F31E4"/>
    <w:rsid w:val="00451319"/>
    <w:rsid w:val="00460C27"/>
    <w:rsid w:val="00465163"/>
    <w:rsid w:val="00496EB4"/>
    <w:rsid w:val="004D3C1B"/>
    <w:rsid w:val="004F1534"/>
    <w:rsid w:val="0050654C"/>
    <w:rsid w:val="00507BAF"/>
    <w:rsid w:val="00534EF1"/>
    <w:rsid w:val="00536ACA"/>
    <w:rsid w:val="005409E9"/>
    <w:rsid w:val="005605DC"/>
    <w:rsid w:val="005608B2"/>
    <w:rsid w:val="005803F9"/>
    <w:rsid w:val="00581E08"/>
    <w:rsid w:val="005C6D2F"/>
    <w:rsid w:val="005D7A79"/>
    <w:rsid w:val="006045F8"/>
    <w:rsid w:val="00614A1C"/>
    <w:rsid w:val="00617A35"/>
    <w:rsid w:val="006228FE"/>
    <w:rsid w:val="00634AB8"/>
    <w:rsid w:val="00634B3A"/>
    <w:rsid w:val="00636837"/>
    <w:rsid w:val="006533C3"/>
    <w:rsid w:val="00653739"/>
    <w:rsid w:val="006860A4"/>
    <w:rsid w:val="006C004D"/>
    <w:rsid w:val="006C7C45"/>
    <w:rsid w:val="006E474F"/>
    <w:rsid w:val="006F2A6F"/>
    <w:rsid w:val="006F6ADE"/>
    <w:rsid w:val="007018BF"/>
    <w:rsid w:val="00711645"/>
    <w:rsid w:val="00723AF2"/>
    <w:rsid w:val="007262C4"/>
    <w:rsid w:val="007332FD"/>
    <w:rsid w:val="007362DB"/>
    <w:rsid w:val="007450F8"/>
    <w:rsid w:val="00785D62"/>
    <w:rsid w:val="007A7875"/>
    <w:rsid w:val="007B2BA0"/>
    <w:rsid w:val="007C63C4"/>
    <w:rsid w:val="007C66DD"/>
    <w:rsid w:val="007D5317"/>
    <w:rsid w:val="007D7362"/>
    <w:rsid w:val="007E1C76"/>
    <w:rsid w:val="007E3676"/>
    <w:rsid w:val="007E4426"/>
    <w:rsid w:val="007F11CF"/>
    <w:rsid w:val="007F58DB"/>
    <w:rsid w:val="008049FD"/>
    <w:rsid w:val="00804DCB"/>
    <w:rsid w:val="00812ACA"/>
    <w:rsid w:val="008234FF"/>
    <w:rsid w:val="008334EF"/>
    <w:rsid w:val="00835904"/>
    <w:rsid w:val="00836108"/>
    <w:rsid w:val="00836292"/>
    <w:rsid w:val="00837F84"/>
    <w:rsid w:val="0084073A"/>
    <w:rsid w:val="008513AD"/>
    <w:rsid w:val="00854455"/>
    <w:rsid w:val="00856950"/>
    <w:rsid w:val="00861178"/>
    <w:rsid w:val="00881D97"/>
    <w:rsid w:val="008914BD"/>
    <w:rsid w:val="00895F1D"/>
    <w:rsid w:val="008B1A96"/>
    <w:rsid w:val="008C2487"/>
    <w:rsid w:val="008C4017"/>
    <w:rsid w:val="008D5008"/>
    <w:rsid w:val="008E6664"/>
    <w:rsid w:val="009168BE"/>
    <w:rsid w:val="00943B1E"/>
    <w:rsid w:val="00954CBB"/>
    <w:rsid w:val="0096480C"/>
    <w:rsid w:val="009762FF"/>
    <w:rsid w:val="0098341F"/>
    <w:rsid w:val="009838C8"/>
    <w:rsid w:val="00991822"/>
    <w:rsid w:val="00992DAD"/>
    <w:rsid w:val="00993CA5"/>
    <w:rsid w:val="00994851"/>
    <w:rsid w:val="009A2AE6"/>
    <w:rsid w:val="009C6A82"/>
    <w:rsid w:val="009D2407"/>
    <w:rsid w:val="009F0E57"/>
    <w:rsid w:val="009F0EB8"/>
    <w:rsid w:val="00A05AE8"/>
    <w:rsid w:val="00A117FD"/>
    <w:rsid w:val="00A202E8"/>
    <w:rsid w:val="00A44C62"/>
    <w:rsid w:val="00A628E1"/>
    <w:rsid w:val="00A75651"/>
    <w:rsid w:val="00A90B1E"/>
    <w:rsid w:val="00A93048"/>
    <w:rsid w:val="00A96CBF"/>
    <w:rsid w:val="00AE357C"/>
    <w:rsid w:val="00AE3A07"/>
    <w:rsid w:val="00AE7001"/>
    <w:rsid w:val="00AF21B6"/>
    <w:rsid w:val="00B02FBF"/>
    <w:rsid w:val="00B209A4"/>
    <w:rsid w:val="00B23395"/>
    <w:rsid w:val="00B30C4D"/>
    <w:rsid w:val="00B33B20"/>
    <w:rsid w:val="00B407FC"/>
    <w:rsid w:val="00B43311"/>
    <w:rsid w:val="00B4357F"/>
    <w:rsid w:val="00B646E1"/>
    <w:rsid w:val="00B64DF9"/>
    <w:rsid w:val="00B66993"/>
    <w:rsid w:val="00B7122E"/>
    <w:rsid w:val="00B778A5"/>
    <w:rsid w:val="00B90938"/>
    <w:rsid w:val="00BA4944"/>
    <w:rsid w:val="00BB2D94"/>
    <w:rsid w:val="00BB332B"/>
    <w:rsid w:val="00BB405E"/>
    <w:rsid w:val="00BB585B"/>
    <w:rsid w:val="00BC0117"/>
    <w:rsid w:val="00BC21A7"/>
    <w:rsid w:val="00BC3A18"/>
    <w:rsid w:val="00BC48C8"/>
    <w:rsid w:val="00BD6A0D"/>
    <w:rsid w:val="00C24BBC"/>
    <w:rsid w:val="00C25005"/>
    <w:rsid w:val="00C359D0"/>
    <w:rsid w:val="00C434F8"/>
    <w:rsid w:val="00C50A91"/>
    <w:rsid w:val="00C6046F"/>
    <w:rsid w:val="00C626E7"/>
    <w:rsid w:val="00C67ED0"/>
    <w:rsid w:val="00C76FC5"/>
    <w:rsid w:val="00C8098D"/>
    <w:rsid w:val="00C821FA"/>
    <w:rsid w:val="00CA3D35"/>
    <w:rsid w:val="00CB71F6"/>
    <w:rsid w:val="00CC53E8"/>
    <w:rsid w:val="00CE3C88"/>
    <w:rsid w:val="00CE5787"/>
    <w:rsid w:val="00D061D0"/>
    <w:rsid w:val="00D2357D"/>
    <w:rsid w:val="00D23CBF"/>
    <w:rsid w:val="00D325E1"/>
    <w:rsid w:val="00D35D24"/>
    <w:rsid w:val="00D44CAE"/>
    <w:rsid w:val="00D46A2B"/>
    <w:rsid w:val="00D53185"/>
    <w:rsid w:val="00D86C8F"/>
    <w:rsid w:val="00DB492B"/>
    <w:rsid w:val="00DB5E39"/>
    <w:rsid w:val="00DD2E24"/>
    <w:rsid w:val="00DD4CB4"/>
    <w:rsid w:val="00DD655A"/>
    <w:rsid w:val="00E0565C"/>
    <w:rsid w:val="00E0663B"/>
    <w:rsid w:val="00E12213"/>
    <w:rsid w:val="00E26A73"/>
    <w:rsid w:val="00E33D2F"/>
    <w:rsid w:val="00E4164A"/>
    <w:rsid w:val="00E51DEF"/>
    <w:rsid w:val="00E67AA0"/>
    <w:rsid w:val="00E80B80"/>
    <w:rsid w:val="00EA0B6C"/>
    <w:rsid w:val="00EC3021"/>
    <w:rsid w:val="00EC48B1"/>
    <w:rsid w:val="00ED2F46"/>
    <w:rsid w:val="00EE780B"/>
    <w:rsid w:val="00EF0CE0"/>
    <w:rsid w:val="00EF3531"/>
    <w:rsid w:val="00EF7836"/>
    <w:rsid w:val="00F06DDC"/>
    <w:rsid w:val="00F2306A"/>
    <w:rsid w:val="00F233FE"/>
    <w:rsid w:val="00F36252"/>
    <w:rsid w:val="00F456B7"/>
    <w:rsid w:val="00F55F6B"/>
    <w:rsid w:val="00F67D10"/>
    <w:rsid w:val="00F7344F"/>
    <w:rsid w:val="00F75167"/>
    <w:rsid w:val="00F76CD7"/>
    <w:rsid w:val="00F86F16"/>
    <w:rsid w:val="00FA359E"/>
    <w:rsid w:val="00FD314C"/>
    <w:rsid w:val="00FD7FB6"/>
    <w:rsid w:val="00FE060A"/>
    <w:rsid w:val="00FE203E"/>
    <w:rsid w:val="00FF05D5"/>
    <w:rsid w:val="01D97CA4"/>
    <w:rsid w:val="03955966"/>
    <w:rsid w:val="03C058BB"/>
    <w:rsid w:val="061F7BC1"/>
    <w:rsid w:val="064E6288"/>
    <w:rsid w:val="0D1D0F51"/>
    <w:rsid w:val="0F7F27E3"/>
    <w:rsid w:val="0FFE0BD4"/>
    <w:rsid w:val="10D34935"/>
    <w:rsid w:val="16CD40E7"/>
    <w:rsid w:val="1DFC4F5B"/>
    <w:rsid w:val="22C6275A"/>
    <w:rsid w:val="24686551"/>
    <w:rsid w:val="26A24C3E"/>
    <w:rsid w:val="28C4364A"/>
    <w:rsid w:val="2A7775AB"/>
    <w:rsid w:val="34D3192B"/>
    <w:rsid w:val="39053BDD"/>
    <w:rsid w:val="3E994874"/>
    <w:rsid w:val="3F66079B"/>
    <w:rsid w:val="4120049F"/>
    <w:rsid w:val="42102D48"/>
    <w:rsid w:val="52540600"/>
    <w:rsid w:val="739D4FB3"/>
    <w:rsid w:val="74056128"/>
    <w:rsid w:val="76E040D8"/>
    <w:rsid w:val="78A41614"/>
    <w:rsid w:val="7AAF30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autoRedefine/>
    <w:unhideWhenUsed/>
    <w:qFormat/>
    <w:uiPriority w:val="99"/>
    <w:pPr>
      <w:ind w:left="420" w:leftChars="200"/>
    </w:pPr>
  </w:style>
  <w:style w:type="paragraph" w:styleId="4">
    <w:name w:val="Date"/>
    <w:basedOn w:val="1"/>
    <w:next w:val="1"/>
    <w:link w:val="17"/>
    <w:autoRedefine/>
    <w:unhideWhenUsed/>
    <w:qFormat/>
    <w:uiPriority w:val="99"/>
    <w:pPr>
      <w:ind w:left="100" w:leftChars="2500"/>
    </w:pPr>
  </w:style>
  <w:style w:type="paragraph" w:styleId="5">
    <w:name w:val="Balloon Text"/>
    <w:basedOn w:val="1"/>
    <w:link w:val="30"/>
    <w:autoRedefine/>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9"/>
    <w:autoRedefine/>
    <w:unhideWhenUsed/>
    <w:qFormat/>
    <w:uiPriority w:val="99"/>
    <w:pPr>
      <w:snapToGrid w:val="0"/>
      <w:jc w:val="left"/>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22"/>
    <w:rPr>
      <w:b/>
      <w:bCs/>
    </w:rPr>
  </w:style>
  <w:style w:type="character" w:styleId="14">
    <w:name w:val="Hyperlink"/>
    <w:basedOn w:val="12"/>
    <w:autoRedefine/>
    <w:unhideWhenUsed/>
    <w:qFormat/>
    <w:uiPriority w:val="99"/>
    <w:rPr>
      <w:color w:val="0000FF" w:themeColor="hyperlink"/>
      <w:u w:val="single"/>
    </w:rPr>
  </w:style>
  <w:style w:type="character" w:styleId="15">
    <w:name w:val="footnote reference"/>
    <w:basedOn w:val="12"/>
    <w:autoRedefine/>
    <w:unhideWhenUsed/>
    <w:qFormat/>
    <w:uiPriority w:val="99"/>
    <w:rPr>
      <w:vertAlign w:val="superscript"/>
    </w:rPr>
  </w:style>
  <w:style w:type="character" w:customStyle="1" w:styleId="16">
    <w:name w:val="页脚 Char"/>
    <w:basedOn w:val="12"/>
    <w:link w:val="6"/>
    <w:autoRedefine/>
    <w:qFormat/>
    <w:uiPriority w:val="99"/>
    <w:rPr>
      <w:sz w:val="18"/>
      <w:szCs w:val="18"/>
    </w:rPr>
  </w:style>
  <w:style w:type="character" w:customStyle="1" w:styleId="17">
    <w:name w:val="日期 Char"/>
    <w:basedOn w:val="12"/>
    <w:link w:val="4"/>
    <w:autoRedefine/>
    <w:semiHidden/>
    <w:qFormat/>
    <w:uiPriority w:val="99"/>
  </w:style>
  <w:style w:type="paragraph" w:customStyle="1" w:styleId="18">
    <w:name w:val="列出段落1"/>
    <w:basedOn w:val="1"/>
    <w:autoRedefine/>
    <w:qFormat/>
    <w:uiPriority w:val="34"/>
    <w:pPr>
      <w:ind w:firstLine="420" w:firstLineChars="200"/>
    </w:pPr>
  </w:style>
  <w:style w:type="character" w:customStyle="1" w:styleId="19">
    <w:name w:val="脚注文本 Char"/>
    <w:basedOn w:val="12"/>
    <w:link w:val="8"/>
    <w:autoRedefine/>
    <w:semiHidden/>
    <w:qFormat/>
    <w:uiPriority w:val="99"/>
    <w:rPr>
      <w:sz w:val="18"/>
      <w:szCs w:val="18"/>
    </w:rPr>
  </w:style>
  <w:style w:type="character" w:customStyle="1" w:styleId="20">
    <w:name w:val="未处理的提及1"/>
    <w:basedOn w:val="12"/>
    <w:autoRedefine/>
    <w:unhideWhenUsed/>
    <w:qFormat/>
    <w:uiPriority w:val="99"/>
    <w:rPr>
      <w:color w:val="605E5C"/>
      <w:shd w:val="clear" w:color="auto" w:fill="E1DFDD"/>
    </w:rPr>
  </w:style>
  <w:style w:type="character" w:customStyle="1" w:styleId="21">
    <w:name w:val="页眉 Char"/>
    <w:basedOn w:val="12"/>
    <w:link w:val="7"/>
    <w:autoRedefine/>
    <w:qFormat/>
    <w:uiPriority w:val="99"/>
    <w:rPr>
      <w:sz w:val="18"/>
      <w:szCs w:val="18"/>
    </w:rPr>
  </w:style>
  <w:style w:type="character" w:customStyle="1" w:styleId="22">
    <w:name w:val="font21"/>
    <w:basedOn w:val="12"/>
    <w:autoRedefine/>
    <w:qFormat/>
    <w:uiPriority w:val="0"/>
    <w:rPr>
      <w:rFonts w:hint="default" w:ascii="Times New Roman" w:hAnsi="Times New Roman" w:cs="Times New Roman"/>
      <w:color w:val="000000"/>
      <w:sz w:val="44"/>
      <w:szCs w:val="44"/>
      <w:u w:val="none"/>
    </w:rPr>
  </w:style>
  <w:style w:type="character" w:customStyle="1" w:styleId="23">
    <w:name w:val="font61"/>
    <w:basedOn w:val="12"/>
    <w:autoRedefine/>
    <w:qFormat/>
    <w:uiPriority w:val="0"/>
    <w:rPr>
      <w:rFonts w:hint="eastAsia" w:ascii="方正黑体简体" w:eastAsia="方正黑体简体"/>
      <w:color w:val="000000"/>
      <w:sz w:val="44"/>
      <w:szCs w:val="44"/>
      <w:u w:val="none"/>
    </w:rPr>
  </w:style>
  <w:style w:type="character" w:customStyle="1" w:styleId="24">
    <w:name w:val="font11"/>
    <w:basedOn w:val="12"/>
    <w:autoRedefine/>
    <w:qFormat/>
    <w:uiPriority w:val="0"/>
    <w:rPr>
      <w:rFonts w:hint="eastAsia" w:ascii="宋体" w:hAnsi="宋体" w:eastAsia="宋体"/>
      <w:color w:val="000000"/>
      <w:sz w:val="28"/>
      <w:szCs w:val="28"/>
      <w:u w:val="none"/>
    </w:rPr>
  </w:style>
  <w:style w:type="character" w:customStyle="1" w:styleId="25">
    <w:name w:val="font01"/>
    <w:basedOn w:val="12"/>
    <w:autoRedefine/>
    <w:qFormat/>
    <w:uiPriority w:val="0"/>
    <w:rPr>
      <w:rFonts w:hint="default" w:ascii="Times New Roman" w:hAnsi="Times New Roman" w:cs="Times New Roman"/>
      <w:color w:val="000000"/>
      <w:sz w:val="28"/>
      <w:szCs w:val="28"/>
      <w:u w:val="none"/>
    </w:rPr>
  </w:style>
  <w:style w:type="character" w:customStyle="1" w:styleId="26">
    <w:name w:val="font71"/>
    <w:basedOn w:val="12"/>
    <w:autoRedefine/>
    <w:qFormat/>
    <w:uiPriority w:val="0"/>
    <w:rPr>
      <w:rFonts w:hint="eastAsia" w:ascii="宋体" w:hAnsi="宋体" w:eastAsia="宋体"/>
      <w:color w:val="000000"/>
      <w:sz w:val="24"/>
      <w:szCs w:val="24"/>
      <w:u w:val="none"/>
    </w:rPr>
  </w:style>
  <w:style w:type="character" w:customStyle="1" w:styleId="27">
    <w:name w:val="font51"/>
    <w:basedOn w:val="12"/>
    <w:autoRedefine/>
    <w:qFormat/>
    <w:uiPriority w:val="0"/>
    <w:rPr>
      <w:rFonts w:hint="eastAsia" w:ascii="方正黑体简体" w:eastAsia="方正黑体简体"/>
      <w:color w:val="000000"/>
      <w:sz w:val="44"/>
      <w:szCs w:val="44"/>
      <w:u w:val="none"/>
    </w:rPr>
  </w:style>
  <w:style w:type="character" w:customStyle="1" w:styleId="28">
    <w:name w:val="font31"/>
    <w:basedOn w:val="12"/>
    <w:autoRedefine/>
    <w:qFormat/>
    <w:uiPriority w:val="0"/>
    <w:rPr>
      <w:rFonts w:hint="default" w:ascii="Times New Roman" w:hAnsi="Times New Roman" w:cs="Times New Roman"/>
      <w:color w:val="000000"/>
      <w:sz w:val="24"/>
      <w:szCs w:val="24"/>
      <w:u w:val="none"/>
    </w:rPr>
  </w:style>
  <w:style w:type="table" w:customStyle="1" w:styleId="29">
    <w:name w:val="网格表 5 深色 - 着色 41"/>
    <w:basedOn w:val="10"/>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character" w:customStyle="1" w:styleId="30">
    <w:name w:val="批注框文本 Char"/>
    <w:basedOn w:val="12"/>
    <w:link w:val="5"/>
    <w:autoRedefine/>
    <w:semiHidden/>
    <w:qFormat/>
    <w:uiPriority w:val="99"/>
    <w:rPr>
      <w:sz w:val="18"/>
      <w:szCs w:val="18"/>
    </w:rPr>
  </w:style>
  <w:style w:type="character" w:customStyle="1" w:styleId="31">
    <w:name w:val="font41"/>
    <w:basedOn w:val="12"/>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3F7C65-6573-47F4-A666-EF5D5A5E62ED}">
  <ds:schemaRefs/>
</ds:datastoreItem>
</file>

<file path=docProps/app.xml><?xml version="1.0" encoding="utf-8"?>
<Properties xmlns="http://schemas.openxmlformats.org/officeDocument/2006/extended-properties" xmlns:vt="http://schemas.openxmlformats.org/officeDocument/2006/docPropsVTypes">
  <Template>Normal</Template>
  <Pages>4</Pages>
  <Words>1780</Words>
  <Characters>2121</Characters>
  <Lines>1</Lines>
  <Paragraphs>1</Paragraphs>
  <TotalTime>3</TotalTime>
  <ScaleCrop>false</ScaleCrop>
  <LinksUpToDate>false</LinksUpToDate>
  <CharactersWithSpaces>2164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2023-05-30T02:22:00Z</dcterms:created>
  <dc:creator>baolingyu</dc:creator>
  <cp:lastModifiedBy>熊倩利</cp:lastModifiedBy>
  <cp:lastPrinted>2025-05-26T08:47:00Z</cp:lastPrinted>
  <dcterms:modified xsi:type="dcterms:W3CDTF">2025-05-28T06:18:19Z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C4F656EA53324E66817ED2D4483255AA</vt:lpwstr>
  </property>
  <property fmtid="{D5CDD505-2E9C-101B-9397-08002B2CF9AE}" pid="4" name="KSOTemplateDocerSaveRecord">
    <vt:lpwstr>eyJoZGlkIjoiZTg0YzQ4ZDliYTZlN2IwOWQ1ZjU4YThhOTZlNGM1MGUiLCJ1c2VySWQiOiI1NTk0OTk0ODAifQ==</vt:lpwstr>
  </property>
</Properties>
</file>