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23A4E">
      <w:pPr>
        <w:pStyle w:val="9"/>
        <w:keepNext w:val="0"/>
        <w:keepLines w:val="0"/>
        <w:pageBreakBefore w:val="0"/>
        <w:widowControl w:val="0"/>
        <w:kinsoku/>
        <w:wordWrap/>
        <w:overflowPunct/>
        <w:topLinePunct w:val="0"/>
        <w:autoSpaceDE w:val="0"/>
        <w:autoSpaceDN w:val="0"/>
        <w:bidi w:val="0"/>
        <w:adjustRightInd w:val="0"/>
        <w:snapToGrid/>
        <w:spacing w:line="600" w:lineRule="exact"/>
        <w:ind w:firstLine="482"/>
        <w:jc w:val="center"/>
        <w:textAlignment w:val="baseline"/>
        <w:rPr>
          <w:rFonts w:hint="default"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rPr>
        <w:t>关于</w:t>
      </w:r>
      <w:r>
        <w:rPr>
          <w:rFonts w:hint="eastAsia" w:ascii="方正小标宋简体" w:hAnsi="方正小标宋简体" w:eastAsia="方正小标宋简体" w:cs="方正小标宋简体"/>
          <w:b w:val="0"/>
          <w:bCs w:val="0"/>
          <w:color w:val="auto"/>
          <w:kern w:val="36"/>
          <w:sz w:val="42"/>
          <w:szCs w:val="42"/>
          <w:lang w:val="en-US" w:eastAsia="zh-CN"/>
        </w:rPr>
        <w:t>2026年8月31日做出的一般性建设项目环境影响评价文件审批决定的公告</w:t>
      </w:r>
    </w:p>
    <w:p w14:paraId="0ED963B4">
      <w:pPr>
        <w:pStyle w:val="9"/>
        <w:keepNext w:val="0"/>
        <w:keepLines w:val="0"/>
        <w:pageBreakBefore w:val="0"/>
        <w:kinsoku/>
        <w:wordWrap/>
        <w:overflowPunct/>
        <w:topLinePunct w:val="0"/>
        <w:bidi w:val="0"/>
        <w:snapToGrid/>
        <w:spacing w:line="520" w:lineRule="exact"/>
        <w:ind w:firstLine="480"/>
        <w:rPr>
          <w:rFonts w:ascii="华文仿宋" w:hAnsi="华文仿宋" w:eastAsia="华文仿宋" w:cs="华文仿宋"/>
          <w:color w:val="000000"/>
          <w:sz w:val="32"/>
          <w:szCs w:val="32"/>
        </w:rPr>
      </w:pPr>
    </w:p>
    <w:p w14:paraId="1472F22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heme="majorEastAsia" w:hAnsiTheme="majorEastAsia" w:eastAsiaTheme="majorEastAsia" w:cstheme="majorEastAsia"/>
          <w:b w:val="0"/>
          <w:bCs w:val="0"/>
          <w:color w:val="auto"/>
          <w:kern w:val="36"/>
          <w:sz w:val="24"/>
          <w:szCs w:val="24"/>
          <w:lang w:eastAsia="zh-CN"/>
        </w:rPr>
      </w:pPr>
      <w:r>
        <w:rPr>
          <w:rFonts w:hint="eastAsia" w:asciiTheme="majorEastAsia" w:hAnsiTheme="majorEastAsia" w:eastAsiaTheme="majorEastAsia" w:cstheme="majorEastAsia"/>
          <w:color w:val="auto"/>
          <w:kern w:val="0"/>
          <w:sz w:val="24"/>
          <w:szCs w:val="24"/>
          <w:lang w:val="en-US" w:eastAsia="zh-CN"/>
        </w:rPr>
        <w:t>根据建设项目环境影响评价审批程序的有关规定，经审查，2026年8月31 日，我局对1个一般建设项目环境影响评价文件作出审批决定。现将作出的审批决定情况予以公告，公告期为2026年9月2日－2026年9月8日。</w:t>
      </w:r>
    </w:p>
    <w:p w14:paraId="19E4D31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27BC51E8">
      <w:pPr>
        <w:keepNext w:val="0"/>
        <w:keepLines w:val="0"/>
        <w:pageBreakBefore w:val="0"/>
        <w:widowControl w:val="0"/>
        <w:kinsoku/>
        <w:wordWrap/>
        <w:overflowPunct/>
        <w:topLinePunct w:val="0"/>
        <w:bidi w:val="0"/>
        <w:snapToGrid/>
        <w:spacing w:line="520" w:lineRule="exact"/>
        <w:textAlignment w:val="auto"/>
        <w:rPr>
          <w:rFonts w:hint="default" w:asciiTheme="majorEastAsia" w:hAnsiTheme="majorEastAsia" w:eastAsiaTheme="majorEastAsia" w:cstheme="majorEastAsia"/>
          <w:b w:val="0"/>
          <w:bCs w:val="0"/>
          <w:sz w:val="24"/>
          <w:szCs w:val="24"/>
          <w:lang w:val="en-US" w:eastAsia="zh-CN"/>
        </w:rPr>
      </w:pPr>
      <w:r>
        <w:rPr>
          <w:rFonts w:hint="eastAsia" w:asciiTheme="majorEastAsia" w:hAnsiTheme="majorEastAsia" w:eastAsiaTheme="majorEastAsia" w:cstheme="majorEastAsia"/>
          <w:b w:val="0"/>
          <w:bCs w:val="0"/>
          <w:sz w:val="24"/>
          <w:szCs w:val="24"/>
        </w:rPr>
        <w:t>联系电话：0833-3713337</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lang w:val="en-US" w:eastAsia="zh-CN"/>
        </w:rPr>
        <w:t>3737955</w:t>
      </w:r>
    </w:p>
    <w:p w14:paraId="4EE4B68F">
      <w:pPr>
        <w:keepNext w:val="0"/>
        <w:keepLines w:val="0"/>
        <w:pageBreakBefore w:val="0"/>
        <w:widowControl w:val="0"/>
        <w:kinsoku/>
        <w:wordWrap/>
        <w:overflowPunct/>
        <w:topLinePunct w:val="0"/>
        <w:bidi w:val="0"/>
        <w:snapToGrid/>
        <w:spacing w:line="520" w:lineRule="exact"/>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rPr>
        <w:t>通讯地址：井研县研城</w:t>
      </w:r>
      <w:r>
        <w:rPr>
          <w:rFonts w:hint="eastAsia" w:asciiTheme="majorEastAsia" w:hAnsiTheme="majorEastAsia" w:eastAsiaTheme="majorEastAsia" w:cstheme="majorEastAsia"/>
          <w:b w:val="0"/>
          <w:bCs w:val="0"/>
          <w:sz w:val="24"/>
          <w:szCs w:val="24"/>
          <w:lang w:eastAsia="zh-CN"/>
        </w:rPr>
        <w:t>街道</w:t>
      </w:r>
      <w:r>
        <w:rPr>
          <w:rFonts w:hint="eastAsia" w:asciiTheme="majorEastAsia" w:hAnsiTheme="majorEastAsia" w:eastAsiaTheme="majorEastAsia" w:cstheme="majorEastAsia"/>
          <w:b w:val="0"/>
          <w:bCs w:val="0"/>
          <w:sz w:val="24"/>
          <w:szCs w:val="24"/>
        </w:rPr>
        <w:t>建设路新兴街12号</w:t>
      </w:r>
    </w:p>
    <w:p w14:paraId="4F86E0AF">
      <w:pPr>
        <w:keepNext w:val="0"/>
        <w:keepLines w:val="0"/>
        <w:pageBreakBefore w:val="0"/>
        <w:widowControl w:val="0"/>
        <w:kinsoku/>
        <w:wordWrap/>
        <w:overflowPunct/>
        <w:topLinePunct w:val="0"/>
        <w:bidi w:val="0"/>
        <w:snapToGrid/>
        <w:spacing w:line="520" w:lineRule="exact"/>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lang w:val="en-US" w:eastAsia="zh-CN"/>
        </w:rPr>
        <w:t>邮政编码</w:t>
      </w:r>
      <w:r>
        <w:rPr>
          <w:rFonts w:hint="eastAsia" w:asciiTheme="majorEastAsia" w:hAnsiTheme="majorEastAsia" w:eastAsiaTheme="majorEastAsia" w:cstheme="majorEastAsia"/>
          <w:b w:val="0"/>
          <w:bCs w:val="0"/>
          <w:sz w:val="24"/>
          <w:szCs w:val="24"/>
        </w:rPr>
        <w:t>：613100</w:t>
      </w:r>
    </w:p>
    <w:p w14:paraId="6D25338D">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作出的建设项目环境影响评价文件审批决定</w:t>
      </w:r>
    </w:p>
    <w:tbl>
      <w:tblPr>
        <w:tblStyle w:val="10"/>
        <w:tblW w:w="8927"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741"/>
        <w:gridCol w:w="3123"/>
        <w:gridCol w:w="2063"/>
      </w:tblGrid>
      <w:tr w14:paraId="42AB4F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47" w:hRule="atLeast"/>
          <w:jc w:val="center"/>
        </w:trPr>
        <w:tc>
          <w:tcPr>
            <w:tcW w:w="374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C282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20" w:lineRule="exact"/>
              <w:ind w:left="0" w:right="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kern w:val="0"/>
                <w:sz w:val="24"/>
                <w:szCs w:val="24"/>
                <w:lang w:val="en-US" w:eastAsia="zh-CN" w:bidi="ar"/>
              </w:rPr>
              <w:t>项目名称</w:t>
            </w:r>
          </w:p>
        </w:tc>
        <w:tc>
          <w:tcPr>
            <w:tcW w:w="312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9A296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20" w:lineRule="exact"/>
              <w:ind w:left="0" w:right="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kern w:val="0"/>
                <w:sz w:val="24"/>
                <w:szCs w:val="24"/>
                <w:lang w:val="en-US" w:eastAsia="zh-CN" w:bidi="ar"/>
              </w:rPr>
              <w:t>审批文号</w:t>
            </w:r>
          </w:p>
        </w:tc>
        <w:tc>
          <w:tcPr>
            <w:tcW w:w="206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A3302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20" w:lineRule="exact"/>
              <w:ind w:left="0" w:right="0"/>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b/>
                <w:kern w:val="0"/>
                <w:sz w:val="24"/>
                <w:szCs w:val="24"/>
                <w:lang w:val="en-US" w:eastAsia="zh-CN" w:bidi="ar"/>
              </w:rPr>
              <w:t>审批时间</w:t>
            </w:r>
          </w:p>
        </w:tc>
      </w:tr>
      <w:tr w14:paraId="7903F2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36" w:hRule="atLeast"/>
          <w:jc w:val="center"/>
        </w:trPr>
        <w:tc>
          <w:tcPr>
            <w:tcW w:w="3741" w:type="dxa"/>
            <w:tcBorders>
              <w:top w:val="nil"/>
              <w:left w:val="single" w:color="auto" w:sz="8" w:space="0"/>
              <w:bottom w:val="nil"/>
              <w:right w:val="single" w:color="auto" w:sz="8" w:space="0"/>
            </w:tcBorders>
            <w:noWrap w:val="0"/>
            <w:tcMar>
              <w:top w:w="0" w:type="dxa"/>
              <w:left w:w="108" w:type="dxa"/>
              <w:bottom w:w="0" w:type="dxa"/>
              <w:right w:w="108" w:type="dxa"/>
            </w:tcMar>
            <w:vAlign w:val="center"/>
          </w:tcPr>
          <w:p w14:paraId="2CF15A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kern w:val="0"/>
                <w:sz w:val="24"/>
                <w:lang w:val="en-US" w:eastAsia="zh-CN"/>
              </w:rPr>
              <w:t>井研县欣意名公司建筑垃圾综合处置项目</w:t>
            </w:r>
          </w:p>
        </w:tc>
        <w:tc>
          <w:tcPr>
            <w:tcW w:w="3123" w:type="dxa"/>
            <w:tcBorders>
              <w:top w:val="nil"/>
              <w:left w:val="nil"/>
              <w:bottom w:val="nil"/>
              <w:right w:val="single" w:color="auto" w:sz="8" w:space="0"/>
            </w:tcBorders>
            <w:noWrap w:val="0"/>
            <w:tcMar>
              <w:top w:w="0" w:type="dxa"/>
              <w:left w:w="108" w:type="dxa"/>
              <w:bottom w:w="0" w:type="dxa"/>
              <w:right w:w="108" w:type="dxa"/>
            </w:tcMar>
            <w:vAlign w:val="center"/>
          </w:tcPr>
          <w:p w14:paraId="5AF9E5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kern w:val="0"/>
                <w:sz w:val="24"/>
                <w:lang w:val="en-US" w:eastAsia="zh-CN"/>
              </w:rPr>
              <w:t>乐市环审井字〔2026〕11号</w:t>
            </w:r>
          </w:p>
        </w:tc>
        <w:tc>
          <w:tcPr>
            <w:tcW w:w="2063" w:type="dxa"/>
            <w:tcBorders>
              <w:top w:val="nil"/>
              <w:left w:val="nil"/>
              <w:bottom w:val="nil"/>
              <w:right w:val="single" w:color="auto" w:sz="8" w:space="0"/>
            </w:tcBorders>
            <w:noWrap w:val="0"/>
            <w:tcMar>
              <w:top w:w="0" w:type="dxa"/>
              <w:left w:w="108" w:type="dxa"/>
              <w:bottom w:w="0" w:type="dxa"/>
              <w:right w:w="108" w:type="dxa"/>
            </w:tcMar>
            <w:vAlign w:val="center"/>
          </w:tcPr>
          <w:p w14:paraId="68BB06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20" w:lineRule="exact"/>
              <w:ind w:left="0" w:right="0"/>
              <w:jc w:val="center"/>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kern w:val="0"/>
                <w:sz w:val="24"/>
                <w:lang w:val="en-US" w:eastAsia="zh-CN"/>
              </w:rPr>
              <w:t>2026年8月31日</w:t>
            </w:r>
          </w:p>
        </w:tc>
      </w:tr>
      <w:tr w14:paraId="6B96D1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36" w:hRule="atLeast"/>
          <w:jc w:val="center"/>
        </w:trPr>
        <w:tc>
          <w:tcPr>
            <w:tcW w:w="374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26F19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Theme="majorEastAsia" w:hAnsiTheme="majorEastAsia" w:eastAsiaTheme="majorEastAsia" w:cstheme="majorEastAsia"/>
                <w:kern w:val="0"/>
                <w:sz w:val="24"/>
                <w:lang w:val="en-US" w:eastAsia="zh-CN"/>
              </w:rPr>
            </w:pPr>
          </w:p>
        </w:tc>
        <w:tc>
          <w:tcPr>
            <w:tcW w:w="312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D452E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both"/>
              <w:textAlignment w:val="auto"/>
              <w:rPr>
                <w:rFonts w:hint="eastAsia" w:asciiTheme="majorEastAsia" w:hAnsiTheme="majorEastAsia" w:eastAsiaTheme="majorEastAsia" w:cstheme="majorEastAsia"/>
                <w:color w:val="auto"/>
                <w:kern w:val="0"/>
                <w:sz w:val="24"/>
                <w:lang w:val="en-US" w:eastAsia="zh-CN"/>
              </w:rPr>
            </w:pPr>
          </w:p>
        </w:tc>
        <w:tc>
          <w:tcPr>
            <w:tcW w:w="20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FBD14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520" w:lineRule="exact"/>
              <w:ind w:left="0" w:right="0"/>
              <w:jc w:val="center"/>
              <w:rPr>
                <w:rFonts w:hint="eastAsia" w:asciiTheme="majorEastAsia" w:hAnsiTheme="majorEastAsia" w:eastAsiaTheme="majorEastAsia" w:cstheme="majorEastAsia"/>
                <w:color w:val="auto"/>
                <w:kern w:val="0"/>
                <w:sz w:val="24"/>
                <w:lang w:val="en-US" w:eastAsia="zh-CN"/>
              </w:rPr>
            </w:pPr>
          </w:p>
        </w:tc>
      </w:tr>
    </w:tbl>
    <w:p w14:paraId="24079D26">
      <w:pPr>
        <w:keepNext w:val="0"/>
        <w:keepLines w:val="0"/>
        <w:pageBreakBefore w:val="0"/>
        <w:widowControl w:val="0"/>
        <w:kinsoku/>
        <w:wordWrap/>
        <w:overflowPunct/>
        <w:topLinePunct w:val="0"/>
        <w:autoSpaceDE/>
        <w:autoSpaceDN/>
        <w:bidi w:val="0"/>
        <w:adjustRightInd/>
        <w:snapToGrid/>
        <w:spacing w:line="520" w:lineRule="exact"/>
        <w:ind w:left="960" w:hanging="960" w:hangingChars="400"/>
        <w:jc w:val="both"/>
        <w:textAlignment w:val="auto"/>
        <w:rPr>
          <w:rFonts w:hint="eastAsia" w:asciiTheme="majorEastAsia" w:hAnsiTheme="majorEastAsia" w:eastAsiaTheme="majorEastAsia" w:cstheme="majorEastAsia"/>
          <w:bCs/>
          <w:color w:val="000000"/>
          <w:kern w:val="0"/>
          <w:sz w:val="24"/>
          <w:szCs w:val="24"/>
        </w:rPr>
      </w:pPr>
      <w:r>
        <w:rPr>
          <w:rFonts w:hint="eastAsia" w:asciiTheme="majorEastAsia" w:hAnsiTheme="majorEastAsia" w:eastAsiaTheme="majorEastAsia" w:cstheme="majorEastAsia"/>
          <w:b w:val="0"/>
          <w:bCs w:val="0"/>
          <w:sz w:val="24"/>
          <w:szCs w:val="24"/>
          <w:lang w:eastAsia="zh-CN"/>
        </w:rPr>
        <w:t>附件：</w:t>
      </w:r>
      <w:r>
        <w:rPr>
          <w:rFonts w:hint="eastAsia" w:ascii="仿宋_GB2312" w:hAnsi="仿宋_GB2312" w:eastAsia="仿宋_GB2312" w:cs="仿宋_GB2312"/>
          <w:b/>
          <w:bCs/>
          <w:w w:val="90"/>
          <w:sz w:val="44"/>
          <w:szCs w:val="44"/>
        </w:rPr>
        <w:t xml:space="preserve"> </w:t>
      </w:r>
      <w:r>
        <w:rPr>
          <w:rFonts w:hint="eastAsia" w:asciiTheme="majorEastAsia" w:hAnsiTheme="majorEastAsia" w:eastAsiaTheme="majorEastAsia" w:cstheme="majorEastAsia"/>
          <w:bCs/>
          <w:color w:val="000000"/>
          <w:kern w:val="0"/>
          <w:sz w:val="24"/>
          <w:szCs w:val="24"/>
        </w:rPr>
        <w:t>乐山市生态环境局关于《</w:t>
      </w:r>
      <w:r>
        <w:rPr>
          <w:rFonts w:hint="eastAsia" w:asciiTheme="majorEastAsia" w:hAnsiTheme="majorEastAsia" w:eastAsiaTheme="majorEastAsia" w:cstheme="majorEastAsia"/>
          <w:kern w:val="0"/>
          <w:sz w:val="24"/>
          <w:lang w:val="en-US" w:eastAsia="zh-CN"/>
        </w:rPr>
        <w:t>井研县欣意名公司建筑垃圾综合处置项目</w:t>
      </w:r>
      <w:r>
        <w:rPr>
          <w:rFonts w:hint="eastAsia" w:asciiTheme="majorEastAsia" w:hAnsiTheme="majorEastAsia" w:eastAsiaTheme="majorEastAsia" w:cstheme="majorEastAsia"/>
          <w:bCs/>
          <w:color w:val="000000"/>
          <w:kern w:val="0"/>
          <w:sz w:val="24"/>
          <w:szCs w:val="24"/>
        </w:rPr>
        <w:t>环境影响报告</w:t>
      </w:r>
      <w:r>
        <w:rPr>
          <w:rFonts w:hint="eastAsia" w:asciiTheme="majorEastAsia" w:hAnsiTheme="majorEastAsia" w:eastAsiaTheme="majorEastAsia" w:cstheme="majorEastAsia"/>
          <w:bCs/>
          <w:color w:val="000000"/>
          <w:kern w:val="0"/>
          <w:sz w:val="24"/>
          <w:szCs w:val="24"/>
          <w:lang w:eastAsia="zh-CN"/>
        </w:rPr>
        <w:t>表</w:t>
      </w:r>
      <w:r>
        <w:rPr>
          <w:rFonts w:hint="eastAsia" w:asciiTheme="majorEastAsia" w:hAnsiTheme="majorEastAsia" w:eastAsiaTheme="majorEastAsia" w:cstheme="majorEastAsia"/>
          <w:bCs/>
          <w:color w:val="000000"/>
          <w:kern w:val="0"/>
          <w:sz w:val="24"/>
          <w:szCs w:val="24"/>
        </w:rPr>
        <w:t>》的审批意见</w:t>
      </w:r>
    </w:p>
    <w:p w14:paraId="2B9922CB">
      <w:pPr>
        <w:keepNext w:val="0"/>
        <w:keepLines w:val="0"/>
        <w:pageBreakBefore w:val="0"/>
        <w:widowControl w:val="0"/>
        <w:kinsoku/>
        <w:wordWrap/>
        <w:overflowPunct/>
        <w:topLinePunct w:val="0"/>
        <w:bidi w:val="0"/>
        <w:snapToGrid/>
        <w:spacing w:line="440" w:lineRule="exact"/>
        <w:textAlignment w:val="auto"/>
        <w:rPr>
          <w:rFonts w:hint="eastAsia" w:asciiTheme="majorEastAsia" w:hAnsiTheme="majorEastAsia" w:eastAsiaTheme="majorEastAsia" w:cstheme="majorEastAsia"/>
          <w:b w:val="0"/>
          <w:bCs w:val="0"/>
          <w:sz w:val="24"/>
          <w:szCs w:val="24"/>
          <w:lang w:eastAsia="zh-CN"/>
        </w:rPr>
      </w:pPr>
    </w:p>
    <w:p w14:paraId="0B1FC4E5">
      <w:pPr>
        <w:pStyle w:val="2"/>
        <w:rPr>
          <w:rFonts w:hint="eastAsia" w:asciiTheme="majorEastAsia" w:hAnsiTheme="majorEastAsia" w:eastAsiaTheme="majorEastAsia" w:cstheme="majorEastAsia"/>
          <w:b w:val="0"/>
          <w:bCs w:val="0"/>
          <w:sz w:val="24"/>
          <w:szCs w:val="24"/>
          <w:lang w:eastAsia="zh-CN"/>
        </w:rPr>
      </w:pPr>
    </w:p>
    <w:p w14:paraId="6311CC46">
      <w:pPr>
        <w:rPr>
          <w:rFonts w:hint="eastAsia" w:asciiTheme="majorEastAsia" w:hAnsiTheme="majorEastAsia" w:eastAsiaTheme="majorEastAsia" w:cstheme="majorEastAsia"/>
          <w:b w:val="0"/>
          <w:bCs w:val="0"/>
          <w:sz w:val="24"/>
          <w:szCs w:val="24"/>
          <w:lang w:eastAsia="zh-CN"/>
        </w:rPr>
      </w:pPr>
    </w:p>
    <w:p w14:paraId="40A4933A">
      <w:pPr>
        <w:pStyle w:val="2"/>
        <w:rPr>
          <w:rFonts w:hint="eastAsia" w:asciiTheme="majorEastAsia" w:hAnsiTheme="majorEastAsia" w:eastAsiaTheme="majorEastAsia" w:cstheme="majorEastAsia"/>
          <w:b w:val="0"/>
          <w:bCs w:val="0"/>
          <w:sz w:val="24"/>
          <w:szCs w:val="24"/>
          <w:lang w:eastAsia="zh-CN"/>
        </w:rPr>
      </w:pPr>
    </w:p>
    <w:p w14:paraId="6CCBA572">
      <w:pPr>
        <w:spacing w:line="600" w:lineRule="exact"/>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
          <w:bCs/>
          <w:w w:val="90"/>
          <w:sz w:val="44"/>
          <w:szCs w:val="44"/>
        </w:rPr>
        <w:t xml:space="preserve"> </w:t>
      </w:r>
      <w:r>
        <w:rPr>
          <w:rFonts w:hint="eastAsia" w:ascii="方正小标宋简体" w:hAnsi="方正小标宋简体" w:eastAsia="方正小标宋简体" w:cs="方正小标宋简体"/>
          <w:bCs/>
          <w:color w:val="000000"/>
          <w:kern w:val="0"/>
          <w:sz w:val="44"/>
          <w:szCs w:val="44"/>
        </w:rPr>
        <w:t>乐山市生态环境局</w:t>
      </w:r>
    </w:p>
    <w:p w14:paraId="5B970AE3">
      <w:pPr>
        <w:autoSpaceDE w:val="0"/>
        <w:autoSpaceDN w:val="0"/>
        <w:adjustRightInd w:val="0"/>
        <w:spacing w:line="640" w:lineRule="exact"/>
        <w:jc w:val="center"/>
        <w:rPr>
          <w:rFonts w:hint="eastAsia" w:ascii="方正小标宋简体" w:hAnsi="方正小标宋简体" w:eastAsia="方正小标宋简体" w:cs="方正小标宋简体"/>
          <w:b/>
          <w:bCs/>
          <w:color w:val="C60002"/>
          <w:kern w:val="36"/>
          <w:sz w:val="44"/>
          <w:szCs w:val="44"/>
        </w:rPr>
      </w:pPr>
      <w:r>
        <w:rPr>
          <w:rFonts w:hint="eastAsia" w:ascii="方正小标宋简体" w:hAnsi="方正小标宋简体" w:eastAsia="方正小标宋简体" w:cs="方正小标宋简体"/>
          <w:kern w:val="0"/>
          <w:sz w:val="44"/>
          <w:szCs w:val="44"/>
        </w:rPr>
        <w:t>关于《</w:t>
      </w:r>
      <w:r>
        <w:rPr>
          <w:rFonts w:hint="eastAsia" w:ascii="方正小标宋简体" w:hAnsi="方正小标宋简体" w:eastAsia="方正小标宋简体" w:cs="方正小标宋简体"/>
          <w:color w:val="000000"/>
          <w:sz w:val="44"/>
          <w:szCs w:val="44"/>
          <w:shd w:val="clear" w:color="auto" w:fill="FFFFFF"/>
        </w:rPr>
        <w:t>井研县欣意名公司建筑垃圾综合处置项目</w:t>
      </w:r>
      <w:r>
        <w:rPr>
          <w:rFonts w:hint="eastAsia" w:ascii="方正小标宋简体" w:hAnsi="方正小标宋简体" w:eastAsia="方正小标宋简体" w:cs="方正小标宋简体"/>
          <w:kern w:val="0"/>
          <w:sz w:val="44"/>
          <w:szCs w:val="44"/>
        </w:rPr>
        <w:t>环境影响报告表》的审批意见</w:t>
      </w:r>
    </w:p>
    <w:p w14:paraId="4C8985B3">
      <w:pPr>
        <w:spacing w:line="600" w:lineRule="exact"/>
        <w:jc w:val="center"/>
        <w:rPr>
          <w:rFonts w:hint="eastAsia" w:ascii="方正小标宋简体" w:hAnsi="方正小标宋简体" w:eastAsia="方正小标宋简体" w:cs="方正小标宋简体"/>
          <w:kern w:val="0"/>
          <w:sz w:val="44"/>
          <w:szCs w:val="44"/>
        </w:rPr>
      </w:pPr>
    </w:p>
    <w:p w14:paraId="52DAF8B2">
      <w:pPr>
        <w:spacing w:line="600" w:lineRule="exact"/>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36"/>
          <w:sz w:val="32"/>
          <w:szCs w:val="32"/>
        </w:rPr>
        <w:t>井研县欣意名建筑垃圾综合利用有限公司</w:t>
      </w:r>
      <w:r>
        <w:rPr>
          <w:rFonts w:hint="eastAsia" w:ascii="仿宋_GB2312" w:hAnsi="仿宋_GB2312" w:eastAsia="仿宋_GB2312" w:cs="仿宋_GB2312"/>
          <w:sz w:val="32"/>
          <w:szCs w:val="32"/>
          <w:shd w:val="clear" w:color="auto" w:fill="FFFFFF"/>
        </w:rPr>
        <w:t>：</w:t>
      </w:r>
    </w:p>
    <w:p w14:paraId="3583A83F">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你公司报送的《井研县</w:t>
      </w:r>
      <w:r>
        <w:rPr>
          <w:rFonts w:hint="eastAsia" w:ascii="仿宋_GB2312" w:hAnsi="仿宋_GB2312" w:eastAsia="仿宋_GB2312" w:cs="仿宋_GB2312"/>
          <w:color w:val="000000"/>
          <w:sz w:val="32"/>
          <w:szCs w:val="32"/>
          <w:shd w:val="clear" w:color="auto" w:fill="FFFFFF"/>
        </w:rPr>
        <w:t>欣意名公司建筑垃圾综合处置项目</w:t>
      </w:r>
      <w:r>
        <w:rPr>
          <w:rFonts w:hint="eastAsia" w:ascii="仿宋_GB2312" w:hAnsi="仿宋_GB2312" w:eastAsia="仿宋_GB2312" w:cs="仿宋_GB2312"/>
          <w:sz w:val="32"/>
          <w:szCs w:val="32"/>
          <w:shd w:val="clear" w:color="auto" w:fill="FFFFFF"/>
        </w:rPr>
        <w:t>环境影响报告表》（以下简称《报告表》）收悉。经研究，现就该《报告表》提出以下审批意见。</w:t>
      </w:r>
    </w:p>
    <w:p w14:paraId="16DA3BBA">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一、项目基本情况</w:t>
      </w:r>
    </w:p>
    <w:p w14:paraId="4D3202F2">
      <w:pPr>
        <w:pStyle w:val="17"/>
        <w:widowControl w:val="0"/>
        <w:wordWrap/>
        <w:spacing w:line="60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《报告表》表明，你公司拟在井研县宝五镇三教村5组，利</w:t>
      </w:r>
      <w:r>
        <w:rPr>
          <w:rFonts w:ascii="仿宋_GB2312" w:hAnsi="仿宋_GB2312" w:eastAsia="仿宋_GB2312" w:cs="仿宋_GB2312"/>
          <w:color w:val="auto"/>
          <w:sz w:val="32"/>
          <w:szCs w:val="32"/>
        </w:rPr>
        <w:t>用原乐山深恒绿色环保科技有限公司乐山市生活垃圾焚烧发电炉渣综合利用项目搬迁后闲置厂房建设该项目，占地面积约5360平方米，通过对闲置厂房进行适应性改造，新建城市建筑垃圾处理流水线，购置供料机一台、棒条筛一台、滚筒筛一台、颚式破碎机一台、振动筛一台、自动分选机一台、磁选机一台、传送带若干等，配套环保、安全等相关辅助设施，每年处理城市建筑垃圾12万—24万吨，分类处理后的固废产品主要用于生产免烧砖及外售综合利用；新建免烧砖生产流水线，购置储存水泥自动灌装机一套、配料搅拌设备一套、静压机一台，洗沙设备一套，年产免烧砖600万块左右，根据城市建设要求，生产相对应尺寸砖块。</w:t>
      </w:r>
      <w:r>
        <w:rPr>
          <w:rFonts w:ascii="仿宋_GB2312" w:hAnsi="仿宋_GB2312" w:eastAsia="仿宋_GB2312" w:cs="仿宋_GB2312"/>
          <w:color w:val="auto"/>
          <w:sz w:val="32"/>
          <w:szCs w:val="32"/>
          <w:shd w:val="clear" w:color="auto" w:fill="FFFFFF"/>
        </w:rPr>
        <w:t>项目总投资1000万元，其中环保投资41.4万元，占总投资比例约4.14%。</w:t>
      </w:r>
    </w:p>
    <w:p w14:paraId="12A7D67B">
      <w:pPr>
        <w:pStyle w:val="17"/>
        <w:widowControl w:val="0"/>
        <w:wordWrap/>
        <w:spacing w:line="600" w:lineRule="exact"/>
        <w:ind w:firstLine="640"/>
        <w:rPr>
          <w:rFonts w:ascii="仿宋_GB2312" w:hAnsi="仿宋_GB2312" w:eastAsia="仿宋_GB2312" w:cs="仿宋_GB2312"/>
          <w:sz w:val="32"/>
          <w:szCs w:val="32"/>
          <w:shd w:val="clear" w:color="auto" w:fill="FFFFFF"/>
        </w:rPr>
      </w:pPr>
      <w:r>
        <w:rPr>
          <w:rFonts w:ascii="仿宋_GB2312" w:hAnsi="仿宋_GB2312" w:eastAsia="仿宋_GB2312" w:cs="仿宋_GB2312"/>
          <w:color w:val="auto"/>
          <w:sz w:val="32"/>
          <w:szCs w:val="32"/>
        </w:rPr>
        <w:t>根据井研县住房和城乡建设局情况说明，该项目为井研县定点建筑垃圾资源化利用项目，项目建成后主要承担全县装饰装修垃圾、拆除垃圾等可资源化利用的垃圾处置。</w:t>
      </w:r>
      <w:r>
        <w:rPr>
          <w:rFonts w:ascii="仿宋_GB2312" w:hAnsi="仿宋_GB2312" w:eastAsia="仿宋_GB2312" w:cs="仿宋_GB2312"/>
          <w:sz w:val="32"/>
          <w:szCs w:val="32"/>
          <w:shd w:val="clear" w:color="auto" w:fill="FFFFFF"/>
        </w:rPr>
        <w:t>井研县发展和改革局以《四川省固定资产投资项目备案表》（川投资备【2511-511124-04-01-377779】FGQB-0223 号）予以备案，同意实施。</w:t>
      </w:r>
    </w:p>
    <w:p w14:paraId="4BDBFAFC">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项目建设总体符合国家产业政策、长江经济带发展负面清单及乐山市生态环境分区管控等相关要求。在全面落实《报告表》提出的各项生态环境保护措施的前提下，项目建设的不利生态环境影响可得到有效减缓和控制。我局原则同意《报告表》的环境影响评价总体结论和拟采取的各项生态环境保护措施。</w:t>
      </w:r>
    </w:p>
    <w:p w14:paraId="51386844">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二、项目建设和运营中应重点做好以下环保工作</w:t>
      </w:r>
    </w:p>
    <w:p w14:paraId="7C04E6EB">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严格落实施工期环境管理措施。严格落实建筑施工工地扬尘污染治理要求和《四川省施工场地扬尘排放标准》《乐山市扬尘污染防治条例》等相关要求，将施工扬尘治理纳入施工环境监理的重要内容，严格落实“六必须、六不准”“六个百分之百”的施工要求，减少施工扬尘对大气环境的影响。施工期生活污水依托已有污水处理设施处理。建筑垃圾、装修垃圾收集后外运至建筑垃圾处置场；生活垃圾收集后交环卫部门统一清运。</w:t>
      </w:r>
    </w:p>
    <w:p w14:paraId="631BCCFD">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（二）重点落实运营期各项污染防治措施。</w:t>
      </w:r>
    </w:p>
    <w:p w14:paraId="3C93FD6C">
      <w:pPr>
        <w:pStyle w:val="8"/>
        <w:spacing w:before="0" w:beforeAutospacing="0" w:after="0" w:afterAutospacing="0" w:line="600" w:lineRule="exact"/>
        <w:ind w:firstLine="640" w:firstLineChars="200"/>
        <w:jc w:val="both"/>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1.严格落实水污染防治措施。</w:t>
      </w:r>
      <w:r>
        <w:rPr>
          <w:rFonts w:hint="eastAsia" w:ascii="仿宋_GB2312" w:hAnsi="仿宋_GB2312" w:eastAsia="仿宋_GB2312" w:cs="仿宋_GB2312"/>
          <w:color w:val="auto"/>
          <w:sz w:val="32"/>
          <w:szCs w:val="32"/>
          <w:shd w:val="clear" w:color="auto" w:fill="FFFFFF"/>
          <w:lang w:bidi="ar"/>
        </w:rPr>
        <w:t>项目实施“雨污分流”，外部配套建设雨水导排系统，初期雨水经滤网+沉淀池处理后用于洒水降尘；生产废水和冲洗废水收集沉淀后循环使用不外排</w:t>
      </w:r>
      <w:r>
        <w:rPr>
          <w:rFonts w:hint="eastAsia" w:ascii="仿宋_GB2312" w:hAnsi="仿宋_GB2312" w:eastAsia="仿宋_GB2312" w:cs="仿宋_GB2312"/>
          <w:color w:val="auto"/>
          <w:sz w:val="32"/>
          <w:szCs w:val="32"/>
          <w:shd w:val="clear" w:color="auto" w:fill="FFFFFF"/>
        </w:rPr>
        <w:t>。生活污水依托</w:t>
      </w:r>
      <w:r>
        <w:rPr>
          <w:rFonts w:hint="eastAsia" w:ascii="仿宋_GB2312" w:hAnsi="仿宋_GB2312" w:eastAsia="仿宋_GB2312" w:cs="仿宋_GB2312"/>
          <w:color w:val="auto"/>
          <w:sz w:val="32"/>
          <w:szCs w:val="32"/>
        </w:rPr>
        <w:t>乐山深恒绿色环保科技有限公司化粪池处理后</w:t>
      </w:r>
      <w:r>
        <w:rPr>
          <w:rFonts w:hint="eastAsia" w:ascii="仿宋_GB2312" w:hAnsi="仿宋_GB2312" w:eastAsia="仿宋_GB2312" w:cs="仿宋_GB2312"/>
          <w:color w:val="auto"/>
          <w:sz w:val="32"/>
          <w:szCs w:val="32"/>
          <w:shd w:val="clear" w:color="auto" w:fill="FFFFFF"/>
        </w:rPr>
        <w:t>用于农灌。</w:t>
      </w:r>
    </w:p>
    <w:p w14:paraId="146DE736">
      <w:pPr>
        <w:autoSpaceDE w:val="0"/>
        <w:autoSpaceDN w:val="0"/>
        <w:adjustRightInd w:val="0"/>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2.严格落实大气污染防治措施。</w:t>
      </w:r>
      <w:r>
        <w:rPr>
          <w:rFonts w:hint="eastAsia" w:ascii="仿宋_GB2312" w:hAnsi="仿宋_GB2312" w:eastAsia="仿宋_GB2312" w:cs="仿宋_GB2312"/>
          <w:color w:val="000000" w:themeColor="text1"/>
          <w:sz w:val="32"/>
          <w:szCs w:val="32"/>
        </w:rPr>
        <w:t>原料堆场设置于封闭厂房内，采取厂房进出口设置防尘帘，并配套移动式雾炮机及喷淋设施喷雾降尘；筛分、破碎、制砖在密闭厂房内进行，在破碎机上方、进料口、搅拌机和传输带均安装喷淋装置和配备移动式雾炮机抑尘，筒仓呼吸粉尘经筒仓顶部自带除尘器处理后自然沉降，无组织排放颗粒物执行《大气污染物综合排放标准》（GB16297-1996）</w:t>
      </w:r>
      <w:r>
        <w:rPr>
          <w:rFonts w:hint="eastAsia" w:ascii="仿宋_GB2312" w:hAnsi="仿宋_GB2312" w:eastAsia="仿宋_GB2312" w:cs="仿宋_GB2312"/>
          <w:color w:val="000000" w:themeColor="text1"/>
          <w:sz w:val="32"/>
          <w:szCs w:val="32"/>
          <w:lang w:eastAsia="zh-CN"/>
        </w:rPr>
        <w:t>表</w:t>
      </w:r>
      <w:r>
        <w:rPr>
          <w:rFonts w:hint="eastAsia" w:ascii="仿宋_GB2312" w:hAnsi="仿宋_GB2312" w:eastAsia="仿宋_GB2312" w:cs="仿宋_GB2312"/>
          <w:color w:val="000000" w:themeColor="text1"/>
          <w:sz w:val="32"/>
          <w:szCs w:val="32"/>
          <w:lang w:val="en-US" w:eastAsia="zh-CN"/>
        </w:rPr>
        <w:t>2</w:t>
      </w:r>
      <w:r>
        <w:rPr>
          <w:rFonts w:hint="eastAsia" w:ascii="仿宋_GB2312" w:hAnsi="仿宋_GB2312" w:eastAsia="仿宋_GB2312" w:cs="仿宋_GB2312"/>
          <w:color w:val="000000" w:themeColor="text1"/>
          <w:sz w:val="32"/>
          <w:szCs w:val="32"/>
        </w:rPr>
        <w:t>中无组织监控浓度限值；营运期间定时对厂区、道路进行清扫、洒水降低车辆动力扬尘。</w:t>
      </w:r>
    </w:p>
    <w:p w14:paraId="574BC753">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3.严格落实噪声污染防治措施。采取合理布局、厂房封闭、基础减震、选用低噪声设备及加强管理等措施，确保场界噪声达标排放。</w:t>
      </w:r>
    </w:p>
    <w:p w14:paraId="112AAAA6">
      <w:pPr>
        <w:pStyle w:val="4"/>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4.严格落实固废污染防治措施。废机油、废机油桶、废棉纱及手套等严格按《危险废物贮存污染控制标准》（GB18597-2023）分区暂存于危废间，定期交有资质单位处置，严格执行转移联单制度</w:t>
      </w:r>
      <w:r>
        <w:rPr>
          <w:rFonts w:hint="eastAsia" w:ascii="仿宋_GB2312" w:hAnsi="仿宋_GB2312" w:eastAsia="仿宋_GB2312" w:cs="仿宋_GB2312"/>
          <w:sz w:val="32"/>
          <w:szCs w:val="32"/>
        </w:rPr>
        <w:t>；一般固废分区暂存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外售或委托综合利用，生活垃圾交由环卫部门统一收集处置。</w:t>
      </w:r>
    </w:p>
    <w:p w14:paraId="2CE16092">
      <w:pPr>
        <w:autoSpaceDE w:val="0"/>
        <w:autoSpaceDN w:val="0"/>
        <w:adjustRightInd w:val="0"/>
        <w:spacing w:line="600" w:lineRule="exact"/>
        <w:ind w:firstLine="320" w:firstLineChars="1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（三）加强安全生产。严格环境风险防控，落实环境风险应急措施，避免环境事故发生。</w:t>
      </w:r>
    </w:p>
    <w:p w14:paraId="5D4298B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三、本项目不设置污染物总量控制指标。</w:t>
      </w:r>
    </w:p>
    <w:p w14:paraId="5EE91F29">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四、项目开工前，应依法完备其他相关行政许可手续。</w:t>
      </w:r>
    </w:p>
    <w:p w14:paraId="305D45B5">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五、严格执行环境保护“三同时”制度。项目在发生实际排污之前，应按固定污染源排污许可相关规定，依法申领或登记排污许可。项目竣工后，你公司作为建设项目竣工环境保护验收的责任主体，应按规定标准、程序、时限，组织对配套建设的环境保护设施进行验收，编制验收报告，公开相关信息，接受社会监督。</w:t>
      </w:r>
    </w:p>
    <w:p w14:paraId="0547F41E">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该《报告表》经批准后，如项目的性质、规模、工艺、地点或者防治污染、防治生态破坏的措施发生重大变动的，你公司应当重新报批报告表，否则不得实施建设。自报告表批准之日起，如项目超过5年未开工建设，报告表应当报我局重新审核。</w:t>
      </w:r>
    </w:p>
    <w:p w14:paraId="346CE1B0">
      <w:pPr>
        <w:spacing w:line="600" w:lineRule="exact"/>
        <w:ind w:firstLine="4480" w:firstLineChars="1400"/>
        <w:rPr>
          <w:rFonts w:hint="eastAsia" w:ascii="仿宋_GB2312" w:hAnsi="仿宋_GB2312" w:eastAsia="仿宋_GB2312" w:cs="仿宋_GB2312"/>
          <w:sz w:val="32"/>
          <w:szCs w:val="32"/>
          <w:shd w:val="clear" w:color="auto" w:fill="FFFFFF"/>
        </w:rPr>
      </w:pPr>
    </w:p>
    <w:p w14:paraId="501AFF05">
      <w:pPr>
        <w:pStyle w:val="2"/>
        <w:spacing w:line="600" w:lineRule="exact"/>
        <w:rPr>
          <w:rFonts w:hint="eastAsia" w:ascii="仿宋_GB2312" w:hAnsi="仿宋_GB2312" w:eastAsia="仿宋_GB2312" w:cs="仿宋_GB2312"/>
          <w:sz w:val="32"/>
          <w:szCs w:val="32"/>
          <w:shd w:val="clear" w:color="auto" w:fill="FFFFFF"/>
        </w:rPr>
      </w:pPr>
    </w:p>
    <w:p w14:paraId="36B633BD">
      <w:pPr>
        <w:spacing w:line="600" w:lineRule="exact"/>
        <w:rPr>
          <w:rFonts w:hint="eastAsia" w:ascii="仿宋_GB2312" w:hAnsi="仿宋_GB2312" w:eastAsia="仿宋_GB2312" w:cs="仿宋_GB2312"/>
          <w:sz w:val="32"/>
          <w:szCs w:val="32"/>
        </w:rPr>
      </w:pPr>
    </w:p>
    <w:p w14:paraId="06EBBA19">
      <w:pPr>
        <w:spacing w:line="600" w:lineRule="exact"/>
        <w:ind w:firstLine="5120" w:firstLineChars="16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乐山市生态环境局</w:t>
      </w:r>
    </w:p>
    <w:p w14:paraId="1C4EFBCB">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2026年8月</w:t>
      </w:r>
      <w:r>
        <w:rPr>
          <w:rFonts w:hint="eastAsia" w:ascii="仿宋_GB2312" w:hAnsi="仿宋_GB2312" w:eastAsia="仿宋_GB2312" w:cs="仿宋_GB2312"/>
          <w:sz w:val="32"/>
          <w:szCs w:val="32"/>
          <w:shd w:val="clear" w:color="auto" w:fill="FFFFFF"/>
          <w:lang w:val="en-US" w:eastAsia="zh-CN"/>
        </w:rPr>
        <w:t>31</w:t>
      </w:r>
      <w:r>
        <w:rPr>
          <w:rFonts w:hint="eastAsia" w:ascii="仿宋_GB2312" w:hAnsi="仿宋_GB2312" w:eastAsia="仿宋_GB2312" w:cs="仿宋_GB2312"/>
          <w:sz w:val="32"/>
          <w:szCs w:val="32"/>
          <w:shd w:val="clear" w:color="auto" w:fill="FFFFFF"/>
        </w:rPr>
        <w:t>日</w:t>
      </w:r>
    </w:p>
    <w:p w14:paraId="3126BD44">
      <w:pPr>
        <w:pStyle w:val="16"/>
        <w:keepNext w:val="0"/>
        <w:keepLines w:val="0"/>
        <w:pageBreakBefore w:val="0"/>
        <w:widowControl w:val="0"/>
        <w:kinsoku/>
        <w:wordWrap/>
        <w:overflowPunct/>
        <w:topLinePunct w:val="0"/>
        <w:bidi w:val="0"/>
        <w:spacing w:line="580" w:lineRule="exact"/>
        <w:ind w:firstLine="4080" w:firstLineChars="1700"/>
        <w:jc w:val="both"/>
        <w:textAlignment w:val="auto"/>
        <w:rPr>
          <w:rFonts w:hint="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M2MjZlOTgyN2M2Y2Q4ZjcxN2E3NGRlYjk0ZGRjNzUifQ=="/>
  </w:docVars>
  <w:rsids>
    <w:rsidRoot w:val="00E919BA"/>
    <w:rsid w:val="001E4B88"/>
    <w:rsid w:val="00253632"/>
    <w:rsid w:val="003F32D6"/>
    <w:rsid w:val="00405D08"/>
    <w:rsid w:val="0041445B"/>
    <w:rsid w:val="0043124B"/>
    <w:rsid w:val="0071261A"/>
    <w:rsid w:val="00933254"/>
    <w:rsid w:val="00B61D19"/>
    <w:rsid w:val="00BE5FA8"/>
    <w:rsid w:val="00C20363"/>
    <w:rsid w:val="00C74857"/>
    <w:rsid w:val="00C86D72"/>
    <w:rsid w:val="00E919BA"/>
    <w:rsid w:val="00F0466C"/>
    <w:rsid w:val="00F47B75"/>
    <w:rsid w:val="012421E5"/>
    <w:rsid w:val="122A42C3"/>
    <w:rsid w:val="203F385C"/>
    <w:rsid w:val="231F298B"/>
    <w:rsid w:val="2C567AE7"/>
    <w:rsid w:val="31EB8EE7"/>
    <w:rsid w:val="3A17218B"/>
    <w:rsid w:val="3F95DA43"/>
    <w:rsid w:val="431F4E8C"/>
    <w:rsid w:val="46F05137"/>
    <w:rsid w:val="49A94275"/>
    <w:rsid w:val="5D90507F"/>
    <w:rsid w:val="5FFEE083"/>
    <w:rsid w:val="77E79D69"/>
    <w:rsid w:val="77F56C82"/>
    <w:rsid w:val="7BEB2243"/>
    <w:rsid w:val="7DFFE168"/>
    <w:rsid w:val="7F6BD361"/>
    <w:rsid w:val="7FF680F2"/>
    <w:rsid w:val="7FFB2EF0"/>
    <w:rsid w:val="9FE782E1"/>
    <w:rsid w:val="9FEF99A8"/>
    <w:rsid w:val="A77F5F89"/>
    <w:rsid w:val="AFCDD262"/>
    <w:rsid w:val="B4F7E50D"/>
    <w:rsid w:val="B7FBA774"/>
    <w:rsid w:val="BD7B2427"/>
    <w:rsid w:val="BFEAFCCC"/>
    <w:rsid w:val="BFEF9C05"/>
    <w:rsid w:val="BFFFF0AD"/>
    <w:rsid w:val="C5EF32BB"/>
    <w:rsid w:val="C77FFEFF"/>
    <w:rsid w:val="C7FF5772"/>
    <w:rsid w:val="DFFB54D4"/>
    <w:rsid w:val="F5585682"/>
    <w:rsid w:val="F6FCEC31"/>
    <w:rsid w:val="F9DEF395"/>
    <w:rsid w:val="FABE21FE"/>
    <w:rsid w:val="FCFD9573"/>
    <w:rsid w:val="FF9EE6DF"/>
    <w:rsid w:val="FFF7E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line="360" w:lineRule="auto"/>
      <w:ind w:firstLine="200" w:firstLineChars="200"/>
    </w:pPr>
    <w:rPr>
      <w:rFonts w:ascii="宋体" w:hAnsi="宋体" w:eastAsia="宋体" w:cs="Times New Roman"/>
      <w:kern w:val="0"/>
      <w:sz w:val="24"/>
      <w:szCs w:val="24"/>
    </w:rPr>
  </w:style>
  <w:style w:type="paragraph" w:styleId="3">
    <w:name w:val="toa heading"/>
    <w:basedOn w:val="1"/>
    <w:next w:val="1"/>
    <w:unhideWhenUsed/>
    <w:qFormat/>
    <w:uiPriority w:val="0"/>
    <w:pPr>
      <w:spacing w:before="120"/>
    </w:pPr>
    <w:rPr>
      <w:rFonts w:asciiTheme="majorHAnsi" w:hAnsiTheme="majorHAnsi" w:eastAsiaTheme="majorEastAsia" w:cstheme="majorBidi"/>
      <w:sz w:val="24"/>
      <w:szCs w:val="24"/>
    </w:rPr>
  </w:style>
  <w:style w:type="paragraph" w:styleId="4">
    <w:name w:val="annotation text"/>
    <w:basedOn w:val="1"/>
    <w:qFormat/>
    <w:uiPriority w:val="0"/>
    <w:pPr>
      <w:jc w:val="left"/>
    </w:pPr>
  </w:style>
  <w:style w:type="paragraph" w:styleId="5">
    <w:name w:val="Body Text Indent"/>
    <w:basedOn w:val="1"/>
    <w:link w:val="14"/>
    <w:semiHidden/>
    <w:unhideWhenUsed/>
    <w:qFormat/>
    <w:uiPriority w:val="99"/>
    <w:pPr>
      <w:spacing w:after="120"/>
      <w:ind w:left="420" w:leftChars="20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next w:val="2"/>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cs="宋体"/>
      <w:color w:val="000000"/>
      <w:kern w:val="0"/>
      <w:sz w:val="24"/>
    </w:rPr>
  </w:style>
  <w:style w:type="paragraph" w:styleId="9">
    <w:name w:val="Body Text First Indent 2"/>
    <w:basedOn w:val="5"/>
    <w:link w:val="15"/>
    <w:qFormat/>
    <w:uiPriority w:val="0"/>
    <w:pPr>
      <w:tabs>
        <w:tab w:val="left" w:pos="420"/>
        <w:tab w:val="left" w:pos="870"/>
        <w:tab w:val="left" w:pos="3150"/>
      </w:tabs>
      <w:autoSpaceDE w:val="0"/>
      <w:autoSpaceDN w:val="0"/>
      <w:adjustRightInd w:val="0"/>
      <w:spacing w:after="0" w:line="360" w:lineRule="auto"/>
      <w:ind w:left="0" w:leftChars="0" w:firstLine="567"/>
      <w:textAlignment w:val="baseline"/>
    </w:pPr>
    <w:rPr>
      <w:rFonts w:ascii="宋体"/>
      <w:sz w:val="24"/>
      <w:szCs w:val="28"/>
    </w:rPr>
  </w:style>
  <w:style w:type="character" w:customStyle="1" w:styleId="12">
    <w:name w:val="页眉 字符"/>
    <w:basedOn w:val="11"/>
    <w:link w:val="7"/>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正文文本缩进 字符"/>
    <w:basedOn w:val="11"/>
    <w:link w:val="5"/>
    <w:semiHidden/>
    <w:qFormat/>
    <w:uiPriority w:val="99"/>
  </w:style>
  <w:style w:type="character" w:customStyle="1" w:styleId="15">
    <w:name w:val="正文首行缩进 2 字符"/>
    <w:basedOn w:val="14"/>
    <w:link w:val="9"/>
    <w:qFormat/>
    <w:uiPriority w:val="0"/>
    <w:rPr>
      <w:rFonts w:ascii="宋体"/>
      <w:sz w:val="24"/>
      <w:szCs w:val="28"/>
    </w:rPr>
  </w:style>
  <w:style w:type="paragraph" w:customStyle="1" w:styleId="16">
    <w:name w:val="Default"/>
    <w:autoRedefine/>
    <w:qFormat/>
    <w:uiPriority w:val="99"/>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 w:type="paragraph" w:customStyle="1" w:styleId="17">
    <w:name w:val="样式1"/>
    <w:qFormat/>
    <w:uiPriority w:val="0"/>
    <w:pPr>
      <w:wordWrap w:val="0"/>
      <w:topLinePunct/>
      <w:adjustRightInd w:val="0"/>
      <w:snapToGrid w:val="0"/>
      <w:spacing w:line="360" w:lineRule="auto"/>
      <w:ind w:firstLine="480" w:firstLineChars="200"/>
      <w:jc w:val="both"/>
    </w:pPr>
    <w:rPr>
      <w:rFonts w:hint="eastAsia" w:ascii="Times New Roman" w:hAnsi="Times New Roman" w:eastAsia="宋体" w:cs="Times New Roman"/>
      <w:color w:val="000000"/>
      <w:sz w:val="24"/>
      <w:szCs w:val="24"/>
      <w:lang w:val="en-US" w:eastAsia="zh-CN" w:bidi="ar-SA"/>
    </w:rPr>
  </w:style>
  <w:style w:type="paragraph" w:customStyle="1" w:styleId="18">
    <w:name w:val="12"/>
    <w:basedOn w:val="1"/>
    <w:qFormat/>
    <w:uiPriority w:val="0"/>
    <w:pPr>
      <w:wordWrap w:val="0"/>
      <w:topLinePunct/>
      <w:adjustRightInd w:val="0"/>
      <w:snapToGrid w:val="0"/>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WRGHO.COM</Company>
  <Pages>5</Pages>
  <Words>332</Words>
  <Characters>357</Characters>
  <Lines>4</Lines>
  <Paragraphs>1</Paragraphs>
  <TotalTime>0</TotalTime>
  <ScaleCrop>false</ScaleCrop>
  <LinksUpToDate>false</LinksUpToDate>
  <CharactersWithSpaces>359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2020-09-29T02:33:00Z</dcterms:created>
  <dc:creator>WRGHO</dc:creator>
  <cp:lastModifiedBy>HUAWEI</cp:lastModifiedBy>
  <cp:lastPrinted>2026-03-31T17:35:00Z</cp:lastPrinted>
  <dcterms:modified xsi:type="dcterms:W3CDTF">2026-09-02T11:37:49Z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D4426CC9570B466698E9EA707A432345</vt:lpwstr>
  </property>
</Properties>
</file>