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Times New Roman" w:hAnsi="Times New Roman" w:eastAsia="黑体" w:cs="黑体"/>
          <w:sz w:val="32"/>
          <w:szCs w:val="32"/>
        </w:rPr>
      </w:pPr>
    </w:p>
    <w:p>
      <w:pPr>
        <w:adjustRightInd w:val="0"/>
        <w:snapToGrid w:val="0"/>
        <w:spacing w:line="580" w:lineRule="exact"/>
        <w:jc w:val="center"/>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井研县信访局</w:t>
      </w:r>
    </w:p>
    <w:p>
      <w:pPr>
        <w:adjustRightInd w:val="0"/>
        <w:snapToGrid w:val="0"/>
        <w:spacing w:line="58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val="en-US" w:eastAsia="zh-CN"/>
        </w:rPr>
        <w:t>2021年</w:t>
      </w:r>
      <w:r>
        <w:rPr>
          <w:rFonts w:hint="eastAsia" w:ascii="Times New Roman" w:hAnsi="Times New Roman" w:eastAsia="方正小标宋简体" w:cs="方正小标宋简体"/>
          <w:sz w:val="44"/>
          <w:szCs w:val="44"/>
        </w:rPr>
        <w:t>政府信息公开工作年度报告</w:t>
      </w:r>
    </w:p>
    <w:p>
      <w:pPr>
        <w:adjustRightInd w:val="0"/>
        <w:snapToGrid w:val="0"/>
        <w:spacing w:line="580" w:lineRule="exact"/>
        <w:ind w:firstLine="880" w:firstLineChars="200"/>
        <w:jc w:val="center"/>
        <w:rPr>
          <w:rFonts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按照《中华人民共和国政府信息公开条例》和《井研县人民政府办公室关于加强和规范政府信息公开情况统计报送工作的通知》，现将我局2021年政府信息公开工作情况报告如下。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rPr>
        <w:t>一、总体情况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2021年，县信访局在县委、县政府的正确领导下，不断提高人民群众对信访工作的满意度，始终把政府信息公开工作作为转变工作作风、推进依法行政、提高工作效率的重要抓手，不断深化重点领域信息公开，完善政务公开制度规范，提升政务公开实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（一）规范网站信息公开管理。</w:t>
      </w:r>
      <w:r>
        <w:rPr>
          <w:rFonts w:hint="default" w:ascii="Times New Roman" w:hAnsi="Times New Roman" w:eastAsia="仿宋_GB2312" w:cs="Times New Roman"/>
          <w:sz w:val="32"/>
          <w:szCs w:val="32"/>
        </w:rPr>
        <w:t>严格按照“谁公开、谁审查、谁负责”原则，认真落实信息员、审核员、审发员“三级审核”制度，进一步推进信息公开工作制度化、规范化和标准化。</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（二）加大主动公开信息力度。</w:t>
      </w:r>
      <w:bookmarkStart w:id="0" w:name="_GoBack"/>
      <w:bookmarkEnd w:id="0"/>
      <w:r>
        <w:rPr>
          <w:rFonts w:hint="default" w:ascii="Times New Roman" w:hAnsi="Times New Roman" w:eastAsia="仿宋_GB2312" w:cs="Times New Roman"/>
          <w:sz w:val="32"/>
          <w:szCs w:val="32"/>
        </w:rPr>
        <w:t>2021年，门户网站全年发布信息共计</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条，其中公告信息</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条，局动态信息</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条，其他综合信息</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sz w:val="32"/>
          <w:szCs w:val="32"/>
        </w:rPr>
      </w:pPr>
      <w:r>
        <w:rPr>
          <w:rFonts w:hint="default" w:ascii="Times New Roman" w:hAnsi="Times New Roman" w:eastAsia="楷体" w:cs="Times New Roman"/>
          <w:sz w:val="32"/>
          <w:szCs w:val="32"/>
        </w:rPr>
        <w:t>　　（三）健全政府信息公开监督保障机制。</w:t>
      </w:r>
      <w:r>
        <w:rPr>
          <w:rFonts w:hint="default" w:ascii="Times New Roman" w:hAnsi="Times New Roman" w:eastAsia="仿宋_GB2312" w:cs="Times New Roman"/>
          <w:sz w:val="32"/>
          <w:szCs w:val="32"/>
        </w:rPr>
        <w:t>加强对机关信息公开工作人员的管理，提高机关效能。加强政府职能的民主、公开、透明度。我局按照县委、县政府的统一部署和要求，进一步完善了各类政府信息公开管理制度，做到以制度管人，以机制励人。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黑体" w:cs="黑体"/>
          <w:sz w:val="32"/>
          <w:szCs w:val="32"/>
        </w:rPr>
        <w:t>二、主动公开政府信息情况</w:t>
      </w:r>
    </w:p>
    <w:tbl>
      <w:tblPr>
        <w:tblStyle w:val="5"/>
        <w:tblW w:w="8780" w:type="dxa"/>
        <w:jc w:val="center"/>
        <w:tblLayout w:type="fixed"/>
        <w:tblCellMar>
          <w:top w:w="0" w:type="dxa"/>
          <w:left w:w="0" w:type="dxa"/>
          <w:bottom w:w="0" w:type="dxa"/>
          <w:right w:w="0" w:type="dxa"/>
        </w:tblCellMar>
      </w:tblPr>
      <w:tblGrid>
        <w:gridCol w:w="2662"/>
        <w:gridCol w:w="2167"/>
        <w:gridCol w:w="1806"/>
        <w:gridCol w:w="2145"/>
      </w:tblGrid>
      <w:tr>
        <w:tblPrEx>
          <w:tblCellMar>
            <w:top w:w="0" w:type="dxa"/>
            <w:left w:w="0" w:type="dxa"/>
            <w:bottom w:w="0" w:type="dxa"/>
            <w:right w:w="0" w:type="dxa"/>
          </w:tblCellMar>
        </w:tblPrEx>
        <w:trPr>
          <w:trHeight w:val="684" w:hRule="atLeast"/>
          <w:jc w:val="center"/>
        </w:trPr>
        <w:tc>
          <w:tcPr>
            <w:tcW w:w="878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spacing w:line="580" w:lineRule="exact"/>
              <w:rPr>
                <w:rFonts w:ascii="Times New Roman" w:hAnsi="Times New Roman"/>
              </w:rPr>
            </w:pPr>
            <w:r>
              <w:rPr>
                <w:rFonts w:hint="eastAsia" w:ascii="Times New Roman" w:hAnsi="Times New Roman"/>
              </w:rPr>
              <w:t>第二十条第（一）项</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信息内容</w:t>
            </w:r>
          </w:p>
        </w:tc>
        <w:tc>
          <w:tcPr>
            <w:tcW w:w="2167" w:type="dxa"/>
            <w:tcBorders>
              <w:top w:val="single" w:color="auto" w:sz="8" w:space="0"/>
              <w:left w:val="nil"/>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本年制发件数</w:t>
            </w:r>
          </w:p>
        </w:tc>
        <w:tc>
          <w:tcPr>
            <w:tcW w:w="1806" w:type="dxa"/>
            <w:tcBorders>
              <w:top w:val="single" w:color="auto" w:sz="8" w:space="0"/>
              <w:left w:val="nil"/>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本年废止件数</w:t>
            </w:r>
          </w:p>
        </w:tc>
        <w:tc>
          <w:tcPr>
            <w:tcW w:w="2145" w:type="dxa"/>
            <w:tcBorders>
              <w:top w:val="single" w:color="auto" w:sz="8" w:space="0"/>
              <w:left w:val="nil"/>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现行有效件数</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规章</w:t>
            </w:r>
          </w:p>
        </w:tc>
        <w:tc>
          <w:tcPr>
            <w:tcW w:w="2167"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hint="eastAsia" w:ascii="Times New Roman" w:hAnsi="Times New Roman"/>
              </w:rPr>
              <w:t>　　</w:t>
            </w:r>
            <w:r>
              <w:rPr>
                <w:rFonts w:hint="eastAsia" w:ascii="Times New Roman" w:hAnsi="Times New Roman"/>
                <w:lang w:val="en-US" w:eastAsia="zh-CN"/>
              </w:rPr>
              <w:t>0</w:t>
            </w:r>
          </w:p>
        </w:tc>
        <w:tc>
          <w:tcPr>
            <w:tcW w:w="1806"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ascii="Times New Roman" w:hAnsi="Times New Roman"/>
              </w:rPr>
              <w:t> </w:t>
            </w:r>
            <w:r>
              <w:rPr>
                <w:rFonts w:hint="eastAsia" w:ascii="Times New Roman" w:hAnsi="Times New Roman"/>
              </w:rPr>
              <w:t>　</w:t>
            </w:r>
            <w:r>
              <w:rPr>
                <w:rFonts w:hint="eastAsia" w:ascii="Times New Roman" w:hAnsi="Times New Roman"/>
                <w:lang w:val="en-US" w:eastAsia="zh-CN"/>
              </w:rPr>
              <w:t>0</w:t>
            </w:r>
          </w:p>
        </w:tc>
        <w:tc>
          <w:tcPr>
            <w:tcW w:w="2145"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ascii="Times New Roman" w:hAnsi="Times New Roman"/>
              </w:rPr>
              <w:t> </w:t>
            </w:r>
            <w:r>
              <w:rPr>
                <w:rFonts w:hint="eastAsia" w:ascii="Times New Roman" w:hAnsi="Times New Roman"/>
                <w:lang w:val="en-US" w:eastAsia="zh-CN"/>
              </w:rPr>
              <w:t>0</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行政规范性文件</w:t>
            </w:r>
          </w:p>
        </w:tc>
        <w:tc>
          <w:tcPr>
            <w:tcW w:w="2167"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hint="eastAsia" w:ascii="Times New Roman" w:hAnsi="Times New Roman"/>
              </w:rPr>
              <w:t>　　</w:t>
            </w:r>
            <w:r>
              <w:rPr>
                <w:rFonts w:hint="eastAsia" w:ascii="Times New Roman" w:hAnsi="Times New Roman"/>
                <w:lang w:val="en-US" w:eastAsia="zh-CN"/>
              </w:rPr>
              <w:t>0</w:t>
            </w:r>
          </w:p>
        </w:tc>
        <w:tc>
          <w:tcPr>
            <w:tcW w:w="1806"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ascii="Times New Roman" w:hAnsi="Times New Roman"/>
              </w:rPr>
              <w:t> </w:t>
            </w:r>
            <w:r>
              <w:rPr>
                <w:rFonts w:hint="eastAsia" w:ascii="Times New Roman" w:hAnsi="Times New Roman"/>
              </w:rPr>
              <w:t>　</w:t>
            </w:r>
            <w:r>
              <w:rPr>
                <w:rFonts w:hint="eastAsia" w:ascii="Times New Roman" w:hAnsi="Times New Roman"/>
                <w:lang w:val="en-US" w:eastAsia="zh-CN"/>
              </w:rPr>
              <w:t>0</w:t>
            </w:r>
          </w:p>
        </w:tc>
        <w:tc>
          <w:tcPr>
            <w:tcW w:w="2145" w:type="dxa"/>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ascii="Times New Roman" w:hAnsi="Times New Roman"/>
              </w:rPr>
              <w:t> </w:t>
            </w:r>
            <w:r>
              <w:rPr>
                <w:rFonts w:hint="eastAsia" w:ascii="Times New Roman" w:hAnsi="Times New Roman"/>
                <w:lang w:val="en-US" w:eastAsia="zh-CN"/>
              </w:rPr>
              <w:t>0</w:t>
            </w:r>
          </w:p>
        </w:tc>
      </w:tr>
      <w:tr>
        <w:tblPrEx>
          <w:tblCellMar>
            <w:top w:w="0" w:type="dxa"/>
            <w:left w:w="0" w:type="dxa"/>
            <w:bottom w:w="0" w:type="dxa"/>
            <w:right w:w="0" w:type="dxa"/>
          </w:tblCellMar>
        </w:tblPrEx>
        <w:trPr>
          <w:trHeight w:val="684" w:hRule="atLeast"/>
          <w:jc w:val="center"/>
        </w:trPr>
        <w:tc>
          <w:tcPr>
            <w:tcW w:w="87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580" w:lineRule="exact"/>
              <w:rPr>
                <w:rFonts w:ascii="Times New Roman" w:hAnsi="Times New Roman"/>
              </w:rPr>
            </w:pPr>
            <w:r>
              <w:rPr>
                <w:rFonts w:hint="eastAsia" w:ascii="Times New Roman" w:hAnsi="Times New Roman"/>
              </w:rPr>
              <w:t>第二十条第（五）项</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信息内容</w:t>
            </w:r>
          </w:p>
        </w:tc>
        <w:tc>
          <w:tcPr>
            <w:tcW w:w="6118" w:type="dxa"/>
            <w:gridSpan w:val="3"/>
            <w:tcBorders>
              <w:top w:val="nil"/>
              <w:left w:val="nil"/>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本年处理决定数量</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行政许可</w:t>
            </w:r>
          </w:p>
        </w:tc>
        <w:tc>
          <w:tcPr>
            <w:tcW w:w="6118" w:type="dxa"/>
            <w:gridSpan w:val="3"/>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ascii="Times New Roman" w:hAnsi="Times New Roman"/>
              </w:rPr>
              <w:t> </w:t>
            </w:r>
            <w:r>
              <w:rPr>
                <w:rFonts w:hint="eastAsia" w:ascii="Times New Roman" w:hAnsi="Times New Roman"/>
                <w:lang w:val="en-US" w:eastAsia="zh-CN"/>
              </w:rPr>
              <w:t>0</w:t>
            </w:r>
          </w:p>
        </w:tc>
      </w:tr>
      <w:tr>
        <w:tblPrEx>
          <w:tblCellMar>
            <w:top w:w="0" w:type="dxa"/>
            <w:left w:w="0" w:type="dxa"/>
            <w:bottom w:w="0" w:type="dxa"/>
            <w:right w:w="0" w:type="dxa"/>
          </w:tblCellMar>
        </w:tblPrEx>
        <w:trPr>
          <w:trHeight w:val="684" w:hRule="atLeast"/>
          <w:jc w:val="center"/>
        </w:trPr>
        <w:tc>
          <w:tcPr>
            <w:tcW w:w="87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580" w:lineRule="exact"/>
              <w:rPr>
                <w:rFonts w:ascii="Times New Roman" w:hAnsi="Times New Roman"/>
              </w:rPr>
            </w:pPr>
            <w:r>
              <w:rPr>
                <w:rFonts w:hint="eastAsia" w:ascii="Times New Roman" w:hAnsi="Times New Roman"/>
              </w:rPr>
              <w:t>第二十条第（六）项</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信息内容</w:t>
            </w:r>
          </w:p>
        </w:tc>
        <w:tc>
          <w:tcPr>
            <w:tcW w:w="6118" w:type="dxa"/>
            <w:gridSpan w:val="3"/>
            <w:tcBorders>
              <w:top w:val="single" w:color="auto" w:sz="8" w:space="0"/>
              <w:left w:val="nil"/>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本年处理决定数量</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行政处罚</w:t>
            </w:r>
          </w:p>
        </w:tc>
        <w:tc>
          <w:tcPr>
            <w:tcW w:w="6118" w:type="dxa"/>
            <w:gridSpan w:val="3"/>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hint="eastAsia" w:ascii="Times New Roman" w:hAnsi="Times New Roman"/>
              </w:rPr>
              <w:t>　</w:t>
            </w:r>
            <w:r>
              <w:rPr>
                <w:rFonts w:hint="eastAsia" w:ascii="Times New Roman" w:hAnsi="Times New Roman"/>
                <w:lang w:val="en-US" w:eastAsia="zh-CN"/>
              </w:rPr>
              <w:t>0</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行政强制</w:t>
            </w:r>
          </w:p>
        </w:tc>
        <w:tc>
          <w:tcPr>
            <w:tcW w:w="6118" w:type="dxa"/>
            <w:gridSpan w:val="3"/>
            <w:tcBorders>
              <w:top w:val="nil"/>
              <w:left w:val="nil"/>
              <w:bottom w:val="single" w:color="auto" w:sz="8" w:space="0"/>
              <w:right w:val="single" w:color="auto"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hint="eastAsia" w:ascii="Times New Roman" w:hAnsi="Times New Roman"/>
              </w:rPr>
              <w:t>　</w:t>
            </w:r>
            <w:r>
              <w:rPr>
                <w:rFonts w:hint="eastAsia" w:ascii="Times New Roman" w:hAnsi="Times New Roman"/>
                <w:lang w:val="en-US" w:eastAsia="zh-CN"/>
              </w:rPr>
              <w:t>0</w:t>
            </w:r>
          </w:p>
        </w:tc>
      </w:tr>
      <w:tr>
        <w:tblPrEx>
          <w:tblCellMar>
            <w:top w:w="0" w:type="dxa"/>
            <w:left w:w="0" w:type="dxa"/>
            <w:bottom w:w="0" w:type="dxa"/>
            <w:right w:w="0" w:type="dxa"/>
          </w:tblCellMar>
        </w:tblPrEx>
        <w:trPr>
          <w:trHeight w:val="684" w:hRule="atLeast"/>
          <w:jc w:val="center"/>
        </w:trPr>
        <w:tc>
          <w:tcPr>
            <w:tcW w:w="87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580" w:lineRule="exact"/>
              <w:rPr>
                <w:rFonts w:ascii="Times New Roman" w:hAnsi="Times New Roman"/>
              </w:rPr>
            </w:pPr>
            <w:r>
              <w:rPr>
                <w:rFonts w:hint="eastAsia" w:ascii="Times New Roman" w:hAnsi="Times New Roman"/>
              </w:rPr>
              <w:t>第二十条第（八）项</w:t>
            </w:r>
          </w:p>
        </w:tc>
      </w:tr>
      <w:tr>
        <w:tblPrEx>
          <w:tblCellMar>
            <w:top w:w="0" w:type="dxa"/>
            <w:left w:w="0" w:type="dxa"/>
            <w:bottom w:w="0" w:type="dxa"/>
            <w:right w:w="0" w:type="dxa"/>
          </w:tblCellMar>
        </w:tblPrEx>
        <w:trPr>
          <w:trHeight w:val="684"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信息内容</w:t>
            </w:r>
          </w:p>
        </w:tc>
        <w:tc>
          <w:tcPr>
            <w:tcW w:w="6118" w:type="dxa"/>
            <w:gridSpan w:val="3"/>
            <w:tcBorders>
              <w:top w:val="nil"/>
              <w:left w:val="nil"/>
              <w:bottom w:val="single" w:color="auto" w:sz="8" w:space="0"/>
              <w:right w:val="single" w:color="000000"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本年收费金额（单位：万元）</w:t>
            </w:r>
          </w:p>
        </w:tc>
      </w:tr>
      <w:tr>
        <w:tblPrEx>
          <w:tblCellMar>
            <w:top w:w="0" w:type="dxa"/>
            <w:left w:w="0" w:type="dxa"/>
            <w:bottom w:w="0" w:type="dxa"/>
            <w:right w:w="0" w:type="dxa"/>
          </w:tblCellMar>
        </w:tblPrEx>
        <w:trPr>
          <w:trHeight w:val="725" w:hRule="atLeast"/>
          <w:jc w:val="center"/>
        </w:trPr>
        <w:tc>
          <w:tcPr>
            <w:tcW w:w="2662" w:type="dxa"/>
            <w:tcBorders>
              <w:top w:val="nil"/>
              <w:left w:val="single" w:color="auto" w:sz="8" w:space="0"/>
              <w:bottom w:val="single" w:color="auto" w:sz="8" w:space="0"/>
              <w:right w:val="single" w:color="auto" w:sz="8" w:space="0"/>
            </w:tcBorders>
            <w:tcMar>
              <w:left w:w="57" w:type="dxa"/>
              <w:right w:w="57" w:type="dxa"/>
            </w:tcMar>
            <w:vAlign w:val="center"/>
          </w:tcPr>
          <w:p>
            <w:pPr>
              <w:spacing w:line="580" w:lineRule="exact"/>
              <w:rPr>
                <w:rFonts w:ascii="Times New Roman" w:hAnsi="Times New Roman"/>
              </w:rPr>
            </w:pPr>
            <w:r>
              <w:rPr>
                <w:rFonts w:hint="eastAsia" w:ascii="Times New Roman" w:hAnsi="Times New Roman"/>
              </w:rPr>
              <w:t>行政事业性收费</w:t>
            </w:r>
          </w:p>
        </w:tc>
        <w:tc>
          <w:tcPr>
            <w:tcW w:w="6118" w:type="dxa"/>
            <w:gridSpan w:val="3"/>
            <w:tcBorders>
              <w:top w:val="nil"/>
              <w:left w:val="nil"/>
              <w:bottom w:val="single" w:color="auto" w:sz="8" w:space="0"/>
              <w:right w:val="single" w:color="000000" w:sz="8" w:space="0"/>
            </w:tcBorders>
            <w:tcMar>
              <w:left w:w="57" w:type="dxa"/>
              <w:right w:w="57" w:type="dxa"/>
            </w:tcMar>
            <w:vAlign w:val="center"/>
          </w:tcPr>
          <w:p>
            <w:pPr>
              <w:spacing w:line="580" w:lineRule="exact"/>
              <w:rPr>
                <w:rFonts w:hint="eastAsia" w:ascii="Times New Roman" w:hAnsi="Times New Roman" w:eastAsia="宋体"/>
                <w:lang w:val="en-US" w:eastAsia="zh-CN"/>
              </w:rPr>
            </w:pPr>
            <w:r>
              <w:rPr>
                <w:rFonts w:hint="eastAsia" w:ascii="Times New Roman" w:hAnsi="Times New Roman"/>
                <w:lang w:val="en-US" w:eastAsia="zh-CN"/>
              </w:rPr>
              <w:t>0</w:t>
            </w:r>
          </w:p>
        </w:tc>
      </w:tr>
    </w:tbl>
    <w:p>
      <w:pPr>
        <w:spacing w:line="580" w:lineRule="exact"/>
        <w:ind w:firstLine="640" w:firstLineChars="200"/>
        <w:rPr>
          <w:rFonts w:ascii="Times New Roman" w:hAnsi="Times New Roman" w:eastAsia="仿宋_GB2312" w:cs="仿宋_GB2312"/>
          <w:sz w:val="32"/>
          <w:szCs w:val="32"/>
        </w:rPr>
      </w:pPr>
    </w:p>
    <w:p>
      <w:pPr>
        <w:spacing w:line="580" w:lineRule="exact"/>
        <w:ind w:firstLine="640" w:firstLineChars="200"/>
        <w:rPr>
          <w:rFonts w:ascii="Times New Roman" w:hAnsi="Times New Roman" w:eastAsia="仿宋_GB2312" w:cs="仿宋_GB2312"/>
          <w:sz w:val="32"/>
          <w:szCs w:val="32"/>
        </w:rPr>
      </w:pPr>
    </w:p>
    <w:p>
      <w:pPr>
        <w:spacing w:line="580" w:lineRule="exact"/>
        <w:ind w:firstLine="640" w:firstLineChars="200"/>
        <w:rPr>
          <w:rFonts w:ascii="Times New Roman" w:hAnsi="Times New Roman"/>
        </w:rPr>
      </w:pPr>
      <w:r>
        <w:rPr>
          <w:rFonts w:hint="eastAsia" w:ascii="Times New Roman" w:hAnsi="Times New Roman" w:eastAsia="黑体" w:cs="仿宋_GB2312"/>
          <w:sz w:val="32"/>
          <w:szCs w:val="32"/>
        </w:rPr>
        <w:t>三、收到和处理政府信息公开申请情况</w:t>
      </w:r>
    </w:p>
    <w:tbl>
      <w:tblPr>
        <w:tblStyle w:val="5"/>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68"/>
        <w:gridCol w:w="945"/>
        <w:gridCol w:w="3217"/>
        <w:gridCol w:w="688"/>
        <w:gridCol w:w="688"/>
        <w:gridCol w:w="688"/>
        <w:gridCol w:w="688"/>
        <w:gridCol w:w="688"/>
        <w:gridCol w:w="689"/>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vMerge w:val="restart"/>
            <w:tcMar>
              <w:left w:w="108" w:type="dxa"/>
              <w:right w:w="108" w:type="dxa"/>
            </w:tcMar>
            <w:vAlign w:val="center"/>
          </w:tcPr>
          <w:p>
            <w:pPr>
              <w:spacing w:line="440" w:lineRule="exact"/>
              <w:rPr>
                <w:rFonts w:ascii="Times New Roman" w:hAnsi="Times New Roman"/>
              </w:rPr>
            </w:pPr>
            <w:r>
              <w:rPr>
                <w:rFonts w:hint="eastAsia" w:ascii="Times New Roman" w:hAnsi="Times New Roman"/>
              </w:rPr>
              <w:t>（本列数据的勾稽关系为：第一项加第二项之和，等于第三项加第四项之和）</w:t>
            </w:r>
          </w:p>
        </w:tc>
        <w:tc>
          <w:tcPr>
            <w:tcW w:w="4818" w:type="dxa"/>
            <w:gridSpan w:val="7"/>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vMerge w:val="continue"/>
            <w:tcMar>
              <w:left w:w="108" w:type="dxa"/>
              <w:right w:w="108" w:type="dxa"/>
            </w:tcMar>
            <w:vAlign w:val="center"/>
          </w:tcPr>
          <w:p>
            <w:pPr>
              <w:spacing w:line="440" w:lineRule="exact"/>
              <w:rPr>
                <w:rFonts w:ascii="Times New Roman" w:hAnsi="Times New Roman"/>
              </w:rPr>
            </w:pPr>
          </w:p>
        </w:tc>
        <w:tc>
          <w:tcPr>
            <w:tcW w:w="688" w:type="dxa"/>
            <w:vMerge w:val="restart"/>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自</w:t>
            </w:r>
          </w:p>
          <w:p>
            <w:pPr>
              <w:spacing w:line="440" w:lineRule="exact"/>
              <w:jc w:val="center"/>
              <w:rPr>
                <w:rFonts w:ascii="Times New Roman" w:hAnsi="Times New Roman"/>
              </w:rPr>
            </w:pPr>
            <w:r>
              <w:rPr>
                <w:rFonts w:hint="eastAsia" w:ascii="Times New Roman" w:hAnsi="Times New Roman"/>
              </w:rPr>
              <w:t>然</w:t>
            </w:r>
          </w:p>
          <w:p>
            <w:pPr>
              <w:spacing w:line="440" w:lineRule="exact"/>
              <w:jc w:val="center"/>
              <w:rPr>
                <w:rFonts w:ascii="Times New Roman" w:hAnsi="Times New Roman"/>
              </w:rPr>
            </w:pPr>
            <w:r>
              <w:rPr>
                <w:rFonts w:hint="eastAsia" w:ascii="Times New Roman" w:hAnsi="Times New Roman"/>
              </w:rPr>
              <w:t>人</w:t>
            </w:r>
          </w:p>
        </w:tc>
        <w:tc>
          <w:tcPr>
            <w:tcW w:w="3441" w:type="dxa"/>
            <w:gridSpan w:val="5"/>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法人或其他组织</w:t>
            </w:r>
          </w:p>
        </w:tc>
        <w:tc>
          <w:tcPr>
            <w:tcW w:w="689" w:type="dxa"/>
            <w:vMerge w:val="restart"/>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vMerge w:val="continue"/>
            <w:tcMar>
              <w:left w:w="108" w:type="dxa"/>
              <w:right w:w="108" w:type="dxa"/>
            </w:tcMar>
            <w:vAlign w:val="center"/>
          </w:tcPr>
          <w:p>
            <w:pPr>
              <w:spacing w:line="440" w:lineRule="exact"/>
              <w:rPr>
                <w:rFonts w:ascii="Times New Roman" w:hAnsi="Times New Roman"/>
              </w:rPr>
            </w:pPr>
          </w:p>
        </w:tc>
        <w:tc>
          <w:tcPr>
            <w:tcW w:w="688" w:type="dxa"/>
            <w:vMerge w:val="continue"/>
            <w:tcMar>
              <w:left w:w="57" w:type="dxa"/>
              <w:right w:w="57" w:type="dxa"/>
            </w:tcMar>
            <w:vAlign w:val="center"/>
          </w:tcPr>
          <w:p>
            <w:pPr>
              <w:spacing w:line="440" w:lineRule="exact"/>
              <w:rPr>
                <w:rFonts w:ascii="Times New Roman" w:hAnsi="Times New Roman"/>
              </w:rPr>
            </w:pP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商业</w:t>
            </w:r>
          </w:p>
          <w:p>
            <w:pPr>
              <w:spacing w:line="440" w:lineRule="exact"/>
              <w:jc w:val="center"/>
              <w:rPr>
                <w:rFonts w:ascii="Times New Roman" w:hAnsi="Times New Roman"/>
              </w:rPr>
            </w:pPr>
            <w:r>
              <w:rPr>
                <w:rFonts w:hint="eastAsia" w:ascii="Times New Roman" w:hAnsi="Times New Roman"/>
              </w:rPr>
              <w:t>企业</w:t>
            </w: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科研</w:t>
            </w:r>
          </w:p>
          <w:p>
            <w:pPr>
              <w:spacing w:line="440" w:lineRule="exact"/>
              <w:jc w:val="center"/>
              <w:rPr>
                <w:rFonts w:ascii="Times New Roman" w:hAnsi="Times New Roman"/>
              </w:rPr>
            </w:pPr>
            <w:r>
              <w:rPr>
                <w:rFonts w:hint="eastAsia" w:ascii="Times New Roman" w:hAnsi="Times New Roman"/>
              </w:rPr>
              <w:t>机构</w:t>
            </w: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社会公益组织</w:t>
            </w:r>
          </w:p>
        </w:tc>
        <w:tc>
          <w:tcPr>
            <w:tcW w:w="688"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法律服务机构</w:t>
            </w:r>
          </w:p>
        </w:tc>
        <w:tc>
          <w:tcPr>
            <w:tcW w:w="689" w:type="dxa"/>
            <w:tcMar>
              <w:left w:w="57" w:type="dxa"/>
              <w:right w:w="57" w:type="dxa"/>
            </w:tcMar>
            <w:vAlign w:val="center"/>
          </w:tcPr>
          <w:p>
            <w:pPr>
              <w:spacing w:line="440" w:lineRule="exact"/>
              <w:jc w:val="center"/>
              <w:rPr>
                <w:rFonts w:ascii="Times New Roman" w:hAnsi="Times New Roman"/>
              </w:rPr>
            </w:pPr>
            <w:r>
              <w:rPr>
                <w:rFonts w:hint="eastAsia" w:ascii="Times New Roman" w:hAnsi="Times New Roman"/>
              </w:rPr>
              <w:t>其他</w:t>
            </w:r>
          </w:p>
        </w:tc>
        <w:tc>
          <w:tcPr>
            <w:tcW w:w="689" w:type="dxa"/>
            <w:vMerge w:val="continue"/>
            <w:tcMar>
              <w:left w:w="57" w:type="dxa"/>
              <w:right w:w="57" w:type="dxa"/>
            </w:tcMar>
            <w:vAlign w:val="center"/>
          </w:tcPr>
          <w:p>
            <w:pPr>
              <w:spacing w:line="44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tcMar>
              <w:left w:w="57" w:type="dxa"/>
              <w:right w:w="57" w:type="dxa"/>
            </w:tcMar>
            <w:vAlign w:val="center"/>
          </w:tcPr>
          <w:p>
            <w:pPr>
              <w:spacing w:line="440" w:lineRule="exact"/>
              <w:rPr>
                <w:rFonts w:ascii="Times New Roman" w:hAnsi="Times New Roman"/>
              </w:rPr>
            </w:pPr>
            <w:r>
              <w:rPr>
                <w:rFonts w:hint="eastAsia" w:ascii="Times New Roman" w:hAnsi="Times New Roman"/>
              </w:rPr>
              <w:t>一、本年新收政府信息公开申请数量</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9" w:type="dxa"/>
            <w:tcMar>
              <w:left w:w="57" w:type="dxa"/>
              <w:right w:w="57" w:type="dxa"/>
            </w:tcMa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tcMar>
              <w:left w:w="57" w:type="dxa"/>
              <w:right w:w="57" w:type="dxa"/>
            </w:tcMar>
            <w:vAlign w:val="center"/>
          </w:tcPr>
          <w:p>
            <w:pPr>
              <w:spacing w:line="440" w:lineRule="exact"/>
              <w:rPr>
                <w:rFonts w:ascii="Times New Roman" w:hAnsi="Times New Roman"/>
              </w:rPr>
            </w:pPr>
            <w:r>
              <w:rPr>
                <w:rFonts w:hint="eastAsia" w:ascii="Times New Roman" w:hAnsi="Times New Roman"/>
              </w:rPr>
              <w:t>二、上年结转政府信息公开申请数量</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440" w:lineRule="exact"/>
              <w:rPr>
                <w:rFonts w:ascii="Times New Roman" w:hAnsi="Times New Roman"/>
              </w:rPr>
            </w:pPr>
            <w:r>
              <w:rPr>
                <w:rFonts w:hint="eastAsia" w:ascii="Times New Roman" w:hAnsi="Times New Roman"/>
              </w:rPr>
              <w:t>三、本年度办理结果</w:t>
            </w:r>
          </w:p>
        </w:tc>
        <w:tc>
          <w:tcPr>
            <w:tcW w:w="4162" w:type="dxa"/>
            <w:gridSpan w:val="2"/>
            <w:tcMar>
              <w:left w:w="57" w:type="dxa"/>
              <w:right w:w="57" w:type="dxa"/>
            </w:tcMar>
            <w:vAlign w:val="center"/>
          </w:tcPr>
          <w:p>
            <w:pPr>
              <w:spacing w:line="440" w:lineRule="exact"/>
              <w:rPr>
                <w:rFonts w:ascii="Times New Roman" w:hAnsi="Times New Roman"/>
              </w:rPr>
            </w:pPr>
            <w:r>
              <w:rPr>
                <w:rFonts w:hint="eastAsia" w:ascii="Times New Roman" w:hAnsi="Times New Roman"/>
              </w:rPr>
              <w:t>（一）予以公开</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4162" w:type="dxa"/>
            <w:gridSpan w:val="2"/>
            <w:tcMar>
              <w:left w:w="57" w:type="dxa"/>
              <w:right w:w="57" w:type="dxa"/>
            </w:tcMar>
            <w:vAlign w:val="center"/>
          </w:tcPr>
          <w:p>
            <w:pPr>
              <w:spacing w:line="440" w:lineRule="exact"/>
              <w:rPr>
                <w:rFonts w:ascii="Times New Roman" w:hAnsi="Times New Roman"/>
              </w:rPr>
            </w:pPr>
            <w:r>
              <w:rPr>
                <w:rFonts w:hint="eastAsia" w:ascii="Times New Roman" w:hAnsi="Times New Roman"/>
              </w:rPr>
              <w:t>（二）部分公开（区分处理的，只计这一情形，不计其他情形）</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restart"/>
            <w:tcMar>
              <w:left w:w="57" w:type="dxa"/>
              <w:right w:w="57" w:type="dxa"/>
            </w:tcMar>
            <w:vAlign w:val="center"/>
          </w:tcPr>
          <w:p>
            <w:pPr>
              <w:spacing w:line="440" w:lineRule="exact"/>
              <w:rPr>
                <w:rFonts w:ascii="Times New Roman" w:hAnsi="Times New Roman"/>
              </w:rPr>
            </w:pPr>
            <w:r>
              <w:rPr>
                <w:rFonts w:hint="eastAsia" w:ascii="Times New Roman" w:hAnsi="Times New Roman"/>
              </w:rPr>
              <w:t>（三）不予公开</w:t>
            </w:r>
          </w:p>
        </w:tc>
        <w:tc>
          <w:tcPr>
            <w:tcW w:w="3217" w:type="dxa"/>
            <w:tcMar>
              <w:left w:w="57" w:type="dxa"/>
              <w:right w:w="57" w:type="dxa"/>
            </w:tcMar>
          </w:tcPr>
          <w:p>
            <w:pPr>
              <w:spacing w:line="440" w:lineRule="exact"/>
              <w:rPr>
                <w:rFonts w:ascii="Times New Roman" w:hAnsi="Times New Roman"/>
              </w:rPr>
            </w:pPr>
            <w:r>
              <w:rPr>
                <w:rFonts w:ascii="Times New Roman" w:hAnsi="Times New Roman"/>
              </w:rPr>
              <w:t>1.</w:t>
            </w:r>
            <w:r>
              <w:rPr>
                <w:rFonts w:hint="eastAsia" w:ascii="Times New Roman" w:hAnsi="Times New Roman"/>
              </w:rPr>
              <w:t>属于国家秘密</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2.</w:t>
            </w:r>
            <w:r>
              <w:rPr>
                <w:rFonts w:hint="eastAsia" w:ascii="Times New Roman" w:hAnsi="Times New Roman"/>
              </w:rPr>
              <w:t>其他法律行政法规禁止公开</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3.</w:t>
            </w:r>
            <w:r>
              <w:rPr>
                <w:rFonts w:hint="eastAsia" w:ascii="Times New Roman" w:hAnsi="Times New Roman"/>
              </w:rPr>
              <w:t>危及“三安全一稳定”</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4.</w:t>
            </w:r>
            <w:r>
              <w:rPr>
                <w:rFonts w:hint="eastAsia" w:ascii="Times New Roman" w:hAnsi="Times New Roman"/>
              </w:rPr>
              <w:t>保护第三方合法权益</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5.</w:t>
            </w:r>
            <w:r>
              <w:rPr>
                <w:rFonts w:hint="eastAsia" w:ascii="Times New Roman" w:hAnsi="Times New Roman"/>
              </w:rPr>
              <w:t>属于三类内部事务信息</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6.</w:t>
            </w:r>
            <w:r>
              <w:rPr>
                <w:rFonts w:hint="eastAsia" w:ascii="Times New Roman" w:hAnsi="Times New Roman"/>
              </w:rPr>
              <w:t>属于四类过程性信息</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7.</w:t>
            </w:r>
            <w:r>
              <w:rPr>
                <w:rFonts w:hint="eastAsia" w:ascii="Times New Roman" w:hAnsi="Times New Roman"/>
              </w:rPr>
              <w:t>属于行政执法案卷</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8.</w:t>
            </w:r>
            <w:r>
              <w:rPr>
                <w:rFonts w:hint="eastAsia" w:ascii="Times New Roman" w:hAnsi="Times New Roman"/>
              </w:rPr>
              <w:t>属于行政查询事项</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restart"/>
            <w:tcMar>
              <w:left w:w="57" w:type="dxa"/>
              <w:right w:w="57" w:type="dxa"/>
            </w:tcMar>
            <w:vAlign w:val="center"/>
          </w:tcPr>
          <w:p>
            <w:pPr>
              <w:spacing w:line="440" w:lineRule="exact"/>
              <w:rPr>
                <w:rFonts w:ascii="Times New Roman" w:hAnsi="Times New Roman"/>
              </w:rPr>
            </w:pPr>
            <w:r>
              <w:rPr>
                <w:rFonts w:hint="eastAsia" w:ascii="Times New Roman" w:hAnsi="Times New Roman"/>
              </w:rPr>
              <w:t>（四）无法提供</w:t>
            </w:r>
          </w:p>
        </w:tc>
        <w:tc>
          <w:tcPr>
            <w:tcW w:w="3217" w:type="dxa"/>
            <w:tcMar>
              <w:left w:w="57" w:type="dxa"/>
              <w:right w:w="57" w:type="dxa"/>
            </w:tcMar>
          </w:tcPr>
          <w:p>
            <w:pPr>
              <w:spacing w:line="440" w:lineRule="exact"/>
              <w:rPr>
                <w:rFonts w:ascii="Times New Roman" w:hAnsi="Times New Roman"/>
              </w:rPr>
            </w:pPr>
            <w:r>
              <w:rPr>
                <w:rFonts w:ascii="Times New Roman" w:hAnsi="Times New Roman"/>
              </w:rPr>
              <w:t>1.</w:t>
            </w:r>
            <w:r>
              <w:rPr>
                <w:rFonts w:hint="eastAsia" w:ascii="Times New Roman" w:hAnsi="Times New Roman"/>
              </w:rPr>
              <w:t>本机关不掌握相关政府信息</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2.</w:t>
            </w:r>
            <w:r>
              <w:rPr>
                <w:rFonts w:hint="eastAsia" w:ascii="Times New Roman" w:hAnsi="Times New Roman"/>
              </w:rPr>
              <w:t>没有现成信息需要另行制作</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3.</w:t>
            </w:r>
            <w:r>
              <w:rPr>
                <w:rFonts w:hint="eastAsia" w:ascii="Times New Roman" w:hAnsi="Times New Roman"/>
              </w:rPr>
              <w:t>补正后申请内容仍不明确</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top"/>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restart"/>
            <w:tcMar>
              <w:left w:w="57" w:type="dxa"/>
              <w:right w:w="57" w:type="dxa"/>
            </w:tcMar>
            <w:vAlign w:val="center"/>
          </w:tcPr>
          <w:p>
            <w:pPr>
              <w:spacing w:line="440" w:lineRule="exact"/>
              <w:rPr>
                <w:rFonts w:ascii="Times New Roman" w:hAnsi="Times New Roman"/>
              </w:rPr>
            </w:pPr>
            <w:r>
              <w:rPr>
                <w:rFonts w:hint="eastAsia" w:ascii="Times New Roman" w:hAnsi="Times New Roman"/>
              </w:rPr>
              <w:t>（五）不予处理</w:t>
            </w:r>
          </w:p>
        </w:tc>
        <w:tc>
          <w:tcPr>
            <w:tcW w:w="3217" w:type="dxa"/>
            <w:tcMar>
              <w:left w:w="57" w:type="dxa"/>
              <w:right w:w="57" w:type="dxa"/>
            </w:tcMar>
          </w:tcPr>
          <w:p>
            <w:pPr>
              <w:spacing w:line="440" w:lineRule="exact"/>
              <w:rPr>
                <w:rFonts w:ascii="Times New Roman" w:hAnsi="Times New Roman"/>
              </w:rPr>
            </w:pPr>
            <w:r>
              <w:rPr>
                <w:rFonts w:ascii="Times New Roman" w:hAnsi="Times New Roman"/>
              </w:rPr>
              <w:t>1.</w:t>
            </w:r>
            <w:r>
              <w:rPr>
                <w:rFonts w:hint="eastAsia" w:ascii="Times New Roman" w:hAnsi="Times New Roman"/>
              </w:rPr>
              <w:t>信访举报投诉类申请</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2.</w:t>
            </w:r>
            <w:r>
              <w:rPr>
                <w:rFonts w:hint="eastAsia" w:ascii="Times New Roman" w:hAnsi="Times New Roman"/>
              </w:rPr>
              <w:t>重复申请</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3.</w:t>
            </w:r>
            <w:r>
              <w:rPr>
                <w:rFonts w:hint="eastAsia" w:ascii="Times New Roman" w:hAnsi="Times New Roman"/>
              </w:rPr>
              <w:t>要求提供公开出版物</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tcPr>
          <w:p>
            <w:pPr>
              <w:spacing w:line="440" w:lineRule="exact"/>
              <w:rPr>
                <w:rFonts w:ascii="Times New Roman" w:hAnsi="Times New Roman"/>
              </w:rPr>
            </w:pPr>
            <w:r>
              <w:rPr>
                <w:rFonts w:ascii="Times New Roman" w:hAnsi="Times New Roman"/>
              </w:rPr>
              <w:t>4.</w:t>
            </w:r>
            <w:r>
              <w:rPr>
                <w:rFonts w:hint="eastAsia" w:ascii="Times New Roman" w:hAnsi="Times New Roman"/>
              </w:rPr>
              <w:t>无正当理由大量反复申请</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vAlign w:val="center"/>
          </w:tcPr>
          <w:p>
            <w:pPr>
              <w:spacing w:line="440" w:lineRule="exact"/>
              <w:rPr>
                <w:rFonts w:ascii="Times New Roman" w:hAnsi="Times New Roman"/>
              </w:rPr>
            </w:pPr>
            <w:r>
              <w:rPr>
                <w:rFonts w:ascii="Times New Roman" w:hAnsi="Times New Roman"/>
              </w:rPr>
              <w:t>5.</w:t>
            </w:r>
            <w:r>
              <w:rPr>
                <w:rFonts w:hint="eastAsia" w:ascii="Times New Roman" w:hAnsi="Times New Roman"/>
              </w:rPr>
              <w:t>要求行政机关确认或重新出具已获取信息</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restart"/>
            <w:tcMar>
              <w:left w:w="57" w:type="dxa"/>
              <w:right w:w="57" w:type="dxa"/>
            </w:tcMar>
            <w:vAlign w:val="center"/>
          </w:tcPr>
          <w:p>
            <w:pPr>
              <w:spacing w:line="440" w:lineRule="exact"/>
              <w:rPr>
                <w:rFonts w:ascii="Times New Roman" w:hAnsi="Times New Roman"/>
              </w:rPr>
            </w:pPr>
            <w:r>
              <w:rPr>
                <w:rFonts w:hint="eastAsia" w:ascii="Times New Roman" w:hAnsi="Times New Roman"/>
              </w:rPr>
              <w:t>（六）其他处理</w:t>
            </w:r>
          </w:p>
        </w:tc>
        <w:tc>
          <w:tcPr>
            <w:tcW w:w="3217" w:type="dxa"/>
            <w:tcMar>
              <w:left w:w="57" w:type="dxa"/>
              <w:right w:w="57" w:type="dxa"/>
            </w:tcMar>
            <w:vAlign w:val="center"/>
          </w:tcPr>
          <w:p>
            <w:pPr>
              <w:spacing w:line="440" w:lineRule="exact"/>
              <w:rPr>
                <w:rFonts w:ascii="Times New Roman" w:hAnsi="Times New Roman"/>
              </w:rPr>
            </w:pPr>
            <w:r>
              <w:rPr>
                <w:rFonts w:ascii="Times New Roman" w:hAnsi="Times New Roman"/>
              </w:rPr>
              <w:t>1.</w:t>
            </w:r>
            <w:r>
              <w:rPr>
                <w:rFonts w:hint="eastAsia" w:ascii="Times New Roman" w:hAnsi="Times New Roman"/>
              </w:rPr>
              <w:t>申请人无正当理由逾期不补正、行政机关不再处理其政府信息公开申请</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cs="Times New Roman"/>
                <w:kern w:val="2"/>
                <w:sz w:val="21"/>
                <w:szCs w:val="24"/>
                <w:lang w:val="en-US" w:eastAsia="zh-CN" w:bidi="ar-SA"/>
              </w:rPr>
            </w:pPr>
          </w:p>
          <w:p>
            <w:pPr>
              <w:bidi w:val="0"/>
              <w:jc w:val="center"/>
              <w:rPr>
                <w:rFonts w:hint="default"/>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vAlign w:val="center"/>
          </w:tcPr>
          <w:p>
            <w:pPr>
              <w:spacing w:line="440" w:lineRule="exact"/>
              <w:rPr>
                <w:rFonts w:ascii="Times New Roman" w:hAnsi="Times New Roman"/>
              </w:rPr>
            </w:pPr>
            <w:r>
              <w:rPr>
                <w:rFonts w:ascii="Times New Roman" w:hAnsi="Times New Roman"/>
              </w:rPr>
              <w:t>2.</w:t>
            </w:r>
            <w:r>
              <w:rPr>
                <w:rFonts w:hint="eastAsia" w:ascii="Times New Roman" w:hAnsi="Times New Roman"/>
              </w:rPr>
              <w:t>申请人逾期未按收费通知要求缴纳费用、行政机关不再处理其政府信息公开申请</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945" w:type="dxa"/>
            <w:vMerge w:val="continue"/>
            <w:tcMar>
              <w:left w:w="57" w:type="dxa"/>
              <w:right w:w="57" w:type="dxa"/>
            </w:tcMar>
            <w:vAlign w:val="center"/>
          </w:tcPr>
          <w:p>
            <w:pPr>
              <w:spacing w:line="440" w:lineRule="exact"/>
              <w:rPr>
                <w:rFonts w:ascii="Times New Roman" w:hAnsi="Times New Roman"/>
              </w:rPr>
            </w:pPr>
          </w:p>
        </w:tc>
        <w:tc>
          <w:tcPr>
            <w:tcW w:w="3217" w:type="dxa"/>
            <w:tcMar>
              <w:left w:w="57" w:type="dxa"/>
              <w:right w:w="57" w:type="dxa"/>
            </w:tcMar>
            <w:vAlign w:val="center"/>
          </w:tcPr>
          <w:p>
            <w:pPr>
              <w:spacing w:line="440" w:lineRule="exact"/>
              <w:rPr>
                <w:rFonts w:ascii="Times New Roman" w:hAnsi="Times New Roman"/>
              </w:rPr>
            </w:pPr>
            <w:r>
              <w:rPr>
                <w:rFonts w:ascii="Times New Roman" w:hAnsi="Times New Roman"/>
              </w:rPr>
              <w:t>3.</w:t>
            </w:r>
            <w:r>
              <w:rPr>
                <w:rFonts w:hint="eastAsia" w:ascii="Times New Roman" w:hAnsi="Times New Roman"/>
              </w:rPr>
              <w:t>其他</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440" w:lineRule="exact"/>
              <w:rPr>
                <w:rFonts w:ascii="Times New Roman" w:hAnsi="Times New Roman"/>
              </w:rPr>
            </w:pPr>
          </w:p>
        </w:tc>
        <w:tc>
          <w:tcPr>
            <w:tcW w:w="4162" w:type="dxa"/>
            <w:gridSpan w:val="2"/>
            <w:tcMar>
              <w:left w:w="57" w:type="dxa"/>
              <w:right w:w="57" w:type="dxa"/>
            </w:tcMar>
            <w:vAlign w:val="center"/>
          </w:tcPr>
          <w:p>
            <w:pPr>
              <w:spacing w:line="440" w:lineRule="exact"/>
              <w:rPr>
                <w:rFonts w:ascii="Times New Roman" w:hAnsi="Times New Roman"/>
              </w:rPr>
            </w:pPr>
            <w:r>
              <w:rPr>
                <w:rFonts w:hint="eastAsia" w:ascii="Times New Roman" w:hAnsi="Times New Roman"/>
              </w:rPr>
              <w:t>（七）总计</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0" w:type="dxa"/>
            <w:gridSpan w:val="3"/>
            <w:tcMar>
              <w:left w:w="57" w:type="dxa"/>
              <w:right w:w="57" w:type="dxa"/>
            </w:tcMar>
            <w:vAlign w:val="center"/>
          </w:tcPr>
          <w:p>
            <w:pPr>
              <w:spacing w:line="440" w:lineRule="exact"/>
              <w:rPr>
                <w:rFonts w:ascii="Times New Roman" w:hAnsi="Times New Roman"/>
              </w:rPr>
            </w:pPr>
            <w:r>
              <w:rPr>
                <w:rFonts w:hint="eastAsia" w:ascii="Times New Roman" w:hAnsi="Times New Roman"/>
              </w:rPr>
              <w:t>四、结转下年度继续办理</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8"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89" w:type="dxa"/>
            <w:tcMar>
              <w:left w:w="57" w:type="dxa"/>
              <w:right w:w="57" w:type="dxa"/>
            </w:tcMar>
            <w:vAlign w:val="center"/>
          </w:tcPr>
          <w:p>
            <w:pPr>
              <w:spacing w:line="44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r>
    </w:tbl>
    <w:p>
      <w:pPr>
        <w:spacing w:line="580"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w:t>
            </w:r>
            <w:r>
              <w:rPr>
                <w:rFonts w:ascii="Times New Roman" w:hAnsi="Times New Roman"/>
              </w:rPr>
              <w:br w:type="textWrapping"/>
            </w:r>
            <w:r>
              <w:rPr>
                <w:rFonts w:hint="eastAsia" w:ascii="Times New Roman" w:hAnsi="Times New Roman"/>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其他</w:t>
            </w:r>
            <w:r>
              <w:rPr>
                <w:rFonts w:ascii="Times New Roman" w:hAnsi="Times New Roman"/>
              </w:rPr>
              <w:br w:type="textWrapping"/>
            </w:r>
            <w:r>
              <w:rPr>
                <w:rFonts w:hint="eastAsia" w:ascii="Times New Roman" w:hAnsi="Times New Roman"/>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尚未</w:t>
            </w:r>
            <w:r>
              <w:rPr>
                <w:rFonts w:ascii="Times New Roman" w:hAnsi="Times New Roman"/>
              </w:rPr>
              <w:br w:type="textWrapping"/>
            </w:r>
            <w:r>
              <w:rPr>
                <w:rFonts w:hint="eastAsia" w:ascii="Times New Roman" w:hAnsi="Times New Roman"/>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w:t>
            </w:r>
            <w:r>
              <w:rPr>
                <w:rFonts w:ascii="Times New Roman" w:hAnsi="Times New Roman"/>
              </w:rPr>
              <w:br w:type="textWrapping"/>
            </w:r>
            <w:r>
              <w:rPr>
                <w:rFonts w:hint="eastAsia" w:ascii="Times New Roman" w:hAnsi="Times New Roman"/>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w:t>
            </w:r>
            <w:r>
              <w:rPr>
                <w:rFonts w:ascii="Times New Roman" w:hAnsi="Times New Roman"/>
              </w:rPr>
              <w:br w:type="textWrapping"/>
            </w:r>
            <w:r>
              <w:rPr>
                <w:rFonts w:hint="eastAsia" w:ascii="Times New Roman" w:hAnsi="Times New Roman"/>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其他</w:t>
            </w:r>
            <w:r>
              <w:rPr>
                <w:rFonts w:ascii="Times New Roman" w:hAnsi="Times New Roman"/>
              </w:rPr>
              <w:br w:type="textWrapping"/>
            </w:r>
            <w:r>
              <w:rPr>
                <w:rFonts w:hint="eastAsia" w:ascii="Times New Roman" w:hAnsi="Times New Roman"/>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尚未</w:t>
            </w:r>
            <w:r>
              <w:rPr>
                <w:rFonts w:ascii="Times New Roman" w:hAnsi="Times New Roman"/>
              </w:rPr>
              <w:br w:type="textWrapping"/>
            </w:r>
            <w:r>
              <w:rPr>
                <w:rFonts w:hint="eastAsia" w:ascii="Times New Roman" w:hAnsi="Times New Roman"/>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w:t>
            </w:r>
            <w:r>
              <w:rPr>
                <w:rFonts w:ascii="Times New Roman" w:hAnsi="Times New Roman"/>
              </w:rPr>
              <w:br w:type="textWrapping"/>
            </w:r>
            <w:r>
              <w:rPr>
                <w:rFonts w:hint="eastAsia" w:ascii="Times New Roman" w:hAnsi="Times New Roman"/>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结果</w:t>
            </w:r>
            <w:r>
              <w:rPr>
                <w:rFonts w:ascii="Times New Roman" w:hAnsi="Times New Roman"/>
              </w:rPr>
              <w:br w:type="textWrapping"/>
            </w:r>
            <w:r>
              <w:rPr>
                <w:rFonts w:hint="eastAsia" w:ascii="Times New Roman" w:hAnsi="Times New Roman"/>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其他</w:t>
            </w:r>
            <w:r>
              <w:rPr>
                <w:rFonts w:ascii="Times New Roman" w:hAnsi="Times New Roman"/>
              </w:rPr>
              <w:br w:type="textWrapping"/>
            </w:r>
            <w:r>
              <w:rPr>
                <w:rFonts w:hint="eastAsia" w:ascii="Times New Roman" w:hAnsi="Times New Roman"/>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尚未</w:t>
            </w:r>
            <w:r>
              <w:rPr>
                <w:rFonts w:ascii="Times New Roman" w:hAnsi="Times New Roman"/>
              </w:rPr>
              <w:br w:type="textWrapping"/>
            </w:r>
            <w:r>
              <w:rPr>
                <w:rFonts w:hint="eastAsia" w:ascii="Times New Roman" w:hAnsi="Times New Roman"/>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80" w:lineRule="exact"/>
              <w:rPr>
                <w:rFonts w:ascii="Times New Roman" w:hAnsi="Times New Roman"/>
              </w:rPr>
            </w:pPr>
            <w:r>
              <w:rPr>
                <w:rFonts w:hint="eastAsia" w:ascii="Times New Roman" w:hAnsi="Times New Roma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line="580" w:lineRule="exact"/>
              <w:jc w:val="center"/>
              <w:rPr>
                <w:rFonts w:hint="eastAsia" w:ascii="Times New Roman" w:hAnsi="Times New Roman" w:eastAsia="宋体"/>
                <w:lang w:val="en-US" w:eastAsia="zh-CN"/>
              </w:rPr>
            </w:pPr>
            <w:r>
              <w:rPr>
                <w:rFonts w:hint="eastAsia" w:ascii="Times New Roman" w:hAnsi="Times New Roman"/>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虽然我局2021年政府信息公开工作取得一定成效，但仍然存在信息容量不够大、信息公开的内容有待进一步规范、技术力量有待提高等不足。下一步，我们将严格按照县委、县政府要求，扎实做好政府信息公开工作。一是按照公开为原则、不公开为例外的总体要求，加强监管和审批，保证信息的完整性、准确性和及时性，提高社会对信访工作的支持度和满意度。二是针对信息质量、信息时效等方面开展培训，加强行业间交流学习，避免做形式、走过程、求数量的应付模式。</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本报告中所列数据统计时间为2021年1月1日至2021年12月31日。如需了解更多政府信息，请登录查询</w:t>
      </w:r>
      <w:r>
        <w:rPr>
          <w:rFonts w:hint="default" w:ascii="Times New Roman" w:hAnsi="Times New Roman" w:eastAsia="仿宋_GB2312" w:cs="Times New Roman"/>
          <w:sz w:val="32"/>
          <w:szCs w:val="32"/>
          <w:lang w:val="en-US" w:eastAsia="zh-CN"/>
        </w:rPr>
        <w:t>井研</w:t>
      </w:r>
      <w:r>
        <w:rPr>
          <w:rFonts w:hint="default" w:ascii="Times New Roman" w:hAnsi="Times New Roman" w:eastAsia="仿宋_GB2312" w:cs="Times New Roman"/>
          <w:sz w:val="32"/>
          <w:szCs w:val="32"/>
        </w:rPr>
        <w:t>县政府网站网址为</w:t>
      </w:r>
      <w:r>
        <w:rPr>
          <w:rFonts w:hint="default" w:ascii="Times New Roman" w:hAnsi="Times New Roman" w:eastAsia="微软雅黑" w:cs="Times New Roman"/>
          <w:b w:val="0"/>
          <w:i w:val="0"/>
          <w:caps w:val="0"/>
          <w:color w:val="000000"/>
          <w:spacing w:val="0"/>
          <w:sz w:val="32"/>
          <w:szCs w:val="32"/>
          <w:shd w:val="clear" w:color="auto" w:fill="FFFFFF"/>
          <w:lang w:val="en-US"/>
        </w:rPr>
        <w:t>http://www.jingyan.gov.cn</w:t>
      </w:r>
      <w:r>
        <w:rPr>
          <w:rFonts w:hint="default" w:ascii="Times New Roman" w:hAnsi="Times New Roman" w:eastAsia="仿宋_GB2312" w:cs="Times New Roman"/>
          <w:sz w:val="32"/>
          <w:szCs w:val="32"/>
        </w:rPr>
        <w:t>。</w:t>
      </w:r>
    </w:p>
    <w:sectPr>
      <w:footerReference r:id="rId3" w:type="default"/>
      <w:footerReference r:id="rId4" w:type="even"/>
      <w:pgSz w:w="11906" w:h="16838"/>
      <w:pgMar w:top="2098" w:right="1474" w:bottom="1701" w:left="1588" w:header="851" w:footer="1418"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7"/>
        <w:rFonts w:ascii="宋体"/>
        <w:sz w:val="28"/>
        <w:szCs w:val="28"/>
      </w:rPr>
    </w:pPr>
    <w:r>
      <w:rPr>
        <w:rStyle w:val="7"/>
        <w:rFonts w:hint="eastAsia" w:ascii="宋体" w:hAnsi="宋体"/>
        <w:sz w:val="28"/>
        <w:szCs w:val="28"/>
      </w:rPr>
      <w:t>―</w:t>
    </w: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9</w:t>
    </w:r>
    <w:r>
      <w:rPr>
        <w:rStyle w:val="7"/>
        <w:rFonts w:ascii="宋体" w:hAnsi="宋体"/>
        <w:sz w:val="28"/>
        <w:szCs w:val="28"/>
      </w:rPr>
      <w:fldChar w:fldCharType="end"/>
    </w:r>
    <w:r>
      <w:rPr>
        <w:rStyle w:val="7"/>
        <w:rFonts w:ascii="宋体" w:hAnsi="宋体"/>
        <w:sz w:val="28"/>
        <w:szCs w:val="28"/>
      </w:rPr>
      <w:t xml:space="preserve"> </w:t>
    </w:r>
    <w:r>
      <w:rPr>
        <w:rStyle w:val="7"/>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280" w:firstLineChars="100"/>
      <w:rPr>
        <w:rFonts w:ascii="宋体" w:hAnsi="宋体" w:cs="宋体"/>
        <w:sz w:val="28"/>
        <w:szCs w:val="28"/>
      </w:rPr>
    </w:pPr>
    <w:r>
      <w:rPr>
        <w:rFonts w:ascii="宋体" w:hAnsi="宋体" w:cs="宋体"/>
        <w:sz w:val="28"/>
        <w:szCs w:val="28"/>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A3"/>
    <w:rsid w:val="000C57CC"/>
    <w:rsid w:val="00125210"/>
    <w:rsid w:val="00154645"/>
    <w:rsid w:val="00176057"/>
    <w:rsid w:val="001F6329"/>
    <w:rsid w:val="0020050D"/>
    <w:rsid w:val="0033416E"/>
    <w:rsid w:val="003538EC"/>
    <w:rsid w:val="00470769"/>
    <w:rsid w:val="00492C2B"/>
    <w:rsid w:val="005D57BD"/>
    <w:rsid w:val="00612AE0"/>
    <w:rsid w:val="00857D16"/>
    <w:rsid w:val="008A6493"/>
    <w:rsid w:val="009D6A05"/>
    <w:rsid w:val="00A24209"/>
    <w:rsid w:val="00A32F62"/>
    <w:rsid w:val="00A47E71"/>
    <w:rsid w:val="00A70043"/>
    <w:rsid w:val="00C01B69"/>
    <w:rsid w:val="00D0145F"/>
    <w:rsid w:val="00DA66A3"/>
    <w:rsid w:val="00E47D76"/>
    <w:rsid w:val="13053D66"/>
    <w:rsid w:val="13DB5E2A"/>
    <w:rsid w:val="2865283A"/>
    <w:rsid w:val="2ED056B9"/>
    <w:rsid w:val="48154F30"/>
    <w:rsid w:val="499E2454"/>
    <w:rsid w:val="4CD84341"/>
    <w:rsid w:val="502920F0"/>
    <w:rsid w:val="52FA2655"/>
    <w:rsid w:val="5BC3024B"/>
    <w:rsid w:val="6A7E4CD7"/>
    <w:rsid w:val="6EFE2D3E"/>
    <w:rsid w:val="712E7811"/>
    <w:rsid w:val="7154569A"/>
    <w:rsid w:val="790450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rPr>
  </w:style>
  <w:style w:type="paragraph" w:styleId="3">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99"/>
    <w:pPr>
      <w:spacing w:beforeAutospacing="1" w:afterAutospacing="1"/>
      <w:jc w:val="left"/>
    </w:pPr>
    <w:rPr>
      <w:kern w:val="0"/>
      <w:sz w:val="24"/>
    </w:rPr>
  </w:style>
  <w:style w:type="character" w:styleId="7">
    <w:name w:val="page number"/>
    <w:basedOn w:val="6"/>
    <w:uiPriority w:val="99"/>
    <w:rPr>
      <w:rFonts w:cs="Times New Roman"/>
    </w:rPr>
  </w:style>
  <w:style w:type="character" w:styleId="8">
    <w:name w:val="Emphasis"/>
    <w:basedOn w:val="6"/>
    <w:qFormat/>
    <w:uiPriority w:val="99"/>
    <w:rPr>
      <w:rFonts w:cs="Times New Roman"/>
      <w:i/>
    </w:rPr>
  </w:style>
  <w:style w:type="character" w:customStyle="1" w:styleId="9">
    <w:name w:val="Footer Char"/>
    <w:basedOn w:val="6"/>
    <w:link w:val="2"/>
    <w:semiHidden/>
    <w:locked/>
    <w:uiPriority w:val="99"/>
    <w:rPr>
      <w:rFonts w:ascii="Calibri" w:hAnsi="Calibri" w:cs="Times New Roman"/>
      <w:sz w:val="18"/>
      <w:szCs w:val="18"/>
    </w:rPr>
  </w:style>
  <w:style w:type="character" w:customStyle="1" w:styleId="10">
    <w:name w:val="Header Char"/>
    <w:basedOn w:val="6"/>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556</Words>
  <Characters>3175</Characters>
  <Lines>0</Lines>
  <Paragraphs>0</Paragraphs>
  <TotalTime>18</TotalTime>
  <ScaleCrop>false</ScaleCrop>
  <LinksUpToDate>false</LinksUpToDate>
  <CharactersWithSpaces>0</CharactersWithSpaces>
  <Application>WPS Office_11.1.0.11116_F1E327BC-269C-435d-A152-05C5408002CA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2021-12-24T07:44:00Z</dcterms:created>
  <dc:creator>Administrator</dc:creator>
  <cp:lastModifiedBy>Administrator</cp:lastModifiedBy>
  <cp:lastPrinted>2022-01-03T06:27:20Z</cp:lastPrinted>
  <dcterms:modified xsi:type="dcterms:W3CDTF">2022-01-03T06:27:22Z</dcterms:modified>
  <dc:title>井研县人民政府办公室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2052-11.1.0.11116</vt:lpwstr>
  </property>
  <property fmtid="{D5CDD505-2E9C-101B-9397-08002B2CF9AE}" pid="3" name="ICV">
    <vt:lpwstr>03E5AE2A693B40409F3A44F951220FD5</vt:lpwstr>
  </property>
</Properties>
</file>