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color w:val="auto"/>
          <w:sz w:val="30"/>
        </w:rPr>
      </w:pPr>
      <w:bookmarkStart w:id="0" w:name="_Toc24724717"/>
      <w:r>
        <w:rPr>
          <w:rFonts w:hint="eastAsia" w:ascii="方正小标宋_GBK" w:hAnsi="方正小标宋_GBK" w:eastAsia="方正小标宋_GBK"/>
          <w:b w:val="0"/>
          <w:bCs w:val="0"/>
          <w:color w:val="auto"/>
          <w:sz w:val="30"/>
        </w:rPr>
        <w:t>保障性住房</w:t>
      </w:r>
      <w:bookmarkStart w:id="1" w:name="_GoBack"/>
      <w:bookmarkEnd w:id="1"/>
      <w:r>
        <w:rPr>
          <w:rFonts w:hint="eastAsia" w:ascii="方正小标宋_GBK" w:hAnsi="方正小标宋_GBK" w:eastAsia="方正小标宋_GBK"/>
          <w:b w:val="0"/>
          <w:bCs w:val="0"/>
          <w:color w:val="auto"/>
          <w:sz w:val="30"/>
        </w:rPr>
        <w:t>领域基层政务公开标准目录</w:t>
      </w:r>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auto"/>
                <w:kern w:val="0"/>
                <w:sz w:val="22"/>
              </w:rPr>
            </w:pPr>
            <w:r>
              <w:rPr>
                <w:rFonts w:ascii="Times New Roman" w:hAnsi="宋体"/>
                <w:color w:val="auto"/>
                <w:kern w:val="0"/>
                <w:sz w:val="22"/>
              </w:rPr>
              <w:t>序号</w:t>
            </w:r>
          </w:p>
        </w:tc>
        <w:tc>
          <w:tcPr>
            <w:tcW w:w="1994"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80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360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08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08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246"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440"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auto"/>
                <w:kern w:val="0"/>
                <w:sz w:val="22"/>
              </w:rPr>
            </w:pP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274"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800" w:type="dxa"/>
            <w:vMerge w:val="continue"/>
            <w:noWrap w:val="0"/>
            <w:vAlign w:val="center"/>
          </w:tcPr>
          <w:p>
            <w:pPr>
              <w:widowControl/>
              <w:jc w:val="left"/>
              <w:rPr>
                <w:rFonts w:ascii="黑体" w:hAnsi="宋体" w:eastAsia="黑体" w:cs="宋体"/>
                <w:color w:val="auto"/>
                <w:kern w:val="0"/>
                <w:sz w:val="22"/>
              </w:rPr>
            </w:pPr>
          </w:p>
        </w:tc>
        <w:tc>
          <w:tcPr>
            <w:tcW w:w="3600" w:type="dxa"/>
            <w:vMerge w:val="continue"/>
            <w:noWrap w:val="0"/>
            <w:vAlign w:val="center"/>
          </w:tcPr>
          <w:p>
            <w:pPr>
              <w:widowControl/>
              <w:jc w:val="left"/>
              <w:rPr>
                <w:rFonts w:ascii="黑体" w:hAnsi="宋体" w:eastAsia="黑体" w:cs="宋体"/>
                <w:color w:val="auto"/>
                <w:kern w:val="0"/>
                <w:sz w:val="22"/>
              </w:rPr>
            </w:pPr>
          </w:p>
        </w:tc>
        <w:tc>
          <w:tcPr>
            <w:tcW w:w="1080" w:type="dxa"/>
            <w:vMerge w:val="continue"/>
            <w:noWrap w:val="0"/>
            <w:vAlign w:val="center"/>
          </w:tcPr>
          <w:p>
            <w:pPr>
              <w:widowControl/>
              <w:jc w:val="left"/>
              <w:rPr>
                <w:rFonts w:ascii="黑体" w:hAnsi="宋体" w:eastAsia="黑体" w:cs="宋体"/>
                <w:color w:val="auto"/>
                <w:kern w:val="0"/>
                <w:sz w:val="22"/>
              </w:rPr>
            </w:pPr>
          </w:p>
        </w:tc>
        <w:tc>
          <w:tcPr>
            <w:tcW w:w="1080" w:type="dxa"/>
            <w:vMerge w:val="continue"/>
            <w:noWrap w:val="0"/>
            <w:vAlign w:val="center"/>
          </w:tcPr>
          <w:p>
            <w:pPr>
              <w:widowControl/>
              <w:jc w:val="left"/>
              <w:rPr>
                <w:rFonts w:ascii="黑体" w:hAnsi="宋体" w:eastAsia="黑体" w:cs="宋体"/>
                <w:color w:val="auto"/>
                <w:kern w:val="0"/>
                <w:sz w:val="22"/>
              </w:rPr>
            </w:pPr>
          </w:p>
        </w:tc>
        <w:tc>
          <w:tcPr>
            <w:tcW w:w="1246" w:type="dxa"/>
            <w:vMerge w:val="continue"/>
            <w:noWrap w:val="0"/>
            <w:vAlign w:val="center"/>
          </w:tcPr>
          <w:p>
            <w:pPr>
              <w:widowControl/>
              <w:jc w:val="left"/>
              <w:rPr>
                <w:rFonts w:ascii="黑体" w:hAnsi="宋体" w:eastAsia="黑体" w:cs="宋体"/>
                <w:color w:val="auto"/>
                <w:kern w:val="0"/>
                <w:sz w:val="22"/>
              </w:rPr>
            </w:pP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县级</w:t>
            </w: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法规政策</w:t>
            </w: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法律法规</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文件名称；</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文号；</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发布部门；</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发布日期；</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实施日期；</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正文。</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信息获取（形成、变更）20个工作日内</w:t>
            </w:r>
          </w:p>
        </w:tc>
        <w:tc>
          <w:tcPr>
            <w:tcW w:w="1080" w:type="dxa"/>
            <w:vMerge w:val="restart"/>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县政府、县住建局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■两微一端       ■公开查阅点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2</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政策文件</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文件名称；</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文号；</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发布部门；</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发布日期；</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实施日期；</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正文。</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重大决策</w:t>
            </w: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决策前预公开</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决策公开制度；</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意见征集。</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4</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决策会议公开</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会议名称；</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会议时间地点；</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会议结果。</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5</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决策结果公开</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保障性住房领域方案、公示公告、通知等。</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6</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规划计划</w:t>
            </w: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中长期规划</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保障性住房专项规划。</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noWrap w:val="0"/>
            <w:vAlign w:val="center"/>
          </w:tcPr>
          <w:p>
            <w:pPr>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7</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年度计划</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年度建设计划任务量：开工套数、基本建成套数；</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年度计划项目：项目名称、建设地点、总建筑面积、住宅面积、计划开工时间、计划竣工时间。</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8</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建设管理</w:t>
            </w: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立项信息</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项目名称；建设地点；投资金额；计划安排。</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9</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开工项目清单</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项目名称；建设地址；建设方式；建设总套数；开工时间；年度计划开工套数、实际开工套数；年度计划基本建成套数；建设、设计、施工和监理单位名称等。</w:t>
            </w:r>
          </w:p>
        </w:tc>
        <w:tc>
          <w:tcPr>
            <w:tcW w:w="3600" w:type="dxa"/>
            <w:vMerge w:val="continue"/>
            <w:noWrap w:val="0"/>
            <w:vAlign w:val="center"/>
          </w:tcPr>
          <w:p>
            <w:pPr>
              <w:rPr>
                <w:rFonts w:ascii="仿宋_GB2312" w:hAnsi="宋体" w:eastAsia="仿宋_GB2312"/>
                <w:color w:val="auto"/>
                <w:sz w:val="18"/>
                <w:szCs w:val="18"/>
              </w:rPr>
            </w:pPr>
          </w:p>
        </w:tc>
        <w:tc>
          <w:tcPr>
            <w:tcW w:w="1080" w:type="dxa"/>
            <w:vMerge w:val="continue"/>
            <w:noWrap w:val="0"/>
            <w:vAlign w:val="center"/>
          </w:tcPr>
          <w:p>
            <w:pPr>
              <w:rPr>
                <w:rFonts w:ascii="仿宋_GB2312" w:hAnsi="宋体" w:eastAsia="仿宋_GB2312"/>
                <w:color w:val="auto"/>
                <w:sz w:val="18"/>
                <w:szCs w:val="18"/>
              </w:rPr>
            </w:pPr>
          </w:p>
        </w:tc>
        <w:tc>
          <w:tcPr>
            <w:tcW w:w="1080" w:type="dxa"/>
            <w:vMerge w:val="continue"/>
            <w:noWrap w:val="0"/>
            <w:vAlign w:val="center"/>
          </w:tcPr>
          <w:p>
            <w:pPr>
              <w:rPr>
                <w:rFonts w:ascii="仿宋_GB2312" w:hAnsi="宋体" w:eastAsia="仿宋_GB2312"/>
                <w:color w:val="auto"/>
                <w:sz w:val="18"/>
                <w:szCs w:val="18"/>
              </w:rPr>
            </w:pPr>
          </w:p>
        </w:tc>
        <w:tc>
          <w:tcPr>
            <w:tcW w:w="1246"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09" w:type="dxa"/>
            <w:vMerge w:val="continue"/>
            <w:noWrap w:val="0"/>
            <w:vAlign w:val="center"/>
          </w:tcPr>
          <w:p>
            <w:pPr>
              <w:rPr>
                <w:rFonts w:ascii="仿宋_GB2312" w:hAnsi="宋体" w:eastAsia="仿宋_GB2312"/>
                <w:color w:val="auto"/>
                <w:sz w:val="18"/>
                <w:szCs w:val="18"/>
              </w:rPr>
            </w:pPr>
          </w:p>
        </w:tc>
        <w:tc>
          <w:tcPr>
            <w:tcW w:w="551"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10</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基本建成项目清单</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auto"/>
                <w:sz w:val="18"/>
                <w:szCs w:val="18"/>
              </w:rPr>
            </w:pPr>
          </w:p>
        </w:tc>
        <w:tc>
          <w:tcPr>
            <w:tcW w:w="1080" w:type="dxa"/>
            <w:vMerge w:val="continue"/>
            <w:noWrap w:val="0"/>
            <w:vAlign w:val="center"/>
          </w:tcPr>
          <w:p>
            <w:pPr>
              <w:rPr>
                <w:rFonts w:ascii="仿宋_GB2312" w:hAnsi="宋体" w:eastAsia="仿宋_GB2312"/>
                <w:color w:val="auto"/>
                <w:sz w:val="18"/>
                <w:szCs w:val="18"/>
              </w:rPr>
            </w:pPr>
          </w:p>
        </w:tc>
        <w:tc>
          <w:tcPr>
            <w:tcW w:w="1080" w:type="dxa"/>
            <w:vMerge w:val="continue"/>
            <w:noWrap w:val="0"/>
            <w:vAlign w:val="center"/>
          </w:tcPr>
          <w:p>
            <w:pPr>
              <w:rPr>
                <w:rFonts w:ascii="仿宋_GB2312" w:hAnsi="宋体" w:eastAsia="仿宋_GB2312"/>
                <w:color w:val="auto"/>
                <w:sz w:val="18"/>
                <w:szCs w:val="18"/>
              </w:rPr>
            </w:pPr>
          </w:p>
        </w:tc>
        <w:tc>
          <w:tcPr>
            <w:tcW w:w="1246"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09" w:type="dxa"/>
            <w:vMerge w:val="continue"/>
            <w:noWrap w:val="0"/>
            <w:vAlign w:val="center"/>
          </w:tcPr>
          <w:p>
            <w:pPr>
              <w:rPr>
                <w:rFonts w:ascii="仿宋_GB2312" w:hAnsi="宋体" w:eastAsia="仿宋_GB2312"/>
                <w:color w:val="auto"/>
                <w:sz w:val="18"/>
                <w:szCs w:val="18"/>
              </w:rPr>
            </w:pPr>
          </w:p>
        </w:tc>
        <w:tc>
          <w:tcPr>
            <w:tcW w:w="551"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11</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竣工项目清单</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auto"/>
                <w:sz w:val="18"/>
                <w:szCs w:val="18"/>
              </w:rPr>
            </w:pPr>
          </w:p>
        </w:tc>
        <w:tc>
          <w:tcPr>
            <w:tcW w:w="1080" w:type="dxa"/>
            <w:vMerge w:val="continue"/>
            <w:noWrap w:val="0"/>
            <w:vAlign w:val="center"/>
          </w:tcPr>
          <w:p>
            <w:pPr>
              <w:rPr>
                <w:rFonts w:ascii="仿宋_GB2312" w:hAnsi="宋体" w:eastAsia="仿宋_GB2312"/>
                <w:color w:val="auto"/>
                <w:sz w:val="18"/>
                <w:szCs w:val="18"/>
              </w:rPr>
            </w:pPr>
          </w:p>
        </w:tc>
        <w:tc>
          <w:tcPr>
            <w:tcW w:w="1080" w:type="dxa"/>
            <w:vMerge w:val="continue"/>
            <w:noWrap w:val="0"/>
            <w:vAlign w:val="center"/>
          </w:tcPr>
          <w:p>
            <w:pPr>
              <w:rPr>
                <w:rFonts w:ascii="仿宋_GB2312" w:hAnsi="宋体" w:eastAsia="仿宋_GB2312"/>
                <w:color w:val="auto"/>
                <w:sz w:val="18"/>
                <w:szCs w:val="18"/>
              </w:rPr>
            </w:pPr>
          </w:p>
        </w:tc>
        <w:tc>
          <w:tcPr>
            <w:tcW w:w="1246"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09" w:type="dxa"/>
            <w:vMerge w:val="continue"/>
            <w:noWrap w:val="0"/>
            <w:vAlign w:val="center"/>
          </w:tcPr>
          <w:p>
            <w:pPr>
              <w:rPr>
                <w:rFonts w:ascii="仿宋_GB2312" w:hAnsi="宋体" w:eastAsia="仿宋_GB2312"/>
                <w:color w:val="auto"/>
                <w:sz w:val="18"/>
                <w:szCs w:val="18"/>
              </w:rPr>
            </w:pPr>
          </w:p>
        </w:tc>
        <w:tc>
          <w:tcPr>
            <w:tcW w:w="551"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12</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配套设施建设情况</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项目名称；建设地址；建设方式；开工时间；建设、设计、施工和监理单位名称等。</w:t>
            </w:r>
          </w:p>
        </w:tc>
        <w:tc>
          <w:tcPr>
            <w:tcW w:w="3600" w:type="dxa"/>
            <w:vMerge w:val="continue"/>
            <w:noWrap w:val="0"/>
            <w:vAlign w:val="center"/>
          </w:tcPr>
          <w:p>
            <w:pPr>
              <w:rPr>
                <w:rFonts w:ascii="仿宋_GB2312" w:hAnsi="宋体" w:eastAsia="仿宋_GB2312"/>
                <w:color w:val="auto"/>
                <w:sz w:val="18"/>
                <w:szCs w:val="18"/>
              </w:rPr>
            </w:pPr>
          </w:p>
        </w:tc>
        <w:tc>
          <w:tcPr>
            <w:tcW w:w="1080" w:type="dxa"/>
            <w:vMerge w:val="continue"/>
            <w:noWrap w:val="0"/>
            <w:vAlign w:val="center"/>
          </w:tcPr>
          <w:p>
            <w:pPr>
              <w:rPr>
                <w:rFonts w:ascii="仿宋_GB2312" w:hAnsi="宋体" w:eastAsia="仿宋_GB2312"/>
                <w:color w:val="auto"/>
                <w:sz w:val="18"/>
                <w:szCs w:val="18"/>
              </w:rPr>
            </w:pPr>
          </w:p>
        </w:tc>
        <w:tc>
          <w:tcPr>
            <w:tcW w:w="1080" w:type="dxa"/>
            <w:vMerge w:val="continue"/>
            <w:noWrap w:val="0"/>
            <w:vAlign w:val="center"/>
          </w:tcPr>
          <w:p>
            <w:pPr>
              <w:rPr>
                <w:rFonts w:ascii="仿宋_GB2312" w:hAnsi="宋体" w:eastAsia="仿宋_GB2312"/>
                <w:color w:val="auto"/>
                <w:sz w:val="18"/>
                <w:szCs w:val="18"/>
              </w:rPr>
            </w:pPr>
          </w:p>
        </w:tc>
        <w:tc>
          <w:tcPr>
            <w:tcW w:w="1246"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09" w:type="dxa"/>
            <w:vMerge w:val="continue"/>
            <w:noWrap w:val="0"/>
            <w:vAlign w:val="center"/>
          </w:tcPr>
          <w:p>
            <w:pPr>
              <w:rPr>
                <w:rFonts w:ascii="仿宋_GB2312" w:hAnsi="宋体" w:eastAsia="仿宋_GB2312"/>
                <w:color w:val="auto"/>
                <w:sz w:val="18"/>
                <w:szCs w:val="18"/>
              </w:rPr>
            </w:pPr>
          </w:p>
        </w:tc>
        <w:tc>
          <w:tcPr>
            <w:tcW w:w="551"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13</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配给管理</w:t>
            </w: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保障性住房申请受理</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申请受理公告；</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申请条件、程序、期限和所需材料；</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租赁补贴发放计划。</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■两微一端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■政务服务中心</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14</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公租房承租资格审核</w:t>
            </w:r>
          </w:p>
        </w:tc>
        <w:tc>
          <w:tcPr>
            <w:tcW w:w="18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申请受理；</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审核结果：申请对象姓名、身份证号(隐藏部分号码)、申请房源类型；</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15</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公租房租赁补贴或租金减免审批</w:t>
            </w:r>
          </w:p>
        </w:tc>
        <w:tc>
          <w:tcPr>
            <w:tcW w:w="1800" w:type="dxa"/>
            <w:vMerge w:val="continue"/>
            <w:noWrap w:val="0"/>
            <w:vAlign w:val="center"/>
          </w:tcPr>
          <w:p>
            <w:pPr>
              <w:rPr>
                <w:rFonts w:hint="eastAsia" w:ascii="仿宋_GB2312" w:hAnsi="宋体" w:eastAsia="仿宋_GB2312"/>
                <w:color w:val="auto"/>
                <w:sz w:val="18"/>
                <w:szCs w:val="18"/>
              </w:rPr>
            </w:pP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16</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经济适用住房购买资格审核</w:t>
            </w:r>
          </w:p>
        </w:tc>
        <w:tc>
          <w:tcPr>
            <w:tcW w:w="1800" w:type="dxa"/>
            <w:vMerge w:val="continue"/>
            <w:noWrap w:val="0"/>
            <w:vAlign w:val="center"/>
          </w:tcPr>
          <w:p>
            <w:pPr>
              <w:rPr>
                <w:rFonts w:hint="eastAsia" w:ascii="仿宋_GB2312" w:hAnsi="宋体" w:eastAsia="仿宋_GB2312"/>
                <w:color w:val="auto"/>
                <w:sz w:val="18"/>
                <w:szCs w:val="18"/>
              </w:rPr>
            </w:pP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17</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配给管理</w:t>
            </w: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房源信息</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项目名称；保障性住房类型；竣工日期；地址；住房套数；待分配套数；已分配套数；套型；面积；配租配售价格；分配日期等。</w:t>
            </w:r>
          </w:p>
        </w:tc>
        <w:tc>
          <w:tcPr>
            <w:tcW w:w="36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县住建局</w:t>
            </w:r>
          </w:p>
        </w:tc>
        <w:tc>
          <w:tcPr>
            <w:tcW w:w="1246"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■两微一端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■政务服务中心</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18</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选房或摇号公告</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公告名称；发布部门；发布日期；正文，包括时间、地点、流程、注意事项等。</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19</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分配结果</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保障对象姓名；保障性住房类型；房号、面积、套型；所在建设项目名称等。</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20</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办理配租配售公告</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公告名称；发布部门；发布日期；正文，包括时间、地点、流程、注意事项等。</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21</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配后管理</w:t>
            </w: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公租房资格定期审核</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年审或定期审核家庭信息，含保障对象编号、姓名、身份证号﹝隐藏部分号码﹞；配租房源；套型；面积；是否审核通过；未通过原因等。</w:t>
            </w:r>
          </w:p>
        </w:tc>
        <w:tc>
          <w:tcPr>
            <w:tcW w:w="36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《公共租赁住房管理办法》、《国务院办公厅关于推进公共资源配置领域政府信息公开的意见》</w:t>
            </w:r>
          </w:p>
        </w:tc>
        <w:tc>
          <w:tcPr>
            <w:tcW w:w="10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县住建局</w:t>
            </w:r>
          </w:p>
        </w:tc>
        <w:tc>
          <w:tcPr>
            <w:tcW w:w="1246"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■两微一端   </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22</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自愿退出</w:t>
            </w:r>
          </w:p>
        </w:tc>
        <w:tc>
          <w:tcPr>
            <w:tcW w:w="18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原保障对象姓名、身份证号（隐藏部分号码）；原租购项目名称、地址、类型、套型、面积等；原享受补贴面积、标准等。</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23</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到期退出</w:t>
            </w:r>
          </w:p>
        </w:tc>
        <w:tc>
          <w:tcPr>
            <w:tcW w:w="1800" w:type="dxa"/>
            <w:vMerge w:val="continue"/>
            <w:noWrap w:val="0"/>
            <w:vAlign w:val="center"/>
          </w:tcPr>
          <w:p>
            <w:pPr>
              <w:rPr>
                <w:rFonts w:hint="eastAsia" w:ascii="仿宋_GB2312" w:hAnsi="宋体" w:eastAsia="仿宋_GB2312"/>
                <w:color w:val="auto"/>
                <w:sz w:val="18"/>
                <w:szCs w:val="18"/>
              </w:rPr>
            </w:pP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24</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不符合条件退出</w:t>
            </w:r>
          </w:p>
        </w:tc>
        <w:tc>
          <w:tcPr>
            <w:tcW w:w="1800" w:type="dxa"/>
            <w:vMerge w:val="continue"/>
            <w:noWrap w:val="0"/>
            <w:vAlign w:val="center"/>
          </w:tcPr>
          <w:p>
            <w:pPr>
              <w:rPr>
                <w:rFonts w:hint="eastAsia" w:ascii="仿宋_GB2312" w:hAnsi="宋体" w:eastAsia="仿宋_GB2312"/>
                <w:color w:val="auto"/>
                <w:sz w:val="18"/>
                <w:szCs w:val="18"/>
              </w:rPr>
            </w:pP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25</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违规处罚退出</w:t>
            </w:r>
          </w:p>
        </w:tc>
        <w:tc>
          <w:tcPr>
            <w:tcW w:w="1800" w:type="dxa"/>
            <w:vMerge w:val="continue"/>
            <w:noWrap w:val="0"/>
            <w:vAlign w:val="center"/>
          </w:tcPr>
          <w:p>
            <w:pPr>
              <w:rPr>
                <w:rFonts w:hint="eastAsia" w:ascii="仿宋_GB2312" w:hAnsi="宋体" w:eastAsia="仿宋_GB2312"/>
                <w:color w:val="auto"/>
                <w:sz w:val="18"/>
                <w:szCs w:val="18"/>
              </w:rPr>
            </w:pP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26</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配后管理</w:t>
            </w: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租赁补贴发放</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保障对象姓名、身份证号（隐藏部分号码）；发放金额；发放年度、月份、日期；发放方式。</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27</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租金收取</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保障对象姓名、身份证号（隐藏部分号码）；应缴租金；实收租金；未足额收取原因；租金年度、月份；收取日期；收取方式。</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ascii="仿宋_GB2312" w:hAnsi="宋体" w:eastAsia="仿宋_GB2312"/>
                <w:color w:val="auto"/>
                <w:sz w:val="18"/>
                <w:szCs w:val="18"/>
              </w:rPr>
            </w:pPr>
          </w:p>
        </w:tc>
        <w:tc>
          <w:tcPr>
            <w:tcW w:w="1080" w:type="dxa"/>
            <w:vMerge w:val="continue"/>
            <w:noWrap w:val="0"/>
            <w:vAlign w:val="center"/>
          </w:tcPr>
          <w:p>
            <w:pPr>
              <w:rPr>
                <w:rFonts w:ascii="仿宋_GB2312" w:hAnsi="宋体" w:eastAsia="仿宋_GB2312"/>
                <w:color w:val="auto"/>
                <w:sz w:val="18"/>
                <w:szCs w:val="18"/>
              </w:rPr>
            </w:pPr>
          </w:p>
        </w:tc>
        <w:tc>
          <w:tcPr>
            <w:tcW w:w="1246"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09" w:type="dxa"/>
            <w:vMerge w:val="continue"/>
            <w:noWrap w:val="0"/>
            <w:vAlign w:val="center"/>
          </w:tcPr>
          <w:p>
            <w:pPr>
              <w:rPr>
                <w:rFonts w:ascii="仿宋_GB2312" w:hAnsi="宋体" w:eastAsia="仿宋_GB2312"/>
                <w:color w:val="auto"/>
                <w:sz w:val="18"/>
                <w:szCs w:val="18"/>
              </w:rPr>
            </w:pPr>
          </w:p>
        </w:tc>
        <w:tc>
          <w:tcPr>
            <w:tcW w:w="551"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28</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租金减免</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保障对象姓名、身份证号（隐藏部分号码）；保障项目名称、类型、套型、面积；原应缴租金标准、现应缴租金标准。</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                                      ■政府网站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29</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腾退管理</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腾退对象；腾退日期；腾退原因；实退租金。</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30</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房屋维修</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维修内容；维修标准；维修资金来源渠道；维修单位名称；联系人，联系方式。</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31</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保障性住房调整</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保障对象姓名、身份证号（隐藏部分号码）；调整前和调整后保障项目名称、类型、套型、面积等；不予调整原因。</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32</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配后管理</w:t>
            </w: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运营承接主体管理</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单位名称；获取运营资格方式；运营承接主体统一社会信用代码；负责人姓名；办公地址、联系电话；注册资金；服务范围；监督考核情况等。</w:t>
            </w:r>
          </w:p>
        </w:tc>
        <w:tc>
          <w:tcPr>
            <w:tcW w:w="36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《经济适用住房管理办法》、《公共租赁住房管理办法》、《国务院办公厅关于推进公共资源配置领域政府信息公开的意见》</w:t>
            </w:r>
          </w:p>
        </w:tc>
        <w:tc>
          <w:tcPr>
            <w:tcW w:w="10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县住建局</w:t>
            </w:r>
          </w:p>
        </w:tc>
        <w:tc>
          <w:tcPr>
            <w:tcW w:w="1246"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■两微一端  </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33</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办事指南</w:t>
            </w: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申请保障</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申请条件；申请所需材料及范本；申请流程和办理时限；申请受理（办理）机构；受理地点；咨询电话、监督电话等。</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《关于全面推进政务公开工作的意见》、《国务院关于加快推进“互联网+政务服务”工作的指导意见》</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 xml:space="preserve">■两微一端       </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 xml:space="preserve">■公开查阅点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 xml:space="preserve">■便民服务站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34</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合同备案</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合同范本；备案机构；受理地点；咨询电话等。</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35</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申请租金减免</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申请所需材料及范本；申请流程和办理时限；申请受理（办理）机构；受理地点；咨询电话、监督电话等。</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36</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办事指南</w:t>
            </w: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缴纳租金</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租金标准；缴纳方式、时限；受理（办理）机构；咨询电话、监督电话等。</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《关于全面推进政务公开工作的意见》、《国务院关于加快推进“互联网+政务服务”工作的指导意见》</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 xml:space="preserve">■两微一端       </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 xml:space="preserve">■公开查阅点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 xml:space="preserve">■便民服务站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37</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保障性住房调换</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申请所需材料及范本；申请方式、流程；申请受理（办理）机构；受理地点；咨询电话、监督电话等。</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38</w:t>
            </w:r>
          </w:p>
        </w:tc>
        <w:tc>
          <w:tcPr>
            <w:tcW w:w="720" w:type="dxa"/>
            <w:vMerge w:val="continue"/>
            <w:noWrap w:val="0"/>
            <w:vAlign w:val="center"/>
          </w:tcPr>
          <w:p>
            <w:pPr>
              <w:jc w:val="center"/>
              <w:rPr>
                <w:rFonts w:hint="eastAsia" w:ascii="仿宋_GB2312" w:hAnsi="宋体" w:eastAsia="仿宋_GB2312"/>
                <w:color w:val="auto"/>
                <w:sz w:val="18"/>
                <w:szCs w:val="18"/>
              </w:rPr>
            </w:pP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自愿退出</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申请所需材料及范本；申请方式、流程；申请受理（办理）机构；受理地点；咨询电话、监督电话等。</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39</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政策解读</w:t>
            </w: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本级政策解读</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解读主体；解读内容；解读方式；解读时间等。</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40</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回应关切</w:t>
            </w: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主动回应</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公众提出的意见建议及回复情况；公开突发事件应对情况等。</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41</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回应关切</w:t>
            </w:r>
          </w:p>
        </w:tc>
        <w:tc>
          <w:tcPr>
            <w:tcW w:w="1274"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互动回应</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在收集分析研判舆情的基础上，针对舆论关注的焦点、热点和关键问题的互动回应内容。</w:t>
            </w:r>
          </w:p>
        </w:tc>
        <w:tc>
          <w:tcPr>
            <w:tcW w:w="36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《关于全面推进政务公开工作的意见》、《国务院办公厅关于推进公共资源配置领域政府信息公开的意见》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县住建局</w:t>
            </w:r>
          </w:p>
        </w:tc>
        <w:tc>
          <w:tcPr>
            <w:tcW w:w="1246"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42</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评价结果</w:t>
            </w: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上级评价、表彰情况</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上级对本地区保障性住房领域年度工作完成情况的评价、通报、排名；获上级表彰、入围上级推广示范情况等。</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43</w:t>
            </w:r>
          </w:p>
        </w:tc>
        <w:tc>
          <w:tcPr>
            <w:tcW w:w="720" w:type="dxa"/>
            <w:vMerge w:val="continue"/>
            <w:noWrap w:val="0"/>
            <w:vAlign w:val="center"/>
          </w:tcPr>
          <w:p>
            <w:pPr>
              <w:rPr>
                <w:rFonts w:hint="eastAsia" w:ascii="仿宋_GB2312" w:hAnsi="宋体" w:eastAsia="仿宋_GB2312"/>
                <w:color w:val="auto"/>
                <w:sz w:val="18"/>
                <w:szCs w:val="18"/>
              </w:rPr>
            </w:pPr>
          </w:p>
        </w:tc>
        <w:tc>
          <w:tcPr>
            <w:tcW w:w="1274"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社会评价情况</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公众对保障性住房工作满意度评价。</w:t>
            </w:r>
          </w:p>
        </w:tc>
        <w:tc>
          <w:tcPr>
            <w:tcW w:w="360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080" w:type="dxa"/>
            <w:vMerge w:val="continue"/>
            <w:noWrap w:val="0"/>
            <w:vAlign w:val="center"/>
          </w:tcPr>
          <w:p>
            <w:pPr>
              <w:rPr>
                <w:rFonts w:hint="eastAsia" w:ascii="仿宋_GB2312" w:hAnsi="宋体" w:eastAsia="仿宋_GB2312"/>
                <w:color w:val="auto"/>
                <w:sz w:val="18"/>
                <w:szCs w:val="18"/>
              </w:rPr>
            </w:pPr>
          </w:p>
        </w:tc>
        <w:tc>
          <w:tcPr>
            <w:tcW w:w="1246"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09" w:type="dxa"/>
            <w:vMerge w:val="continue"/>
            <w:noWrap w:val="0"/>
            <w:vAlign w:val="center"/>
          </w:tcPr>
          <w:p>
            <w:pPr>
              <w:rPr>
                <w:rFonts w:hint="eastAsia" w:ascii="仿宋_GB2312" w:hAnsi="宋体" w:eastAsia="仿宋_GB2312"/>
                <w:color w:val="auto"/>
                <w:sz w:val="18"/>
                <w:szCs w:val="18"/>
              </w:rPr>
            </w:pPr>
          </w:p>
        </w:tc>
        <w:tc>
          <w:tcPr>
            <w:tcW w:w="551"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c>
          <w:tcPr>
            <w:tcW w:w="720" w:type="dxa"/>
            <w:vMerge w:val="continue"/>
            <w:noWrap w:val="0"/>
            <w:vAlign w:val="center"/>
          </w:tcPr>
          <w:p>
            <w:pPr>
              <w:rPr>
                <w:rFonts w:hint="eastAsia" w:ascii="仿宋_GB2312" w:hAnsi="宋体" w:eastAsia="仿宋_GB2312"/>
                <w:color w:val="auto"/>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019E1"/>
    <w:rsid w:val="33901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2020-09-28T08:38:00Z</dcterms:created>
  <dc:creator>像太阳一样发光</dc:creator>
  <cp:lastModifiedBy>像太阳一样发光</cp:lastModifiedBy>
  <dcterms:modified xsi:type="dcterms:W3CDTF">2020-09-28T08:39:36Z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